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2DADA" w14:textId="10EC0061" w:rsidR="00110745" w:rsidRDefault="00B36652" w:rsidP="00FC67EF">
      <w:pPr>
        <w:pStyle w:val="Organisationname"/>
      </w:pPr>
      <w:r w:rsidRPr="0047601C">
        <w:drawing>
          <wp:anchor distT="0" distB="0" distL="114300" distR="114300" simplePos="0" relativeHeight="251656192" behindDoc="1" locked="0" layoutInCell="0" allowOverlap="1" wp14:anchorId="6DB26363" wp14:editId="04C51F18">
            <wp:simplePos x="0" y="0"/>
            <wp:positionH relativeFrom="page">
              <wp:posOffset>9525</wp:posOffset>
            </wp:positionH>
            <wp:positionV relativeFrom="page">
              <wp:align>top</wp:align>
            </wp:positionV>
            <wp:extent cx="7560000" cy="10692000"/>
            <wp:effectExtent l="0" t="0" r="3175" b="0"/>
            <wp:wrapNone/>
            <wp:docPr id="5" name="Picture 5" descr="The logo for the Independent Hospital Pricing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AF7B6F">
        <w:t>Independent Hospital Pricing Authority</w:t>
      </w:r>
      <w:r w:rsidR="00110745">
        <w:t xml:space="preserve"> </w:t>
      </w:r>
    </w:p>
    <w:p w14:paraId="039AB06C" w14:textId="0FB40ED0" w:rsidR="00E7439E" w:rsidRDefault="002C5144" w:rsidP="002C5144">
      <w:pPr>
        <w:rPr>
          <w:b/>
          <w:color w:val="FFFFFF" w:themeColor="background1"/>
          <w:sz w:val="84"/>
          <w:szCs w:val="84"/>
        </w:rPr>
      </w:pPr>
      <w:r w:rsidRPr="009C4441">
        <w:rPr>
          <w:b/>
          <w:color w:val="FFFFFF" w:themeColor="background1"/>
          <w:sz w:val="84"/>
          <w:szCs w:val="84"/>
        </w:rPr>
        <w:t>National Hospital Cost Data Collection</w:t>
      </w:r>
      <w:proofErr w:type="gramStart"/>
      <w:r w:rsidR="003D7E16">
        <w:rPr>
          <w:b/>
          <w:color w:val="FFFFFF" w:themeColor="background1"/>
          <w:sz w:val="84"/>
          <w:szCs w:val="84"/>
        </w:rPr>
        <w:t>:</w:t>
      </w:r>
      <w:proofErr w:type="gramEnd"/>
      <w:r w:rsidR="005C6364">
        <w:rPr>
          <w:b/>
          <w:color w:val="FFFFFF" w:themeColor="background1"/>
          <w:sz w:val="84"/>
          <w:szCs w:val="84"/>
        </w:rPr>
        <w:br/>
      </w:r>
      <w:r w:rsidR="003D7E16">
        <w:rPr>
          <w:b/>
          <w:color w:val="FFFFFF" w:themeColor="background1"/>
          <w:sz w:val="84"/>
          <w:szCs w:val="84"/>
        </w:rPr>
        <w:t xml:space="preserve">Private Hospital Cost Report </w:t>
      </w:r>
    </w:p>
    <w:p w14:paraId="100CB5DD" w14:textId="6F9E943E" w:rsidR="00110745" w:rsidRPr="00FC67EF" w:rsidRDefault="003D7E16" w:rsidP="005C6364">
      <w:pPr>
        <w:pStyle w:val="Versionanddate"/>
        <w:spacing w:after="0"/>
        <w:rPr>
          <w:color w:val="FFFFFF" w:themeColor="background1"/>
          <w:sz w:val="40"/>
        </w:rPr>
      </w:pPr>
      <w:r w:rsidRPr="003D7E16">
        <w:rPr>
          <w:color w:val="FFFFFF" w:themeColor="background1"/>
          <w:sz w:val="40"/>
        </w:rPr>
        <w:t xml:space="preserve">Round 20 </w:t>
      </w:r>
      <w:r>
        <w:rPr>
          <w:color w:val="FFFFFF" w:themeColor="background1"/>
          <w:sz w:val="40"/>
        </w:rPr>
        <w:t>(Financial y</w:t>
      </w:r>
      <w:r w:rsidRPr="003D7E16">
        <w:rPr>
          <w:color w:val="FFFFFF" w:themeColor="background1"/>
          <w:sz w:val="40"/>
        </w:rPr>
        <w:t>ear 2015-16</w:t>
      </w:r>
      <w:r>
        <w:rPr>
          <w:color w:val="FFFFFF" w:themeColor="background1"/>
          <w:sz w:val="40"/>
        </w:rPr>
        <w:t>)</w:t>
      </w:r>
    </w:p>
    <w:p w14:paraId="2FB9559D" w14:textId="1D82205F" w:rsidR="005713A6" w:rsidRDefault="005C6364" w:rsidP="00A9446D">
      <w:pPr>
        <w:pStyle w:val="Versionanddate"/>
        <w:sectPr w:rsidR="005713A6" w:rsidSect="00CD66C3">
          <w:headerReference w:type="default" r:id="rId10"/>
          <w:footerReference w:type="default" r:id="rId11"/>
          <w:pgSz w:w="11907" w:h="16840" w:code="9"/>
          <w:pgMar w:top="2041" w:right="2835" w:bottom="1418" w:left="1021" w:header="567" w:footer="567" w:gutter="0"/>
          <w:cols w:space="720"/>
        </w:sectPr>
      </w:pPr>
      <w:r>
        <w:t>February 2018</w:t>
      </w:r>
    </w:p>
    <w:p w14:paraId="4B1AE04C" w14:textId="3CDFE085" w:rsidR="00FD0ACC" w:rsidRPr="005713A6" w:rsidRDefault="00FD0ACC" w:rsidP="005713A6">
      <w:pPr>
        <w:pStyle w:val="Report"/>
      </w:pPr>
      <w:r w:rsidRPr="005713A6">
        <w:lastRenderedPageBreak/>
        <w:t>Nationa</w:t>
      </w:r>
      <w:r w:rsidR="00F657FC" w:rsidRPr="005713A6">
        <w:t>l Hospital Cost Data Collection</w:t>
      </w:r>
      <w:r w:rsidR="003D7E16">
        <w:t>,</w:t>
      </w:r>
      <w:r w:rsidR="00F657FC" w:rsidRPr="005713A6">
        <w:t xml:space="preserve"> Private </w:t>
      </w:r>
      <w:r w:rsidR="003D7E16">
        <w:t>Hospital Cost Report,</w:t>
      </w:r>
      <w:r w:rsidR="00F657FC" w:rsidRPr="005713A6">
        <w:t xml:space="preserve"> Round 20 </w:t>
      </w:r>
      <w:r w:rsidR="003D7E16">
        <w:t xml:space="preserve">(Financial year 2015-16) </w:t>
      </w:r>
      <w:r w:rsidR="005C6364">
        <w:t>– February 2018</w:t>
      </w:r>
    </w:p>
    <w:p w14:paraId="6B99A94B" w14:textId="7DC737DF" w:rsidR="002A4C1B" w:rsidRDefault="002A4C1B" w:rsidP="002A4C1B">
      <w:r>
        <w:t>© Independent Hospital Pricing Authority 201</w:t>
      </w:r>
      <w:r w:rsidR="004A249A">
        <w:t>8</w:t>
      </w:r>
    </w:p>
    <w:p w14:paraId="01009FAE" w14:textId="6B49CCF5" w:rsidR="002A4C1B" w:rsidRDefault="002A4C1B" w:rsidP="002A4C1B">
      <w:r>
        <w:t xml:space="preserve">This publication is available for your use under a </w:t>
      </w:r>
      <w:hyperlink r:id="rId12" w:history="1">
        <w:r w:rsidRPr="002A4C1B">
          <w:rPr>
            <w:rStyle w:val="Hyperlink"/>
          </w:rPr>
          <w:t>Creative Commons BY Attribution 3.0 Australia</w:t>
        </w:r>
      </w:hyperlink>
      <w:r>
        <w:t xml:space="preserve"> licence, with the exception of the Independent Hospital Pricing Authority logo, photographs, images, signatures and where otherwise stated. The full licence terms are available from </w:t>
      </w:r>
      <w:hyperlink r:id="rId13" w:history="1">
        <w:r w:rsidRPr="002A4C1B">
          <w:rPr>
            <w:rStyle w:val="Hyperlink"/>
          </w:rPr>
          <w:t>the Creative Commons website</w:t>
        </w:r>
      </w:hyperlink>
      <w:r>
        <w:t>.</w:t>
      </w:r>
    </w:p>
    <w:p w14:paraId="0FFA8C63" w14:textId="77777777" w:rsidR="002A4C1B" w:rsidRDefault="002A4C1B" w:rsidP="002A4C1B">
      <w:r w:rsidRPr="006150B7">
        <w:rPr>
          <w:rFonts w:cs="Calibri"/>
          <w:noProof/>
          <w:sz w:val="24"/>
        </w:rPr>
        <w:drawing>
          <wp:inline distT="0" distB="0" distL="0" distR="0" wp14:anchorId="4E521F9E" wp14:editId="4D474190">
            <wp:extent cx="809625" cy="285750"/>
            <wp:effectExtent l="0" t="0" r="9525" b="0"/>
            <wp:docPr id="10" name="Picture 10"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bookmarkStart w:id="0" w:name="_GoBack"/>
      <w:bookmarkEnd w:id="0"/>
    </w:p>
    <w:p w14:paraId="19E871F5" w14:textId="77777777" w:rsidR="002A4C1B" w:rsidRDefault="002A4C1B" w:rsidP="002A4C1B">
      <w:r>
        <w:t xml:space="preserve">Use of Independent Hospital Pricing Authority material under a </w:t>
      </w:r>
      <w:hyperlink r:id="rId15" w:history="1">
        <w:r w:rsidRPr="002A4C1B">
          <w:rPr>
            <w:rStyle w:val="Hyperlink"/>
          </w:rPr>
          <w:t>Creative Commons BY Attribution 3.0 Australia</w:t>
        </w:r>
      </w:hyperlink>
      <w:r>
        <w:t xml:space="preserve"> licence requires you to attribute the work (but not in any way that suggests that the Independent Hospital Pricing Authority endorses you or your use of the work).</w:t>
      </w:r>
    </w:p>
    <w:p w14:paraId="056887A1" w14:textId="77777777" w:rsidR="002A4C1B" w:rsidRPr="002A4C1B" w:rsidRDefault="002A4C1B" w:rsidP="002A4C1B">
      <w:pPr>
        <w:rPr>
          <w:i/>
        </w:rPr>
      </w:pPr>
      <w:proofErr w:type="gramStart"/>
      <w:r w:rsidRPr="002A4C1B">
        <w:rPr>
          <w:i/>
        </w:rPr>
        <w:t>Independent Hospital Pricing Authority material used 'as supplied'.</w:t>
      </w:r>
      <w:proofErr w:type="gramEnd"/>
    </w:p>
    <w:p w14:paraId="1627EF7D" w14:textId="77777777" w:rsidR="002A4C1B" w:rsidRDefault="002A4C1B" w:rsidP="002A4C1B">
      <w:r>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796EC3AB" w14:textId="77777777" w:rsidR="00A9446D" w:rsidRDefault="002A4C1B" w:rsidP="008A23FE">
      <w:pPr>
        <w:pStyle w:val="Intro"/>
      </w:pPr>
      <w:r w:rsidRPr="002A4C1B">
        <w:t>Source: The Independent Hospital Pricing Authority</w:t>
      </w:r>
      <w:r w:rsidRPr="002A4C1B">
        <w:br w:type="page"/>
      </w:r>
      <w:bookmarkStart w:id="1" w:name="_Toc353945517"/>
      <w:bookmarkStart w:id="2" w:name="_Toc401133772"/>
      <w:bookmarkStart w:id="3" w:name="_Toc401133806"/>
      <w:bookmarkStart w:id="4" w:name="_Toc430010941"/>
      <w:bookmarkStart w:id="5" w:name="_Toc433975506"/>
      <w:bookmarkStart w:id="6" w:name="_Toc435611202"/>
    </w:p>
    <w:bookmarkEnd w:id="6" w:displacedByCustomXml="next"/>
    <w:bookmarkEnd w:id="5" w:displacedByCustomXml="next"/>
    <w:bookmarkEnd w:id="4" w:displacedByCustomXml="next"/>
    <w:bookmarkEnd w:id="3" w:displacedByCustomXml="next"/>
    <w:bookmarkEnd w:id="2" w:displacedByCustomXml="next"/>
    <w:bookmarkEnd w:id="1" w:displacedByCustomXml="next"/>
    <w:sdt>
      <w:sdtPr>
        <w:rPr>
          <w:rFonts w:ascii="Arial" w:eastAsia="Times New Roman" w:hAnsi="Arial" w:cs="Times New Roman"/>
          <w:b w:val="0"/>
          <w:bCs w:val="0"/>
          <w:sz w:val="22"/>
          <w:szCs w:val="24"/>
        </w:rPr>
        <w:id w:val="-1559084749"/>
        <w:docPartObj>
          <w:docPartGallery w:val="Table of Contents"/>
          <w:docPartUnique/>
        </w:docPartObj>
      </w:sdtPr>
      <w:sdtEndPr>
        <w:rPr>
          <w:rFonts w:cs="Arial"/>
          <w:noProof/>
          <w:szCs w:val="20"/>
        </w:rPr>
      </w:sdtEndPr>
      <w:sdtContent>
        <w:p w14:paraId="0A0894F2" w14:textId="2D55D998" w:rsidR="002315CF" w:rsidRPr="002507BE" w:rsidRDefault="002315CF" w:rsidP="00B92C6C">
          <w:pPr>
            <w:pStyle w:val="TOCHeading"/>
            <w:numPr>
              <w:ilvl w:val="0"/>
              <w:numId w:val="0"/>
            </w:numPr>
            <w:ind w:left="851" w:hanging="851"/>
            <w:rPr>
              <w:rFonts w:eastAsia="Times New Roman"/>
            </w:rPr>
          </w:pPr>
          <w:r w:rsidRPr="002507BE">
            <w:rPr>
              <w:rFonts w:eastAsia="Times New Roman"/>
            </w:rPr>
            <w:t>Contents</w:t>
          </w:r>
        </w:p>
        <w:p w14:paraId="65F18AE1" w14:textId="77777777" w:rsidR="00B92C6C" w:rsidRDefault="004A249A">
          <w:pPr>
            <w:pStyle w:val="TOC1"/>
            <w:rPr>
              <w:rFonts w:asciiTheme="minorHAnsi" w:eastAsiaTheme="minorEastAsia" w:hAnsiTheme="minorHAnsi" w:cstheme="minorBidi"/>
              <w:szCs w:val="22"/>
            </w:rPr>
          </w:pPr>
          <w:r>
            <w:rPr>
              <w:b/>
            </w:rPr>
            <w:fldChar w:fldCharType="begin"/>
          </w:r>
          <w:r>
            <w:rPr>
              <w:b/>
            </w:rPr>
            <w:instrText xml:space="preserve"> TOC \o "1-1" \h \z \u </w:instrText>
          </w:r>
          <w:r>
            <w:rPr>
              <w:b/>
            </w:rPr>
            <w:fldChar w:fldCharType="separate"/>
          </w:r>
          <w:hyperlink w:anchor="_Toc497750206" w:history="1">
            <w:r w:rsidR="00B92C6C" w:rsidRPr="00DC42F2">
              <w:rPr>
                <w:rStyle w:val="Hyperlink"/>
              </w:rPr>
              <w:t>Tables and figures</w:t>
            </w:r>
            <w:r w:rsidR="00B92C6C">
              <w:rPr>
                <w:webHidden/>
              </w:rPr>
              <w:tab/>
            </w:r>
            <w:r w:rsidR="00B92C6C">
              <w:rPr>
                <w:webHidden/>
              </w:rPr>
              <w:fldChar w:fldCharType="begin"/>
            </w:r>
            <w:r w:rsidR="00B92C6C">
              <w:rPr>
                <w:webHidden/>
              </w:rPr>
              <w:instrText xml:space="preserve"> PAGEREF _Toc497750206 \h </w:instrText>
            </w:r>
            <w:r w:rsidR="00B92C6C">
              <w:rPr>
                <w:webHidden/>
              </w:rPr>
            </w:r>
            <w:r w:rsidR="00B92C6C">
              <w:rPr>
                <w:webHidden/>
              </w:rPr>
              <w:fldChar w:fldCharType="separate"/>
            </w:r>
            <w:r w:rsidR="00681CD9">
              <w:rPr>
                <w:webHidden/>
              </w:rPr>
              <w:t>3</w:t>
            </w:r>
            <w:r w:rsidR="00B92C6C">
              <w:rPr>
                <w:webHidden/>
              </w:rPr>
              <w:fldChar w:fldCharType="end"/>
            </w:r>
          </w:hyperlink>
        </w:p>
        <w:p w14:paraId="7E69BEF7" w14:textId="77777777" w:rsidR="00B92C6C" w:rsidRDefault="00F70FAB">
          <w:pPr>
            <w:pStyle w:val="TOC1"/>
            <w:rPr>
              <w:rFonts w:asciiTheme="minorHAnsi" w:eastAsiaTheme="minorEastAsia" w:hAnsiTheme="minorHAnsi" w:cstheme="minorBidi"/>
              <w:szCs w:val="22"/>
            </w:rPr>
          </w:pPr>
          <w:hyperlink w:anchor="_Toc497750207" w:history="1">
            <w:r w:rsidR="00B92C6C" w:rsidRPr="00DC42F2">
              <w:rPr>
                <w:rStyle w:val="Hyperlink"/>
              </w:rPr>
              <w:t>Acronyms/Abbreviations</w:t>
            </w:r>
            <w:r w:rsidR="00B92C6C">
              <w:rPr>
                <w:webHidden/>
              </w:rPr>
              <w:tab/>
            </w:r>
            <w:r w:rsidR="00B92C6C">
              <w:rPr>
                <w:webHidden/>
              </w:rPr>
              <w:fldChar w:fldCharType="begin"/>
            </w:r>
            <w:r w:rsidR="00B92C6C">
              <w:rPr>
                <w:webHidden/>
              </w:rPr>
              <w:instrText xml:space="preserve"> PAGEREF _Toc497750207 \h </w:instrText>
            </w:r>
            <w:r w:rsidR="00B92C6C">
              <w:rPr>
                <w:webHidden/>
              </w:rPr>
            </w:r>
            <w:r w:rsidR="00B92C6C">
              <w:rPr>
                <w:webHidden/>
              </w:rPr>
              <w:fldChar w:fldCharType="separate"/>
            </w:r>
            <w:r w:rsidR="00681CD9">
              <w:rPr>
                <w:webHidden/>
              </w:rPr>
              <w:t>4</w:t>
            </w:r>
            <w:r w:rsidR="00B92C6C">
              <w:rPr>
                <w:webHidden/>
              </w:rPr>
              <w:fldChar w:fldCharType="end"/>
            </w:r>
          </w:hyperlink>
        </w:p>
        <w:p w14:paraId="39CFF2C8" w14:textId="77777777" w:rsidR="00B92C6C" w:rsidRDefault="00F70FAB">
          <w:pPr>
            <w:pStyle w:val="TOC1"/>
            <w:rPr>
              <w:rFonts w:asciiTheme="minorHAnsi" w:eastAsiaTheme="minorEastAsia" w:hAnsiTheme="minorHAnsi" w:cstheme="minorBidi"/>
              <w:szCs w:val="22"/>
            </w:rPr>
          </w:pPr>
          <w:hyperlink w:anchor="_Toc497750208" w:history="1">
            <w:r w:rsidR="00B92C6C" w:rsidRPr="00DC42F2">
              <w:rPr>
                <w:rStyle w:val="Hyperlink"/>
              </w:rPr>
              <w:t>Disclaimer</w:t>
            </w:r>
            <w:r w:rsidR="00B92C6C">
              <w:rPr>
                <w:webHidden/>
              </w:rPr>
              <w:tab/>
            </w:r>
            <w:r w:rsidR="00B92C6C">
              <w:rPr>
                <w:webHidden/>
              </w:rPr>
              <w:fldChar w:fldCharType="begin"/>
            </w:r>
            <w:r w:rsidR="00B92C6C">
              <w:rPr>
                <w:webHidden/>
              </w:rPr>
              <w:instrText xml:space="preserve"> PAGEREF _Toc497750208 \h </w:instrText>
            </w:r>
            <w:r w:rsidR="00B92C6C">
              <w:rPr>
                <w:webHidden/>
              </w:rPr>
            </w:r>
            <w:r w:rsidR="00B92C6C">
              <w:rPr>
                <w:webHidden/>
              </w:rPr>
              <w:fldChar w:fldCharType="separate"/>
            </w:r>
            <w:r w:rsidR="00681CD9">
              <w:rPr>
                <w:webHidden/>
              </w:rPr>
              <w:t>5</w:t>
            </w:r>
            <w:r w:rsidR="00B92C6C">
              <w:rPr>
                <w:webHidden/>
              </w:rPr>
              <w:fldChar w:fldCharType="end"/>
            </w:r>
          </w:hyperlink>
        </w:p>
        <w:p w14:paraId="79A1AF74" w14:textId="77777777" w:rsidR="00B92C6C" w:rsidRDefault="00F70FAB">
          <w:pPr>
            <w:pStyle w:val="TOC1"/>
            <w:tabs>
              <w:tab w:val="left" w:pos="440"/>
            </w:tabs>
            <w:rPr>
              <w:rFonts w:asciiTheme="minorHAnsi" w:eastAsiaTheme="minorEastAsia" w:hAnsiTheme="minorHAnsi" w:cstheme="minorBidi"/>
              <w:szCs w:val="22"/>
            </w:rPr>
          </w:pPr>
          <w:hyperlink w:anchor="_Toc497750209" w:history="1">
            <w:r w:rsidR="00B92C6C" w:rsidRPr="00DC42F2">
              <w:rPr>
                <w:rStyle w:val="Hyperlink"/>
                <w14:scene3d>
                  <w14:camera w14:prst="orthographicFront"/>
                  <w14:lightRig w14:rig="threePt" w14:dir="t">
                    <w14:rot w14:lat="0" w14:lon="0" w14:rev="0"/>
                  </w14:lightRig>
                </w14:scene3d>
              </w:rPr>
              <w:t>1</w:t>
            </w:r>
            <w:r w:rsidR="00B92C6C">
              <w:rPr>
                <w:rFonts w:asciiTheme="minorHAnsi" w:eastAsiaTheme="minorEastAsia" w:hAnsiTheme="minorHAnsi" w:cstheme="minorBidi"/>
                <w:szCs w:val="22"/>
              </w:rPr>
              <w:tab/>
            </w:r>
            <w:r w:rsidR="00B92C6C" w:rsidRPr="00DC42F2">
              <w:rPr>
                <w:rStyle w:val="Hyperlink"/>
              </w:rPr>
              <w:t>Executive summary</w:t>
            </w:r>
            <w:r w:rsidR="00B92C6C">
              <w:rPr>
                <w:webHidden/>
              </w:rPr>
              <w:tab/>
            </w:r>
            <w:r w:rsidR="00B92C6C">
              <w:rPr>
                <w:webHidden/>
              </w:rPr>
              <w:fldChar w:fldCharType="begin"/>
            </w:r>
            <w:r w:rsidR="00B92C6C">
              <w:rPr>
                <w:webHidden/>
              </w:rPr>
              <w:instrText xml:space="preserve"> PAGEREF _Toc497750209 \h </w:instrText>
            </w:r>
            <w:r w:rsidR="00B92C6C">
              <w:rPr>
                <w:webHidden/>
              </w:rPr>
            </w:r>
            <w:r w:rsidR="00B92C6C">
              <w:rPr>
                <w:webHidden/>
              </w:rPr>
              <w:fldChar w:fldCharType="separate"/>
            </w:r>
            <w:r w:rsidR="00681CD9">
              <w:rPr>
                <w:webHidden/>
              </w:rPr>
              <w:t>6</w:t>
            </w:r>
            <w:r w:rsidR="00B92C6C">
              <w:rPr>
                <w:webHidden/>
              </w:rPr>
              <w:fldChar w:fldCharType="end"/>
            </w:r>
          </w:hyperlink>
        </w:p>
        <w:p w14:paraId="4AD4FC50" w14:textId="77777777" w:rsidR="00B92C6C" w:rsidRDefault="00F70FAB">
          <w:pPr>
            <w:pStyle w:val="TOC1"/>
            <w:tabs>
              <w:tab w:val="left" w:pos="440"/>
            </w:tabs>
            <w:rPr>
              <w:rFonts w:asciiTheme="minorHAnsi" w:eastAsiaTheme="minorEastAsia" w:hAnsiTheme="minorHAnsi" w:cstheme="minorBidi"/>
              <w:szCs w:val="22"/>
            </w:rPr>
          </w:pPr>
          <w:hyperlink w:anchor="_Toc497750210" w:history="1">
            <w:r w:rsidR="00B92C6C" w:rsidRPr="00DC42F2">
              <w:rPr>
                <w:rStyle w:val="Hyperlink"/>
                <w14:scene3d>
                  <w14:camera w14:prst="orthographicFront"/>
                  <w14:lightRig w14:rig="threePt" w14:dir="t">
                    <w14:rot w14:lat="0" w14:lon="0" w14:rev="0"/>
                  </w14:lightRig>
                </w14:scene3d>
              </w:rPr>
              <w:t>2</w:t>
            </w:r>
            <w:r w:rsidR="00B92C6C">
              <w:rPr>
                <w:rFonts w:asciiTheme="minorHAnsi" w:eastAsiaTheme="minorEastAsia" w:hAnsiTheme="minorHAnsi" w:cstheme="minorBidi"/>
                <w:szCs w:val="22"/>
              </w:rPr>
              <w:tab/>
            </w:r>
            <w:r w:rsidR="00B92C6C" w:rsidRPr="00DC42F2">
              <w:rPr>
                <w:rStyle w:val="Hyperlink"/>
              </w:rPr>
              <w:t>Introduction</w:t>
            </w:r>
            <w:r w:rsidR="00B92C6C">
              <w:rPr>
                <w:webHidden/>
              </w:rPr>
              <w:tab/>
            </w:r>
            <w:r w:rsidR="00B92C6C">
              <w:rPr>
                <w:webHidden/>
              </w:rPr>
              <w:fldChar w:fldCharType="begin"/>
            </w:r>
            <w:r w:rsidR="00B92C6C">
              <w:rPr>
                <w:webHidden/>
              </w:rPr>
              <w:instrText xml:space="preserve"> PAGEREF _Toc497750210 \h </w:instrText>
            </w:r>
            <w:r w:rsidR="00B92C6C">
              <w:rPr>
                <w:webHidden/>
              </w:rPr>
            </w:r>
            <w:r w:rsidR="00B92C6C">
              <w:rPr>
                <w:webHidden/>
              </w:rPr>
              <w:fldChar w:fldCharType="separate"/>
            </w:r>
            <w:r w:rsidR="00681CD9">
              <w:rPr>
                <w:webHidden/>
              </w:rPr>
              <w:t>8</w:t>
            </w:r>
            <w:r w:rsidR="00B92C6C">
              <w:rPr>
                <w:webHidden/>
              </w:rPr>
              <w:fldChar w:fldCharType="end"/>
            </w:r>
          </w:hyperlink>
        </w:p>
        <w:p w14:paraId="67E0569C" w14:textId="77777777" w:rsidR="00B92C6C" w:rsidRDefault="00F70FAB">
          <w:pPr>
            <w:pStyle w:val="TOC1"/>
            <w:tabs>
              <w:tab w:val="left" w:pos="440"/>
            </w:tabs>
            <w:rPr>
              <w:rFonts w:asciiTheme="minorHAnsi" w:eastAsiaTheme="minorEastAsia" w:hAnsiTheme="minorHAnsi" w:cstheme="minorBidi"/>
              <w:szCs w:val="22"/>
            </w:rPr>
          </w:pPr>
          <w:hyperlink w:anchor="_Toc497750211" w:history="1">
            <w:r w:rsidR="00B92C6C" w:rsidRPr="00DC42F2">
              <w:rPr>
                <w:rStyle w:val="Hyperlink"/>
                <w14:scene3d>
                  <w14:camera w14:prst="orthographicFront"/>
                  <w14:lightRig w14:rig="threePt" w14:dir="t">
                    <w14:rot w14:lat="0" w14:lon="0" w14:rev="0"/>
                  </w14:lightRig>
                </w14:scene3d>
              </w:rPr>
              <w:t>3</w:t>
            </w:r>
            <w:r w:rsidR="00B92C6C">
              <w:rPr>
                <w:rFonts w:asciiTheme="minorHAnsi" w:eastAsiaTheme="minorEastAsia" w:hAnsiTheme="minorHAnsi" w:cstheme="minorBidi"/>
                <w:szCs w:val="22"/>
              </w:rPr>
              <w:tab/>
            </w:r>
            <w:r w:rsidR="00B92C6C" w:rsidRPr="00DC42F2">
              <w:rPr>
                <w:rStyle w:val="Hyperlink"/>
              </w:rPr>
              <w:t>Scope and Methodology</w:t>
            </w:r>
            <w:r w:rsidR="00B92C6C">
              <w:rPr>
                <w:webHidden/>
              </w:rPr>
              <w:tab/>
            </w:r>
            <w:r w:rsidR="00B92C6C">
              <w:rPr>
                <w:webHidden/>
              </w:rPr>
              <w:fldChar w:fldCharType="begin"/>
            </w:r>
            <w:r w:rsidR="00B92C6C">
              <w:rPr>
                <w:webHidden/>
              </w:rPr>
              <w:instrText xml:space="preserve"> PAGEREF _Toc497750211 \h </w:instrText>
            </w:r>
            <w:r w:rsidR="00B92C6C">
              <w:rPr>
                <w:webHidden/>
              </w:rPr>
            </w:r>
            <w:r w:rsidR="00B92C6C">
              <w:rPr>
                <w:webHidden/>
              </w:rPr>
              <w:fldChar w:fldCharType="separate"/>
            </w:r>
            <w:r w:rsidR="00681CD9">
              <w:rPr>
                <w:webHidden/>
              </w:rPr>
              <w:t>12</w:t>
            </w:r>
            <w:r w:rsidR="00B92C6C">
              <w:rPr>
                <w:webHidden/>
              </w:rPr>
              <w:fldChar w:fldCharType="end"/>
            </w:r>
          </w:hyperlink>
        </w:p>
        <w:p w14:paraId="24679ECD" w14:textId="77777777" w:rsidR="00B92C6C" w:rsidRDefault="00F70FAB">
          <w:pPr>
            <w:pStyle w:val="TOC1"/>
            <w:tabs>
              <w:tab w:val="left" w:pos="440"/>
            </w:tabs>
            <w:rPr>
              <w:rFonts w:asciiTheme="minorHAnsi" w:eastAsiaTheme="minorEastAsia" w:hAnsiTheme="minorHAnsi" w:cstheme="minorBidi"/>
              <w:szCs w:val="22"/>
            </w:rPr>
          </w:pPr>
          <w:hyperlink w:anchor="_Toc497750212" w:history="1">
            <w:r w:rsidR="00B92C6C" w:rsidRPr="00DC42F2">
              <w:rPr>
                <w:rStyle w:val="Hyperlink"/>
                <w14:scene3d>
                  <w14:camera w14:prst="orthographicFront"/>
                  <w14:lightRig w14:rig="threePt" w14:dir="t">
                    <w14:rot w14:lat="0" w14:lon="0" w14:rev="0"/>
                  </w14:lightRig>
                </w14:scene3d>
              </w:rPr>
              <w:t>4</w:t>
            </w:r>
            <w:r w:rsidR="00B92C6C">
              <w:rPr>
                <w:rFonts w:asciiTheme="minorHAnsi" w:eastAsiaTheme="minorEastAsia" w:hAnsiTheme="minorHAnsi" w:cstheme="minorBidi"/>
                <w:szCs w:val="22"/>
              </w:rPr>
              <w:tab/>
            </w:r>
            <w:r w:rsidR="00B92C6C" w:rsidRPr="00DC42F2">
              <w:rPr>
                <w:rStyle w:val="Hyperlink"/>
              </w:rPr>
              <w:t>Results</w:t>
            </w:r>
            <w:r w:rsidR="00B92C6C">
              <w:rPr>
                <w:webHidden/>
              </w:rPr>
              <w:tab/>
            </w:r>
            <w:r w:rsidR="00B92C6C">
              <w:rPr>
                <w:webHidden/>
              </w:rPr>
              <w:fldChar w:fldCharType="begin"/>
            </w:r>
            <w:r w:rsidR="00B92C6C">
              <w:rPr>
                <w:webHidden/>
              </w:rPr>
              <w:instrText xml:space="preserve"> PAGEREF _Toc497750212 \h </w:instrText>
            </w:r>
            <w:r w:rsidR="00B92C6C">
              <w:rPr>
                <w:webHidden/>
              </w:rPr>
            </w:r>
            <w:r w:rsidR="00B92C6C">
              <w:rPr>
                <w:webHidden/>
              </w:rPr>
              <w:fldChar w:fldCharType="separate"/>
            </w:r>
            <w:r w:rsidR="00681CD9">
              <w:rPr>
                <w:webHidden/>
              </w:rPr>
              <w:t>15</w:t>
            </w:r>
            <w:r w:rsidR="00B92C6C">
              <w:rPr>
                <w:webHidden/>
              </w:rPr>
              <w:fldChar w:fldCharType="end"/>
            </w:r>
          </w:hyperlink>
        </w:p>
        <w:p w14:paraId="3643E92D" w14:textId="77777777" w:rsidR="00B92C6C" w:rsidRDefault="00F70FAB">
          <w:pPr>
            <w:pStyle w:val="TOC1"/>
            <w:rPr>
              <w:rFonts w:asciiTheme="minorHAnsi" w:eastAsiaTheme="minorEastAsia" w:hAnsiTheme="minorHAnsi" w:cstheme="minorBidi"/>
              <w:szCs w:val="22"/>
            </w:rPr>
          </w:pPr>
          <w:hyperlink w:anchor="_Toc497750213" w:history="1">
            <w:r w:rsidR="00B92C6C" w:rsidRPr="00DC42F2">
              <w:rPr>
                <w:rStyle w:val="Hyperlink"/>
              </w:rPr>
              <w:t>Appendix A: Analysis performed to determine the minimum sample size</w:t>
            </w:r>
            <w:r w:rsidR="00B92C6C">
              <w:rPr>
                <w:webHidden/>
              </w:rPr>
              <w:tab/>
            </w:r>
            <w:r w:rsidR="00B92C6C">
              <w:rPr>
                <w:webHidden/>
              </w:rPr>
              <w:fldChar w:fldCharType="begin"/>
            </w:r>
            <w:r w:rsidR="00B92C6C">
              <w:rPr>
                <w:webHidden/>
              </w:rPr>
              <w:instrText xml:space="preserve"> PAGEREF _Toc497750213 \h </w:instrText>
            </w:r>
            <w:r w:rsidR="00B92C6C">
              <w:rPr>
                <w:webHidden/>
              </w:rPr>
            </w:r>
            <w:r w:rsidR="00B92C6C">
              <w:rPr>
                <w:webHidden/>
              </w:rPr>
              <w:fldChar w:fldCharType="separate"/>
            </w:r>
            <w:r w:rsidR="00681CD9">
              <w:rPr>
                <w:webHidden/>
              </w:rPr>
              <w:t>41</w:t>
            </w:r>
            <w:r w:rsidR="00B92C6C">
              <w:rPr>
                <w:webHidden/>
              </w:rPr>
              <w:fldChar w:fldCharType="end"/>
            </w:r>
          </w:hyperlink>
        </w:p>
        <w:p w14:paraId="665540DB" w14:textId="77777777" w:rsidR="00B92C6C" w:rsidRDefault="00F70FAB">
          <w:pPr>
            <w:pStyle w:val="TOC1"/>
            <w:rPr>
              <w:rFonts w:asciiTheme="minorHAnsi" w:eastAsiaTheme="minorEastAsia" w:hAnsiTheme="minorHAnsi" w:cstheme="minorBidi"/>
              <w:szCs w:val="22"/>
            </w:rPr>
          </w:pPr>
          <w:hyperlink w:anchor="_Toc497750214" w:history="1">
            <w:r w:rsidR="00B92C6C" w:rsidRPr="00DC42F2">
              <w:rPr>
                <w:rStyle w:val="Hyperlink"/>
              </w:rPr>
              <w:t>Appendix B: Detailed methodology</w:t>
            </w:r>
            <w:r w:rsidR="00B92C6C">
              <w:rPr>
                <w:webHidden/>
              </w:rPr>
              <w:tab/>
            </w:r>
            <w:r w:rsidR="00B92C6C">
              <w:rPr>
                <w:webHidden/>
              </w:rPr>
              <w:fldChar w:fldCharType="begin"/>
            </w:r>
            <w:r w:rsidR="00B92C6C">
              <w:rPr>
                <w:webHidden/>
              </w:rPr>
              <w:instrText xml:space="preserve"> PAGEREF _Toc497750214 \h </w:instrText>
            </w:r>
            <w:r w:rsidR="00B92C6C">
              <w:rPr>
                <w:webHidden/>
              </w:rPr>
            </w:r>
            <w:r w:rsidR="00B92C6C">
              <w:rPr>
                <w:webHidden/>
              </w:rPr>
              <w:fldChar w:fldCharType="separate"/>
            </w:r>
            <w:r w:rsidR="00681CD9">
              <w:rPr>
                <w:webHidden/>
              </w:rPr>
              <w:t>45</w:t>
            </w:r>
            <w:r w:rsidR="00B92C6C">
              <w:rPr>
                <w:webHidden/>
              </w:rPr>
              <w:fldChar w:fldCharType="end"/>
            </w:r>
          </w:hyperlink>
        </w:p>
        <w:p w14:paraId="6FA605C5" w14:textId="77777777" w:rsidR="00B92C6C" w:rsidRDefault="00F70FAB">
          <w:pPr>
            <w:pStyle w:val="TOC1"/>
            <w:rPr>
              <w:rFonts w:asciiTheme="minorHAnsi" w:eastAsiaTheme="minorEastAsia" w:hAnsiTheme="minorHAnsi" w:cstheme="minorBidi"/>
              <w:szCs w:val="22"/>
            </w:rPr>
          </w:pPr>
          <w:hyperlink w:anchor="_Toc497750215" w:history="1">
            <w:r w:rsidR="00B92C6C" w:rsidRPr="00DC42F2">
              <w:rPr>
                <w:rStyle w:val="Hyperlink"/>
              </w:rPr>
              <w:t>Appendix C: Standard error range for the Round 20 private sector NHCDC</w:t>
            </w:r>
            <w:r w:rsidR="00B92C6C">
              <w:rPr>
                <w:webHidden/>
              </w:rPr>
              <w:tab/>
            </w:r>
            <w:r w:rsidR="00B92C6C">
              <w:rPr>
                <w:webHidden/>
              </w:rPr>
              <w:fldChar w:fldCharType="begin"/>
            </w:r>
            <w:r w:rsidR="00B92C6C">
              <w:rPr>
                <w:webHidden/>
              </w:rPr>
              <w:instrText xml:space="preserve"> PAGEREF _Toc497750215 \h </w:instrText>
            </w:r>
            <w:r w:rsidR="00B92C6C">
              <w:rPr>
                <w:webHidden/>
              </w:rPr>
            </w:r>
            <w:r w:rsidR="00B92C6C">
              <w:rPr>
                <w:webHidden/>
              </w:rPr>
              <w:fldChar w:fldCharType="separate"/>
            </w:r>
            <w:r w:rsidR="00681CD9">
              <w:rPr>
                <w:webHidden/>
              </w:rPr>
              <w:t>50</w:t>
            </w:r>
            <w:r w:rsidR="00B92C6C">
              <w:rPr>
                <w:webHidden/>
              </w:rPr>
              <w:fldChar w:fldCharType="end"/>
            </w:r>
          </w:hyperlink>
        </w:p>
        <w:p w14:paraId="4F384C34" w14:textId="77777777" w:rsidR="00B92C6C" w:rsidRDefault="00F70FAB">
          <w:pPr>
            <w:pStyle w:val="TOC1"/>
            <w:rPr>
              <w:rFonts w:asciiTheme="minorHAnsi" w:eastAsiaTheme="minorEastAsia" w:hAnsiTheme="minorHAnsi" w:cstheme="minorBidi"/>
              <w:szCs w:val="22"/>
            </w:rPr>
          </w:pPr>
          <w:hyperlink w:anchor="_Toc497750216" w:history="1">
            <w:r w:rsidR="00B92C6C" w:rsidRPr="00DC42F2">
              <w:rPr>
                <w:rStyle w:val="Hyperlink"/>
              </w:rPr>
              <w:t>Appendix D: Cost weight tables by AR-DRG Version 8.0</w:t>
            </w:r>
            <w:r w:rsidR="00B92C6C">
              <w:rPr>
                <w:webHidden/>
              </w:rPr>
              <w:tab/>
            </w:r>
            <w:r w:rsidR="00B92C6C">
              <w:rPr>
                <w:webHidden/>
              </w:rPr>
              <w:fldChar w:fldCharType="begin"/>
            </w:r>
            <w:r w:rsidR="00B92C6C">
              <w:rPr>
                <w:webHidden/>
              </w:rPr>
              <w:instrText xml:space="preserve"> PAGEREF _Toc497750216 \h </w:instrText>
            </w:r>
            <w:r w:rsidR="00B92C6C">
              <w:rPr>
                <w:webHidden/>
              </w:rPr>
            </w:r>
            <w:r w:rsidR="00B92C6C">
              <w:rPr>
                <w:webHidden/>
              </w:rPr>
              <w:fldChar w:fldCharType="separate"/>
            </w:r>
            <w:r w:rsidR="00681CD9">
              <w:rPr>
                <w:webHidden/>
              </w:rPr>
              <w:t>51</w:t>
            </w:r>
            <w:r w:rsidR="00B92C6C">
              <w:rPr>
                <w:webHidden/>
              </w:rPr>
              <w:fldChar w:fldCharType="end"/>
            </w:r>
          </w:hyperlink>
        </w:p>
        <w:p w14:paraId="3DD04779" w14:textId="77777777" w:rsidR="00B92C6C" w:rsidRDefault="00F70FAB">
          <w:pPr>
            <w:pStyle w:val="TOC1"/>
            <w:rPr>
              <w:rFonts w:asciiTheme="minorHAnsi" w:eastAsiaTheme="minorEastAsia" w:hAnsiTheme="minorHAnsi" w:cstheme="minorBidi"/>
              <w:szCs w:val="22"/>
            </w:rPr>
          </w:pPr>
          <w:hyperlink w:anchor="_Toc497750217" w:history="1">
            <w:r w:rsidR="00B92C6C" w:rsidRPr="00DC42F2">
              <w:rPr>
                <w:rStyle w:val="Hyperlink"/>
              </w:rPr>
              <w:t>Appendix E: Cost weight tables by AR-DRG Version 7.0</w:t>
            </w:r>
            <w:r w:rsidR="00B92C6C">
              <w:rPr>
                <w:webHidden/>
              </w:rPr>
              <w:tab/>
            </w:r>
            <w:r w:rsidR="00B92C6C">
              <w:rPr>
                <w:webHidden/>
              </w:rPr>
              <w:fldChar w:fldCharType="begin"/>
            </w:r>
            <w:r w:rsidR="00B92C6C">
              <w:rPr>
                <w:webHidden/>
              </w:rPr>
              <w:instrText xml:space="preserve"> PAGEREF _Toc497750217 \h </w:instrText>
            </w:r>
            <w:r w:rsidR="00B92C6C">
              <w:rPr>
                <w:webHidden/>
              </w:rPr>
            </w:r>
            <w:r w:rsidR="00B92C6C">
              <w:rPr>
                <w:webHidden/>
              </w:rPr>
              <w:fldChar w:fldCharType="separate"/>
            </w:r>
            <w:r w:rsidR="00681CD9">
              <w:rPr>
                <w:webHidden/>
              </w:rPr>
              <w:t>52</w:t>
            </w:r>
            <w:r w:rsidR="00B92C6C">
              <w:rPr>
                <w:webHidden/>
              </w:rPr>
              <w:fldChar w:fldCharType="end"/>
            </w:r>
          </w:hyperlink>
        </w:p>
        <w:p w14:paraId="7A52CBF6" w14:textId="77777777" w:rsidR="00B92C6C" w:rsidRDefault="00F70FAB">
          <w:pPr>
            <w:pStyle w:val="TOC1"/>
            <w:rPr>
              <w:rFonts w:asciiTheme="minorHAnsi" w:eastAsiaTheme="minorEastAsia" w:hAnsiTheme="minorHAnsi" w:cstheme="minorBidi"/>
              <w:szCs w:val="22"/>
            </w:rPr>
          </w:pPr>
          <w:hyperlink w:anchor="_Toc497750218" w:history="1">
            <w:r w:rsidR="00B92C6C" w:rsidRPr="00DC42F2">
              <w:rPr>
                <w:rStyle w:val="Hyperlink"/>
              </w:rPr>
              <w:t>Appendix F: Cost weight tables by AR-DRG Version 6.0x</w:t>
            </w:r>
            <w:r w:rsidR="00B92C6C">
              <w:rPr>
                <w:webHidden/>
              </w:rPr>
              <w:tab/>
            </w:r>
            <w:r w:rsidR="00B92C6C">
              <w:rPr>
                <w:webHidden/>
              </w:rPr>
              <w:fldChar w:fldCharType="begin"/>
            </w:r>
            <w:r w:rsidR="00B92C6C">
              <w:rPr>
                <w:webHidden/>
              </w:rPr>
              <w:instrText xml:space="preserve"> PAGEREF _Toc497750218 \h </w:instrText>
            </w:r>
            <w:r w:rsidR="00B92C6C">
              <w:rPr>
                <w:webHidden/>
              </w:rPr>
            </w:r>
            <w:r w:rsidR="00B92C6C">
              <w:rPr>
                <w:webHidden/>
              </w:rPr>
              <w:fldChar w:fldCharType="separate"/>
            </w:r>
            <w:r w:rsidR="00681CD9">
              <w:rPr>
                <w:webHidden/>
              </w:rPr>
              <w:t>53</w:t>
            </w:r>
            <w:r w:rsidR="00B92C6C">
              <w:rPr>
                <w:webHidden/>
              </w:rPr>
              <w:fldChar w:fldCharType="end"/>
            </w:r>
          </w:hyperlink>
        </w:p>
        <w:p w14:paraId="0646B4CD" w14:textId="747C070D" w:rsidR="002315CF" w:rsidRDefault="004A249A" w:rsidP="00D94A84">
          <w:pPr>
            <w:tabs>
              <w:tab w:val="right" w:leader="dot" w:pos="9214"/>
              <w:tab w:val="right" w:leader="dot" w:pos="9446"/>
            </w:tabs>
          </w:pPr>
          <w:r>
            <w:rPr>
              <w:b/>
              <w:noProof/>
            </w:rPr>
            <w:fldChar w:fldCharType="end"/>
          </w:r>
        </w:p>
      </w:sdtContent>
    </w:sdt>
    <w:p w14:paraId="606ECF1D" w14:textId="3ABAE31A" w:rsidR="00E7439E" w:rsidRPr="00561E73" w:rsidRDefault="00600F10" w:rsidP="00CD5F49">
      <w:pPr>
        <w:pStyle w:val="Intro"/>
        <w:rPr>
          <w:b/>
        </w:rPr>
      </w:pPr>
      <w:r>
        <w:br w:type="page"/>
      </w:r>
    </w:p>
    <w:p w14:paraId="4A39FD62" w14:textId="25189E2E" w:rsidR="004A249A" w:rsidRDefault="004A249A" w:rsidP="00B92C6C">
      <w:pPr>
        <w:pStyle w:val="Heading1"/>
        <w:numPr>
          <w:ilvl w:val="0"/>
          <w:numId w:val="0"/>
        </w:numPr>
      </w:pPr>
      <w:bookmarkStart w:id="7" w:name="_Toc497750206"/>
      <w:r>
        <w:lastRenderedPageBreak/>
        <w:t>Tables and figures</w:t>
      </w:r>
      <w:bookmarkEnd w:id="7"/>
    </w:p>
    <w:p w14:paraId="292D0822" w14:textId="73A0E694" w:rsidR="00561E73" w:rsidRPr="00764DBD" w:rsidRDefault="00561E73" w:rsidP="00764DBD">
      <w:pPr>
        <w:pStyle w:val="Heading2"/>
        <w:numPr>
          <w:ilvl w:val="0"/>
          <w:numId w:val="0"/>
        </w:numPr>
        <w:ind w:left="576" w:hanging="576"/>
      </w:pPr>
      <w:r w:rsidRPr="00764DBD">
        <w:t>List of</w:t>
      </w:r>
      <w:r w:rsidR="002507BE">
        <w:t xml:space="preserve"> </w:t>
      </w:r>
      <w:r w:rsidR="0046362C">
        <w:t>T</w:t>
      </w:r>
      <w:r w:rsidR="002507BE">
        <w:t>ables</w:t>
      </w:r>
    </w:p>
    <w:p w14:paraId="3D16BF9F" w14:textId="77777777" w:rsidR="00B92C6C" w:rsidRDefault="006F21D0">
      <w:pPr>
        <w:pStyle w:val="TableofFigures"/>
        <w:tabs>
          <w:tab w:val="right" w:leader="dot" w:pos="9436"/>
        </w:tabs>
        <w:rPr>
          <w:rFonts w:asciiTheme="minorHAnsi" w:eastAsiaTheme="minorEastAsia" w:hAnsiTheme="minorHAnsi" w:cstheme="minorBidi"/>
          <w:noProof/>
          <w:sz w:val="22"/>
          <w:szCs w:val="22"/>
          <w:lang w:eastAsia="en-AU"/>
        </w:rPr>
      </w:pPr>
      <w:r>
        <w:rPr>
          <w:rFonts w:asciiTheme="minorHAnsi" w:hAnsiTheme="minorHAnsi" w:cstheme="minorHAnsi"/>
          <w:snapToGrid w:val="0"/>
          <w:szCs w:val="22"/>
        </w:rPr>
        <w:fldChar w:fldCharType="begin"/>
      </w:r>
      <w:r>
        <w:rPr>
          <w:rFonts w:asciiTheme="minorHAnsi" w:hAnsiTheme="minorHAnsi" w:cstheme="minorHAnsi"/>
          <w:snapToGrid w:val="0"/>
          <w:szCs w:val="22"/>
        </w:rPr>
        <w:instrText xml:space="preserve"> TOC \f T \h \z \t "Table Headings 3" \c </w:instrText>
      </w:r>
      <w:r>
        <w:rPr>
          <w:rFonts w:asciiTheme="minorHAnsi" w:hAnsiTheme="minorHAnsi" w:cstheme="minorHAnsi"/>
          <w:snapToGrid w:val="0"/>
          <w:szCs w:val="22"/>
        </w:rPr>
        <w:fldChar w:fldCharType="separate"/>
      </w:r>
      <w:hyperlink w:anchor="_Toc497750015" w:history="1">
        <w:r w:rsidR="00B92C6C" w:rsidRPr="009B21CD">
          <w:rPr>
            <w:rStyle w:val="Hyperlink"/>
            <w:noProof/>
          </w:rPr>
          <w:t>Table 1. Summary of private hospital participation</w:t>
        </w:r>
        <w:r w:rsidR="00B92C6C">
          <w:rPr>
            <w:noProof/>
            <w:webHidden/>
          </w:rPr>
          <w:tab/>
        </w:r>
        <w:r w:rsidR="00B92C6C">
          <w:rPr>
            <w:noProof/>
            <w:webHidden/>
          </w:rPr>
          <w:fldChar w:fldCharType="begin"/>
        </w:r>
        <w:r w:rsidR="00B92C6C">
          <w:rPr>
            <w:noProof/>
            <w:webHidden/>
          </w:rPr>
          <w:instrText xml:space="preserve"> PAGEREF _Toc497750015 \h </w:instrText>
        </w:r>
        <w:r w:rsidR="00B92C6C">
          <w:rPr>
            <w:noProof/>
            <w:webHidden/>
          </w:rPr>
        </w:r>
        <w:r w:rsidR="00B92C6C">
          <w:rPr>
            <w:noProof/>
            <w:webHidden/>
          </w:rPr>
          <w:fldChar w:fldCharType="separate"/>
        </w:r>
        <w:r w:rsidR="00681CD9">
          <w:rPr>
            <w:noProof/>
            <w:webHidden/>
          </w:rPr>
          <w:t>6</w:t>
        </w:r>
        <w:r w:rsidR="00B92C6C">
          <w:rPr>
            <w:noProof/>
            <w:webHidden/>
          </w:rPr>
          <w:fldChar w:fldCharType="end"/>
        </w:r>
      </w:hyperlink>
    </w:p>
    <w:p w14:paraId="2CC217DF" w14:textId="77777777" w:rsidR="00B92C6C" w:rsidRDefault="00F70FAB">
      <w:pPr>
        <w:pStyle w:val="TableofFigures"/>
        <w:tabs>
          <w:tab w:val="right" w:leader="dot" w:pos="9436"/>
        </w:tabs>
        <w:rPr>
          <w:rFonts w:asciiTheme="minorHAnsi" w:eastAsiaTheme="minorEastAsia" w:hAnsiTheme="minorHAnsi" w:cstheme="minorBidi"/>
          <w:noProof/>
          <w:sz w:val="22"/>
          <w:szCs w:val="22"/>
          <w:lang w:eastAsia="en-AU"/>
        </w:rPr>
      </w:pPr>
      <w:hyperlink w:anchor="_Toc497750016" w:history="1">
        <w:r w:rsidR="00B92C6C" w:rsidRPr="009B21CD">
          <w:rPr>
            <w:rStyle w:val="Hyperlink"/>
            <w:noProof/>
          </w:rPr>
          <w:t>Table 2. Summary of private hospital participation</w:t>
        </w:r>
        <w:r w:rsidR="00B92C6C">
          <w:rPr>
            <w:noProof/>
            <w:webHidden/>
          </w:rPr>
          <w:tab/>
        </w:r>
        <w:r w:rsidR="00B92C6C">
          <w:rPr>
            <w:noProof/>
            <w:webHidden/>
          </w:rPr>
          <w:fldChar w:fldCharType="begin"/>
        </w:r>
        <w:r w:rsidR="00B92C6C">
          <w:rPr>
            <w:noProof/>
            <w:webHidden/>
          </w:rPr>
          <w:instrText xml:space="preserve"> PAGEREF _Toc497750016 \h </w:instrText>
        </w:r>
        <w:r w:rsidR="00B92C6C">
          <w:rPr>
            <w:noProof/>
            <w:webHidden/>
          </w:rPr>
        </w:r>
        <w:r w:rsidR="00B92C6C">
          <w:rPr>
            <w:noProof/>
            <w:webHidden/>
          </w:rPr>
          <w:fldChar w:fldCharType="separate"/>
        </w:r>
        <w:r w:rsidR="00681CD9">
          <w:rPr>
            <w:noProof/>
            <w:webHidden/>
          </w:rPr>
          <w:t>9</w:t>
        </w:r>
        <w:r w:rsidR="00B92C6C">
          <w:rPr>
            <w:noProof/>
            <w:webHidden/>
          </w:rPr>
          <w:fldChar w:fldCharType="end"/>
        </w:r>
      </w:hyperlink>
    </w:p>
    <w:p w14:paraId="2D1A8913" w14:textId="77777777" w:rsidR="00B92C6C" w:rsidRDefault="00F70FAB">
      <w:pPr>
        <w:pStyle w:val="TableofFigures"/>
        <w:tabs>
          <w:tab w:val="right" w:leader="dot" w:pos="9436"/>
        </w:tabs>
        <w:rPr>
          <w:rFonts w:asciiTheme="minorHAnsi" w:eastAsiaTheme="minorEastAsia" w:hAnsiTheme="minorHAnsi" w:cstheme="minorBidi"/>
          <w:noProof/>
          <w:sz w:val="22"/>
          <w:szCs w:val="22"/>
          <w:lang w:eastAsia="en-AU"/>
        </w:rPr>
      </w:pPr>
      <w:hyperlink w:anchor="_Toc497750017" w:history="1">
        <w:r w:rsidR="00B92C6C" w:rsidRPr="009B21CD">
          <w:rPr>
            <w:rStyle w:val="Hyperlink"/>
            <w:noProof/>
          </w:rPr>
          <w:t>Table 3. Round 20 participation rate confidence level and margin of error</w:t>
        </w:r>
        <w:r w:rsidR="00B92C6C">
          <w:rPr>
            <w:noProof/>
            <w:webHidden/>
          </w:rPr>
          <w:tab/>
        </w:r>
        <w:r w:rsidR="00B92C6C">
          <w:rPr>
            <w:noProof/>
            <w:webHidden/>
          </w:rPr>
          <w:fldChar w:fldCharType="begin"/>
        </w:r>
        <w:r w:rsidR="00B92C6C">
          <w:rPr>
            <w:noProof/>
            <w:webHidden/>
          </w:rPr>
          <w:instrText xml:space="preserve"> PAGEREF _Toc497750017 \h </w:instrText>
        </w:r>
        <w:r w:rsidR="00B92C6C">
          <w:rPr>
            <w:noProof/>
            <w:webHidden/>
          </w:rPr>
        </w:r>
        <w:r w:rsidR="00B92C6C">
          <w:rPr>
            <w:noProof/>
            <w:webHidden/>
          </w:rPr>
          <w:fldChar w:fldCharType="separate"/>
        </w:r>
        <w:r w:rsidR="00681CD9">
          <w:rPr>
            <w:noProof/>
            <w:webHidden/>
          </w:rPr>
          <w:t>13</w:t>
        </w:r>
        <w:r w:rsidR="00B92C6C">
          <w:rPr>
            <w:noProof/>
            <w:webHidden/>
          </w:rPr>
          <w:fldChar w:fldCharType="end"/>
        </w:r>
      </w:hyperlink>
    </w:p>
    <w:p w14:paraId="6E09672E" w14:textId="77777777" w:rsidR="00B92C6C" w:rsidRDefault="00F70FAB">
      <w:pPr>
        <w:pStyle w:val="TableofFigures"/>
        <w:tabs>
          <w:tab w:val="right" w:leader="dot" w:pos="9436"/>
        </w:tabs>
        <w:rPr>
          <w:rFonts w:asciiTheme="minorHAnsi" w:eastAsiaTheme="minorEastAsia" w:hAnsiTheme="minorHAnsi" w:cstheme="minorBidi"/>
          <w:noProof/>
          <w:sz w:val="22"/>
          <w:szCs w:val="22"/>
          <w:lang w:eastAsia="en-AU"/>
        </w:rPr>
      </w:pPr>
      <w:hyperlink w:anchor="_Toc497750018" w:history="1">
        <w:r w:rsidR="00B92C6C" w:rsidRPr="009B21CD">
          <w:rPr>
            <w:rStyle w:val="Hyperlink"/>
            <w:noProof/>
          </w:rPr>
          <w:t>Table 4. Comparison of separations and hospitals, Round 11 (2006-07) to Round 20 (2015-16)</w:t>
        </w:r>
        <w:r w:rsidR="00B92C6C">
          <w:rPr>
            <w:noProof/>
            <w:webHidden/>
          </w:rPr>
          <w:tab/>
        </w:r>
        <w:r w:rsidR="00B92C6C">
          <w:rPr>
            <w:noProof/>
            <w:webHidden/>
          </w:rPr>
          <w:fldChar w:fldCharType="begin"/>
        </w:r>
        <w:r w:rsidR="00B92C6C">
          <w:rPr>
            <w:noProof/>
            <w:webHidden/>
          </w:rPr>
          <w:instrText xml:space="preserve"> PAGEREF _Toc497750018 \h </w:instrText>
        </w:r>
        <w:r w:rsidR="00B92C6C">
          <w:rPr>
            <w:noProof/>
            <w:webHidden/>
          </w:rPr>
        </w:r>
        <w:r w:rsidR="00B92C6C">
          <w:rPr>
            <w:noProof/>
            <w:webHidden/>
          </w:rPr>
          <w:fldChar w:fldCharType="separate"/>
        </w:r>
        <w:r w:rsidR="00681CD9">
          <w:rPr>
            <w:noProof/>
            <w:webHidden/>
          </w:rPr>
          <w:t>15</w:t>
        </w:r>
        <w:r w:rsidR="00B92C6C">
          <w:rPr>
            <w:noProof/>
            <w:webHidden/>
          </w:rPr>
          <w:fldChar w:fldCharType="end"/>
        </w:r>
      </w:hyperlink>
    </w:p>
    <w:p w14:paraId="79C84246" w14:textId="77777777" w:rsidR="00B92C6C" w:rsidRDefault="00F70FAB">
      <w:pPr>
        <w:pStyle w:val="TableofFigures"/>
        <w:tabs>
          <w:tab w:val="right" w:leader="dot" w:pos="9436"/>
        </w:tabs>
        <w:rPr>
          <w:rFonts w:asciiTheme="minorHAnsi" w:eastAsiaTheme="minorEastAsia" w:hAnsiTheme="minorHAnsi" w:cstheme="minorBidi"/>
          <w:noProof/>
          <w:sz w:val="22"/>
          <w:szCs w:val="22"/>
          <w:lang w:eastAsia="en-AU"/>
        </w:rPr>
      </w:pPr>
      <w:hyperlink w:anchor="_Toc497750019" w:history="1">
        <w:r w:rsidR="00B92C6C" w:rsidRPr="009B21CD">
          <w:rPr>
            <w:rStyle w:val="Hyperlink"/>
            <w:noProof/>
          </w:rPr>
          <w:t>Table 5. Top 20 DRG ranked by highest cost weight</w:t>
        </w:r>
        <w:r w:rsidR="00B92C6C">
          <w:rPr>
            <w:noProof/>
            <w:webHidden/>
          </w:rPr>
          <w:tab/>
        </w:r>
        <w:r w:rsidR="00B92C6C">
          <w:rPr>
            <w:noProof/>
            <w:webHidden/>
          </w:rPr>
          <w:fldChar w:fldCharType="begin"/>
        </w:r>
        <w:r w:rsidR="00B92C6C">
          <w:rPr>
            <w:noProof/>
            <w:webHidden/>
          </w:rPr>
          <w:instrText xml:space="preserve"> PAGEREF _Toc497750019 \h </w:instrText>
        </w:r>
        <w:r w:rsidR="00B92C6C">
          <w:rPr>
            <w:noProof/>
            <w:webHidden/>
          </w:rPr>
        </w:r>
        <w:r w:rsidR="00B92C6C">
          <w:rPr>
            <w:noProof/>
            <w:webHidden/>
          </w:rPr>
          <w:fldChar w:fldCharType="separate"/>
        </w:r>
        <w:r w:rsidR="00681CD9">
          <w:rPr>
            <w:noProof/>
            <w:webHidden/>
          </w:rPr>
          <w:t>18</w:t>
        </w:r>
        <w:r w:rsidR="00B92C6C">
          <w:rPr>
            <w:noProof/>
            <w:webHidden/>
          </w:rPr>
          <w:fldChar w:fldCharType="end"/>
        </w:r>
      </w:hyperlink>
    </w:p>
    <w:p w14:paraId="12A36D4C" w14:textId="77777777" w:rsidR="00B92C6C" w:rsidRDefault="00F70FAB">
      <w:pPr>
        <w:pStyle w:val="TableofFigures"/>
        <w:tabs>
          <w:tab w:val="right" w:leader="dot" w:pos="9436"/>
        </w:tabs>
        <w:rPr>
          <w:rFonts w:asciiTheme="minorHAnsi" w:eastAsiaTheme="minorEastAsia" w:hAnsiTheme="minorHAnsi" w:cstheme="minorBidi"/>
          <w:noProof/>
          <w:sz w:val="22"/>
          <w:szCs w:val="22"/>
          <w:lang w:eastAsia="en-AU"/>
        </w:rPr>
      </w:pPr>
      <w:hyperlink w:anchor="_Toc497750020" w:history="1">
        <w:r w:rsidR="00B92C6C" w:rsidRPr="009B21CD">
          <w:rPr>
            <w:rStyle w:val="Hyperlink"/>
            <w:noProof/>
          </w:rPr>
          <w:t>Table 6. Top 20 DRGs ranked by highest volume of population adjusted separations</w:t>
        </w:r>
        <w:r w:rsidR="00B92C6C">
          <w:rPr>
            <w:noProof/>
            <w:webHidden/>
          </w:rPr>
          <w:tab/>
        </w:r>
        <w:r w:rsidR="00B92C6C">
          <w:rPr>
            <w:noProof/>
            <w:webHidden/>
          </w:rPr>
          <w:fldChar w:fldCharType="begin"/>
        </w:r>
        <w:r w:rsidR="00B92C6C">
          <w:rPr>
            <w:noProof/>
            <w:webHidden/>
          </w:rPr>
          <w:instrText xml:space="preserve"> PAGEREF _Toc497750020 \h </w:instrText>
        </w:r>
        <w:r w:rsidR="00B92C6C">
          <w:rPr>
            <w:noProof/>
            <w:webHidden/>
          </w:rPr>
        </w:r>
        <w:r w:rsidR="00B92C6C">
          <w:rPr>
            <w:noProof/>
            <w:webHidden/>
          </w:rPr>
          <w:fldChar w:fldCharType="separate"/>
        </w:r>
        <w:r w:rsidR="00681CD9">
          <w:rPr>
            <w:noProof/>
            <w:webHidden/>
          </w:rPr>
          <w:t>21</w:t>
        </w:r>
        <w:r w:rsidR="00B92C6C">
          <w:rPr>
            <w:noProof/>
            <w:webHidden/>
          </w:rPr>
          <w:fldChar w:fldCharType="end"/>
        </w:r>
      </w:hyperlink>
    </w:p>
    <w:p w14:paraId="22A4A573" w14:textId="77777777" w:rsidR="00B92C6C" w:rsidRDefault="00F70FAB">
      <w:pPr>
        <w:pStyle w:val="TableofFigures"/>
        <w:tabs>
          <w:tab w:val="right" w:leader="dot" w:pos="9436"/>
        </w:tabs>
        <w:rPr>
          <w:rFonts w:asciiTheme="minorHAnsi" w:eastAsiaTheme="minorEastAsia" w:hAnsiTheme="minorHAnsi" w:cstheme="minorBidi"/>
          <w:noProof/>
          <w:sz w:val="22"/>
          <w:szCs w:val="22"/>
          <w:lang w:eastAsia="en-AU"/>
        </w:rPr>
      </w:pPr>
      <w:hyperlink w:anchor="_Toc497750021" w:history="1">
        <w:r w:rsidR="00B92C6C" w:rsidRPr="009B21CD">
          <w:rPr>
            <w:rStyle w:val="Hyperlink"/>
            <w:noProof/>
          </w:rPr>
          <w:t>Table 7. Top 20 DRGs ranked by highest cost weighted separations</w:t>
        </w:r>
        <w:r w:rsidR="00B92C6C">
          <w:rPr>
            <w:noProof/>
            <w:webHidden/>
          </w:rPr>
          <w:tab/>
        </w:r>
        <w:r w:rsidR="00B92C6C">
          <w:rPr>
            <w:noProof/>
            <w:webHidden/>
          </w:rPr>
          <w:fldChar w:fldCharType="begin"/>
        </w:r>
        <w:r w:rsidR="00B92C6C">
          <w:rPr>
            <w:noProof/>
            <w:webHidden/>
          </w:rPr>
          <w:instrText xml:space="preserve"> PAGEREF _Toc497750021 \h </w:instrText>
        </w:r>
        <w:r w:rsidR="00B92C6C">
          <w:rPr>
            <w:noProof/>
            <w:webHidden/>
          </w:rPr>
        </w:r>
        <w:r w:rsidR="00B92C6C">
          <w:rPr>
            <w:noProof/>
            <w:webHidden/>
          </w:rPr>
          <w:fldChar w:fldCharType="separate"/>
        </w:r>
        <w:r w:rsidR="00681CD9">
          <w:rPr>
            <w:noProof/>
            <w:webHidden/>
          </w:rPr>
          <w:t>24</w:t>
        </w:r>
        <w:r w:rsidR="00B92C6C">
          <w:rPr>
            <w:noProof/>
            <w:webHidden/>
          </w:rPr>
          <w:fldChar w:fldCharType="end"/>
        </w:r>
      </w:hyperlink>
    </w:p>
    <w:p w14:paraId="216BE008" w14:textId="77777777" w:rsidR="00B92C6C" w:rsidRDefault="00F70FAB">
      <w:pPr>
        <w:pStyle w:val="TableofFigures"/>
        <w:tabs>
          <w:tab w:val="right" w:leader="dot" w:pos="9436"/>
        </w:tabs>
        <w:rPr>
          <w:rFonts w:asciiTheme="minorHAnsi" w:eastAsiaTheme="minorEastAsia" w:hAnsiTheme="minorHAnsi" w:cstheme="minorBidi"/>
          <w:noProof/>
          <w:sz w:val="22"/>
          <w:szCs w:val="22"/>
          <w:lang w:eastAsia="en-AU"/>
        </w:rPr>
      </w:pPr>
      <w:hyperlink w:anchor="_Toc497750022" w:history="1">
        <w:r w:rsidR="00B92C6C" w:rsidRPr="009B21CD">
          <w:rPr>
            <w:rStyle w:val="Hyperlink"/>
            <w:noProof/>
          </w:rPr>
          <w:t>Table 8. Top 20 DRGs ranked by ALoS</w:t>
        </w:r>
        <w:r w:rsidR="00B92C6C">
          <w:rPr>
            <w:noProof/>
            <w:webHidden/>
          </w:rPr>
          <w:tab/>
        </w:r>
        <w:r w:rsidR="00B92C6C">
          <w:rPr>
            <w:noProof/>
            <w:webHidden/>
          </w:rPr>
          <w:fldChar w:fldCharType="begin"/>
        </w:r>
        <w:r w:rsidR="00B92C6C">
          <w:rPr>
            <w:noProof/>
            <w:webHidden/>
          </w:rPr>
          <w:instrText xml:space="preserve"> PAGEREF _Toc497750022 \h </w:instrText>
        </w:r>
        <w:r w:rsidR="00B92C6C">
          <w:rPr>
            <w:noProof/>
            <w:webHidden/>
          </w:rPr>
        </w:r>
        <w:r w:rsidR="00B92C6C">
          <w:rPr>
            <w:noProof/>
            <w:webHidden/>
          </w:rPr>
          <w:fldChar w:fldCharType="separate"/>
        </w:r>
        <w:r w:rsidR="00681CD9">
          <w:rPr>
            <w:noProof/>
            <w:webHidden/>
          </w:rPr>
          <w:t>27</w:t>
        </w:r>
        <w:r w:rsidR="00B92C6C">
          <w:rPr>
            <w:noProof/>
            <w:webHidden/>
          </w:rPr>
          <w:fldChar w:fldCharType="end"/>
        </w:r>
      </w:hyperlink>
    </w:p>
    <w:p w14:paraId="427E4FAC" w14:textId="4EBD08A2" w:rsidR="00B92C6C" w:rsidRDefault="00F70FAB">
      <w:pPr>
        <w:pStyle w:val="TableofFigures"/>
        <w:tabs>
          <w:tab w:val="right" w:leader="dot" w:pos="9436"/>
        </w:tabs>
        <w:rPr>
          <w:rFonts w:asciiTheme="minorHAnsi" w:eastAsiaTheme="minorEastAsia" w:hAnsiTheme="minorHAnsi" w:cstheme="minorBidi"/>
          <w:noProof/>
          <w:sz w:val="22"/>
          <w:szCs w:val="22"/>
          <w:lang w:eastAsia="en-AU"/>
        </w:rPr>
      </w:pPr>
      <w:hyperlink w:anchor="_Toc497750023" w:history="1">
        <w:r w:rsidR="00B92C6C" w:rsidRPr="009B21CD">
          <w:rPr>
            <w:rStyle w:val="Hyperlink"/>
            <w:noProof/>
          </w:rPr>
          <w:t>Table 9. Breakdown of cost by cost-bucket group, Round 20 versus Round 18</w:t>
        </w:r>
        <w:r w:rsidR="00B92C6C">
          <w:rPr>
            <w:noProof/>
            <w:webHidden/>
          </w:rPr>
          <w:tab/>
        </w:r>
        <w:r w:rsidR="00B92C6C">
          <w:rPr>
            <w:noProof/>
            <w:webHidden/>
          </w:rPr>
          <w:fldChar w:fldCharType="begin"/>
        </w:r>
        <w:r w:rsidR="00B92C6C">
          <w:rPr>
            <w:noProof/>
            <w:webHidden/>
          </w:rPr>
          <w:instrText xml:space="preserve"> PAGEREF _Toc497750023 \h </w:instrText>
        </w:r>
        <w:r w:rsidR="00B92C6C">
          <w:rPr>
            <w:noProof/>
            <w:webHidden/>
          </w:rPr>
        </w:r>
        <w:r w:rsidR="00B92C6C">
          <w:rPr>
            <w:noProof/>
            <w:webHidden/>
          </w:rPr>
          <w:fldChar w:fldCharType="separate"/>
        </w:r>
        <w:r w:rsidR="00681CD9">
          <w:rPr>
            <w:noProof/>
            <w:webHidden/>
          </w:rPr>
          <w:t>28</w:t>
        </w:r>
        <w:r w:rsidR="00B92C6C">
          <w:rPr>
            <w:noProof/>
            <w:webHidden/>
          </w:rPr>
          <w:fldChar w:fldCharType="end"/>
        </w:r>
      </w:hyperlink>
    </w:p>
    <w:p w14:paraId="02C35F3E" w14:textId="77777777" w:rsidR="00B92C6C" w:rsidRDefault="00F70FAB">
      <w:pPr>
        <w:pStyle w:val="TableofFigures"/>
        <w:tabs>
          <w:tab w:val="right" w:leader="dot" w:pos="9436"/>
        </w:tabs>
        <w:rPr>
          <w:rFonts w:asciiTheme="minorHAnsi" w:eastAsiaTheme="minorEastAsia" w:hAnsiTheme="minorHAnsi" w:cstheme="minorBidi"/>
          <w:noProof/>
          <w:sz w:val="22"/>
          <w:szCs w:val="22"/>
          <w:lang w:eastAsia="en-AU"/>
        </w:rPr>
      </w:pPr>
      <w:hyperlink w:anchor="_Toc497750024" w:history="1">
        <w:r w:rsidR="00B92C6C" w:rsidRPr="009B21CD">
          <w:rPr>
            <w:rStyle w:val="Hyperlink"/>
            <w:noProof/>
          </w:rPr>
          <w:t>Table 10. Top 20 DRG for critical care cost bucket</w:t>
        </w:r>
        <w:r w:rsidR="00B92C6C">
          <w:rPr>
            <w:noProof/>
            <w:webHidden/>
          </w:rPr>
          <w:tab/>
        </w:r>
        <w:r w:rsidR="00B92C6C">
          <w:rPr>
            <w:noProof/>
            <w:webHidden/>
          </w:rPr>
          <w:fldChar w:fldCharType="begin"/>
        </w:r>
        <w:r w:rsidR="00B92C6C">
          <w:rPr>
            <w:noProof/>
            <w:webHidden/>
          </w:rPr>
          <w:instrText xml:space="preserve"> PAGEREF _Toc497750024 \h </w:instrText>
        </w:r>
        <w:r w:rsidR="00B92C6C">
          <w:rPr>
            <w:noProof/>
            <w:webHidden/>
          </w:rPr>
        </w:r>
        <w:r w:rsidR="00B92C6C">
          <w:rPr>
            <w:noProof/>
            <w:webHidden/>
          </w:rPr>
          <w:fldChar w:fldCharType="separate"/>
        </w:r>
        <w:r w:rsidR="00681CD9">
          <w:rPr>
            <w:noProof/>
            <w:webHidden/>
          </w:rPr>
          <w:t>31</w:t>
        </w:r>
        <w:r w:rsidR="00B92C6C">
          <w:rPr>
            <w:noProof/>
            <w:webHidden/>
          </w:rPr>
          <w:fldChar w:fldCharType="end"/>
        </w:r>
      </w:hyperlink>
    </w:p>
    <w:p w14:paraId="1C297444" w14:textId="77777777" w:rsidR="00B92C6C" w:rsidRDefault="00F70FAB">
      <w:pPr>
        <w:pStyle w:val="TableofFigures"/>
        <w:tabs>
          <w:tab w:val="right" w:leader="dot" w:pos="9436"/>
        </w:tabs>
        <w:rPr>
          <w:rFonts w:asciiTheme="minorHAnsi" w:eastAsiaTheme="minorEastAsia" w:hAnsiTheme="minorHAnsi" w:cstheme="minorBidi"/>
          <w:noProof/>
          <w:sz w:val="22"/>
          <w:szCs w:val="22"/>
          <w:lang w:eastAsia="en-AU"/>
        </w:rPr>
      </w:pPr>
      <w:hyperlink w:anchor="_Toc497750025" w:history="1">
        <w:r w:rsidR="00B92C6C" w:rsidRPr="009B21CD">
          <w:rPr>
            <w:rStyle w:val="Hyperlink"/>
            <w:noProof/>
          </w:rPr>
          <w:t>Table 11. Top 20 DRGs for operating room/specialised procedure suite cost bucket</w:t>
        </w:r>
        <w:r w:rsidR="00B92C6C">
          <w:rPr>
            <w:noProof/>
            <w:webHidden/>
          </w:rPr>
          <w:tab/>
        </w:r>
        <w:r w:rsidR="00B92C6C">
          <w:rPr>
            <w:noProof/>
            <w:webHidden/>
          </w:rPr>
          <w:fldChar w:fldCharType="begin"/>
        </w:r>
        <w:r w:rsidR="00B92C6C">
          <w:rPr>
            <w:noProof/>
            <w:webHidden/>
          </w:rPr>
          <w:instrText xml:space="preserve"> PAGEREF _Toc497750025 \h </w:instrText>
        </w:r>
        <w:r w:rsidR="00B92C6C">
          <w:rPr>
            <w:noProof/>
            <w:webHidden/>
          </w:rPr>
        </w:r>
        <w:r w:rsidR="00B92C6C">
          <w:rPr>
            <w:noProof/>
            <w:webHidden/>
          </w:rPr>
          <w:fldChar w:fldCharType="separate"/>
        </w:r>
        <w:r w:rsidR="00681CD9">
          <w:rPr>
            <w:noProof/>
            <w:webHidden/>
          </w:rPr>
          <w:t>34</w:t>
        </w:r>
        <w:r w:rsidR="00B92C6C">
          <w:rPr>
            <w:noProof/>
            <w:webHidden/>
          </w:rPr>
          <w:fldChar w:fldCharType="end"/>
        </w:r>
      </w:hyperlink>
    </w:p>
    <w:p w14:paraId="7D5E04A8" w14:textId="77777777" w:rsidR="00B92C6C" w:rsidRDefault="00F70FAB">
      <w:pPr>
        <w:pStyle w:val="TableofFigures"/>
        <w:tabs>
          <w:tab w:val="right" w:leader="dot" w:pos="9436"/>
        </w:tabs>
        <w:rPr>
          <w:rFonts w:asciiTheme="minorHAnsi" w:eastAsiaTheme="minorEastAsia" w:hAnsiTheme="minorHAnsi" w:cstheme="minorBidi"/>
          <w:noProof/>
          <w:sz w:val="22"/>
          <w:szCs w:val="22"/>
          <w:lang w:eastAsia="en-AU"/>
        </w:rPr>
      </w:pPr>
      <w:hyperlink w:anchor="_Toc497750026" w:history="1">
        <w:r w:rsidR="00B92C6C" w:rsidRPr="009B21CD">
          <w:rPr>
            <w:rStyle w:val="Hyperlink"/>
            <w:noProof/>
          </w:rPr>
          <w:t>Table 12. Top 20 DRGs for prostheses cost bucket</w:t>
        </w:r>
        <w:r w:rsidR="00B92C6C">
          <w:rPr>
            <w:noProof/>
            <w:webHidden/>
          </w:rPr>
          <w:tab/>
        </w:r>
        <w:r w:rsidR="00B92C6C">
          <w:rPr>
            <w:noProof/>
            <w:webHidden/>
          </w:rPr>
          <w:fldChar w:fldCharType="begin"/>
        </w:r>
        <w:r w:rsidR="00B92C6C">
          <w:rPr>
            <w:noProof/>
            <w:webHidden/>
          </w:rPr>
          <w:instrText xml:space="preserve"> PAGEREF _Toc497750026 \h </w:instrText>
        </w:r>
        <w:r w:rsidR="00B92C6C">
          <w:rPr>
            <w:noProof/>
            <w:webHidden/>
          </w:rPr>
        </w:r>
        <w:r w:rsidR="00B92C6C">
          <w:rPr>
            <w:noProof/>
            <w:webHidden/>
          </w:rPr>
          <w:fldChar w:fldCharType="separate"/>
        </w:r>
        <w:r w:rsidR="00681CD9">
          <w:rPr>
            <w:noProof/>
            <w:webHidden/>
          </w:rPr>
          <w:t>37</w:t>
        </w:r>
        <w:r w:rsidR="00B92C6C">
          <w:rPr>
            <w:noProof/>
            <w:webHidden/>
          </w:rPr>
          <w:fldChar w:fldCharType="end"/>
        </w:r>
      </w:hyperlink>
    </w:p>
    <w:p w14:paraId="1AE59B77" w14:textId="77777777" w:rsidR="00B92C6C" w:rsidRDefault="00F70FAB">
      <w:pPr>
        <w:pStyle w:val="TableofFigures"/>
        <w:tabs>
          <w:tab w:val="right" w:leader="dot" w:pos="9436"/>
        </w:tabs>
        <w:rPr>
          <w:rFonts w:asciiTheme="minorHAnsi" w:eastAsiaTheme="minorEastAsia" w:hAnsiTheme="minorHAnsi" w:cstheme="minorBidi"/>
          <w:noProof/>
          <w:sz w:val="22"/>
          <w:szCs w:val="22"/>
          <w:lang w:eastAsia="en-AU"/>
        </w:rPr>
      </w:pPr>
      <w:hyperlink w:anchor="_Toc497750027" w:history="1">
        <w:r w:rsidR="00B92C6C" w:rsidRPr="009B21CD">
          <w:rPr>
            <w:rStyle w:val="Hyperlink"/>
            <w:noProof/>
          </w:rPr>
          <w:t>Table 13. Top 20 DRGs for miscellaneous (Misc.) cost bucket</w:t>
        </w:r>
        <w:r w:rsidR="00B92C6C">
          <w:rPr>
            <w:noProof/>
            <w:webHidden/>
          </w:rPr>
          <w:tab/>
        </w:r>
        <w:r w:rsidR="00B92C6C">
          <w:rPr>
            <w:noProof/>
            <w:webHidden/>
          </w:rPr>
          <w:fldChar w:fldCharType="begin"/>
        </w:r>
        <w:r w:rsidR="00B92C6C">
          <w:rPr>
            <w:noProof/>
            <w:webHidden/>
          </w:rPr>
          <w:instrText xml:space="preserve"> PAGEREF _Toc497750027 \h </w:instrText>
        </w:r>
        <w:r w:rsidR="00B92C6C">
          <w:rPr>
            <w:noProof/>
            <w:webHidden/>
          </w:rPr>
        </w:r>
        <w:r w:rsidR="00B92C6C">
          <w:rPr>
            <w:noProof/>
            <w:webHidden/>
          </w:rPr>
          <w:fldChar w:fldCharType="separate"/>
        </w:r>
        <w:r w:rsidR="00681CD9">
          <w:rPr>
            <w:noProof/>
            <w:webHidden/>
          </w:rPr>
          <w:t>40</w:t>
        </w:r>
        <w:r w:rsidR="00B92C6C">
          <w:rPr>
            <w:noProof/>
            <w:webHidden/>
          </w:rPr>
          <w:fldChar w:fldCharType="end"/>
        </w:r>
      </w:hyperlink>
    </w:p>
    <w:p w14:paraId="7589F66D" w14:textId="77777777" w:rsidR="00B92C6C" w:rsidRDefault="00F70FAB">
      <w:pPr>
        <w:pStyle w:val="TableofFigures"/>
        <w:tabs>
          <w:tab w:val="right" w:leader="dot" w:pos="9436"/>
        </w:tabs>
        <w:rPr>
          <w:rFonts w:asciiTheme="minorHAnsi" w:eastAsiaTheme="minorEastAsia" w:hAnsiTheme="minorHAnsi" w:cstheme="minorBidi"/>
          <w:noProof/>
          <w:sz w:val="22"/>
          <w:szCs w:val="22"/>
          <w:lang w:eastAsia="en-AU"/>
        </w:rPr>
      </w:pPr>
      <w:hyperlink w:anchor="_Toc497750028" w:history="1">
        <w:r w:rsidR="00B92C6C" w:rsidRPr="009B21CD">
          <w:rPr>
            <w:rStyle w:val="Hyperlink"/>
            <w:noProof/>
          </w:rPr>
          <w:t>Table 14 Round 20 participation rate confidence level and margin of error.</w:t>
        </w:r>
        <w:r w:rsidR="00B92C6C">
          <w:rPr>
            <w:noProof/>
            <w:webHidden/>
          </w:rPr>
          <w:tab/>
        </w:r>
        <w:r w:rsidR="00B92C6C">
          <w:rPr>
            <w:noProof/>
            <w:webHidden/>
          </w:rPr>
          <w:fldChar w:fldCharType="begin"/>
        </w:r>
        <w:r w:rsidR="00B92C6C">
          <w:rPr>
            <w:noProof/>
            <w:webHidden/>
          </w:rPr>
          <w:instrText xml:space="preserve"> PAGEREF _Toc497750028 \h </w:instrText>
        </w:r>
        <w:r w:rsidR="00B92C6C">
          <w:rPr>
            <w:noProof/>
            <w:webHidden/>
          </w:rPr>
        </w:r>
        <w:r w:rsidR="00B92C6C">
          <w:rPr>
            <w:noProof/>
            <w:webHidden/>
          </w:rPr>
          <w:fldChar w:fldCharType="separate"/>
        </w:r>
        <w:r w:rsidR="00681CD9">
          <w:rPr>
            <w:noProof/>
            <w:webHidden/>
          </w:rPr>
          <w:t>43</w:t>
        </w:r>
        <w:r w:rsidR="00B92C6C">
          <w:rPr>
            <w:noProof/>
            <w:webHidden/>
          </w:rPr>
          <w:fldChar w:fldCharType="end"/>
        </w:r>
      </w:hyperlink>
    </w:p>
    <w:p w14:paraId="48BF9767" w14:textId="77777777" w:rsidR="00B92C6C" w:rsidRDefault="00F70FAB">
      <w:pPr>
        <w:pStyle w:val="TableofFigures"/>
        <w:tabs>
          <w:tab w:val="right" w:leader="dot" w:pos="9436"/>
        </w:tabs>
        <w:rPr>
          <w:rFonts w:asciiTheme="minorHAnsi" w:eastAsiaTheme="minorEastAsia" w:hAnsiTheme="minorHAnsi" w:cstheme="minorBidi"/>
          <w:noProof/>
          <w:sz w:val="22"/>
          <w:szCs w:val="22"/>
          <w:lang w:eastAsia="en-AU"/>
        </w:rPr>
      </w:pPr>
      <w:hyperlink w:anchor="_Toc497750029" w:history="1">
        <w:r w:rsidR="00B92C6C" w:rsidRPr="009B21CD">
          <w:rPr>
            <w:rStyle w:val="Hyperlink"/>
            <w:noProof/>
          </w:rPr>
          <w:t>Table 15. Number of DRGs by standard error range</w:t>
        </w:r>
        <w:r w:rsidR="00B92C6C">
          <w:rPr>
            <w:noProof/>
            <w:webHidden/>
          </w:rPr>
          <w:tab/>
        </w:r>
        <w:r w:rsidR="00B92C6C">
          <w:rPr>
            <w:noProof/>
            <w:webHidden/>
          </w:rPr>
          <w:fldChar w:fldCharType="begin"/>
        </w:r>
        <w:r w:rsidR="00B92C6C">
          <w:rPr>
            <w:noProof/>
            <w:webHidden/>
          </w:rPr>
          <w:instrText xml:space="preserve"> PAGEREF _Toc497750029 \h </w:instrText>
        </w:r>
        <w:r w:rsidR="00B92C6C">
          <w:rPr>
            <w:noProof/>
            <w:webHidden/>
          </w:rPr>
        </w:r>
        <w:r w:rsidR="00B92C6C">
          <w:rPr>
            <w:noProof/>
            <w:webHidden/>
          </w:rPr>
          <w:fldChar w:fldCharType="separate"/>
        </w:r>
        <w:r w:rsidR="00681CD9">
          <w:rPr>
            <w:noProof/>
            <w:webHidden/>
          </w:rPr>
          <w:t>50</w:t>
        </w:r>
        <w:r w:rsidR="00B92C6C">
          <w:rPr>
            <w:noProof/>
            <w:webHidden/>
          </w:rPr>
          <w:fldChar w:fldCharType="end"/>
        </w:r>
      </w:hyperlink>
    </w:p>
    <w:p w14:paraId="79202228" w14:textId="77777777" w:rsidR="00B92C6C" w:rsidRDefault="00F70FAB">
      <w:pPr>
        <w:pStyle w:val="TableofFigures"/>
        <w:tabs>
          <w:tab w:val="right" w:leader="dot" w:pos="9436"/>
        </w:tabs>
        <w:rPr>
          <w:rFonts w:asciiTheme="minorHAnsi" w:eastAsiaTheme="minorEastAsia" w:hAnsiTheme="minorHAnsi" w:cstheme="minorBidi"/>
          <w:noProof/>
          <w:sz w:val="22"/>
          <w:szCs w:val="22"/>
          <w:lang w:eastAsia="en-AU"/>
        </w:rPr>
      </w:pPr>
      <w:hyperlink w:anchor="_Toc497750030" w:history="1">
        <w:r w:rsidR="00B92C6C" w:rsidRPr="009B21CD">
          <w:rPr>
            <w:rStyle w:val="Hyperlink"/>
            <w:noProof/>
          </w:rPr>
          <w:t>Table 16. Round 20 (2015-16) national consolidation cost weight tables – V8.0</w:t>
        </w:r>
        <w:r w:rsidR="00B92C6C">
          <w:rPr>
            <w:noProof/>
            <w:webHidden/>
          </w:rPr>
          <w:tab/>
        </w:r>
        <w:r w:rsidR="00B92C6C">
          <w:rPr>
            <w:noProof/>
            <w:webHidden/>
          </w:rPr>
          <w:fldChar w:fldCharType="begin"/>
        </w:r>
        <w:r w:rsidR="00B92C6C">
          <w:rPr>
            <w:noProof/>
            <w:webHidden/>
          </w:rPr>
          <w:instrText xml:space="preserve"> PAGEREF _Toc497750030 \h </w:instrText>
        </w:r>
        <w:r w:rsidR="00B92C6C">
          <w:rPr>
            <w:noProof/>
            <w:webHidden/>
          </w:rPr>
        </w:r>
        <w:r w:rsidR="00B92C6C">
          <w:rPr>
            <w:noProof/>
            <w:webHidden/>
          </w:rPr>
          <w:fldChar w:fldCharType="separate"/>
        </w:r>
        <w:r w:rsidR="00681CD9">
          <w:rPr>
            <w:noProof/>
            <w:webHidden/>
          </w:rPr>
          <w:t>51</w:t>
        </w:r>
        <w:r w:rsidR="00B92C6C">
          <w:rPr>
            <w:noProof/>
            <w:webHidden/>
          </w:rPr>
          <w:fldChar w:fldCharType="end"/>
        </w:r>
      </w:hyperlink>
    </w:p>
    <w:p w14:paraId="60CB4D45" w14:textId="48D1440C" w:rsidR="00B92C6C" w:rsidRDefault="00F70FAB">
      <w:pPr>
        <w:pStyle w:val="TableofFigures"/>
        <w:tabs>
          <w:tab w:val="right" w:leader="dot" w:pos="9436"/>
        </w:tabs>
        <w:rPr>
          <w:rFonts w:asciiTheme="minorHAnsi" w:eastAsiaTheme="minorEastAsia" w:hAnsiTheme="minorHAnsi" w:cstheme="minorBidi"/>
          <w:noProof/>
          <w:sz w:val="22"/>
          <w:szCs w:val="22"/>
          <w:lang w:eastAsia="en-AU"/>
        </w:rPr>
      </w:pPr>
      <w:hyperlink w:anchor="_Toc497750031" w:history="1">
        <w:r w:rsidR="00B92C6C" w:rsidRPr="009B21CD">
          <w:rPr>
            <w:rStyle w:val="Hyperlink"/>
            <w:noProof/>
          </w:rPr>
          <w:t>Table 17. Round 20 (2015-16) national consolidation cost weight tables – V7</w:t>
        </w:r>
        <w:r w:rsidR="00B92C6C">
          <w:rPr>
            <w:rStyle w:val="Hyperlink"/>
            <w:noProof/>
          </w:rPr>
          <w:t>.0</w:t>
        </w:r>
        <w:r w:rsidR="00B92C6C">
          <w:rPr>
            <w:noProof/>
            <w:webHidden/>
          </w:rPr>
          <w:tab/>
        </w:r>
        <w:r w:rsidR="00B92C6C">
          <w:rPr>
            <w:noProof/>
            <w:webHidden/>
          </w:rPr>
          <w:fldChar w:fldCharType="begin"/>
        </w:r>
        <w:r w:rsidR="00B92C6C">
          <w:rPr>
            <w:noProof/>
            <w:webHidden/>
          </w:rPr>
          <w:instrText xml:space="preserve"> PAGEREF _Toc497750031 \h </w:instrText>
        </w:r>
        <w:r w:rsidR="00B92C6C">
          <w:rPr>
            <w:noProof/>
            <w:webHidden/>
          </w:rPr>
        </w:r>
        <w:r w:rsidR="00B92C6C">
          <w:rPr>
            <w:noProof/>
            <w:webHidden/>
          </w:rPr>
          <w:fldChar w:fldCharType="separate"/>
        </w:r>
        <w:r w:rsidR="00681CD9">
          <w:rPr>
            <w:noProof/>
            <w:webHidden/>
          </w:rPr>
          <w:t>52</w:t>
        </w:r>
        <w:r w:rsidR="00B92C6C">
          <w:rPr>
            <w:noProof/>
            <w:webHidden/>
          </w:rPr>
          <w:fldChar w:fldCharType="end"/>
        </w:r>
      </w:hyperlink>
    </w:p>
    <w:p w14:paraId="726029C1" w14:textId="77777777" w:rsidR="00B92C6C" w:rsidRDefault="00F70FAB">
      <w:pPr>
        <w:pStyle w:val="TableofFigures"/>
        <w:tabs>
          <w:tab w:val="right" w:leader="dot" w:pos="9436"/>
        </w:tabs>
        <w:rPr>
          <w:rFonts w:asciiTheme="minorHAnsi" w:eastAsiaTheme="minorEastAsia" w:hAnsiTheme="minorHAnsi" w:cstheme="minorBidi"/>
          <w:noProof/>
          <w:sz w:val="22"/>
          <w:szCs w:val="22"/>
          <w:lang w:eastAsia="en-AU"/>
        </w:rPr>
      </w:pPr>
      <w:hyperlink w:anchor="_Toc497750032" w:history="1">
        <w:r w:rsidR="00B92C6C" w:rsidRPr="009B21CD">
          <w:rPr>
            <w:rStyle w:val="Hyperlink"/>
            <w:noProof/>
          </w:rPr>
          <w:t>Table 18. Round 20 (2015-16) national consolidation cost weight tables – V6.0x</w:t>
        </w:r>
        <w:r w:rsidR="00B92C6C">
          <w:rPr>
            <w:noProof/>
            <w:webHidden/>
          </w:rPr>
          <w:tab/>
        </w:r>
        <w:r w:rsidR="00B92C6C">
          <w:rPr>
            <w:noProof/>
            <w:webHidden/>
          </w:rPr>
          <w:fldChar w:fldCharType="begin"/>
        </w:r>
        <w:r w:rsidR="00B92C6C">
          <w:rPr>
            <w:noProof/>
            <w:webHidden/>
          </w:rPr>
          <w:instrText xml:space="preserve"> PAGEREF _Toc497750032 \h </w:instrText>
        </w:r>
        <w:r w:rsidR="00B92C6C">
          <w:rPr>
            <w:noProof/>
            <w:webHidden/>
          </w:rPr>
        </w:r>
        <w:r w:rsidR="00B92C6C">
          <w:rPr>
            <w:noProof/>
            <w:webHidden/>
          </w:rPr>
          <w:fldChar w:fldCharType="separate"/>
        </w:r>
        <w:r w:rsidR="00681CD9">
          <w:rPr>
            <w:noProof/>
            <w:webHidden/>
          </w:rPr>
          <w:t>53</w:t>
        </w:r>
        <w:r w:rsidR="00B92C6C">
          <w:rPr>
            <w:noProof/>
            <w:webHidden/>
          </w:rPr>
          <w:fldChar w:fldCharType="end"/>
        </w:r>
      </w:hyperlink>
    </w:p>
    <w:p w14:paraId="11715BA9" w14:textId="538CE666" w:rsidR="006F21D0" w:rsidRDefault="006F21D0" w:rsidP="006B3A78">
      <w:pPr>
        <w:rPr>
          <w:snapToGrid w:val="0"/>
        </w:rPr>
      </w:pPr>
      <w:r>
        <w:rPr>
          <w:snapToGrid w:val="0"/>
        </w:rPr>
        <w:fldChar w:fldCharType="end"/>
      </w:r>
    </w:p>
    <w:p w14:paraId="2D3DFD37" w14:textId="59CF709E" w:rsidR="006F21D0" w:rsidRPr="00764DBD" w:rsidRDefault="006F21D0" w:rsidP="006F21D0">
      <w:pPr>
        <w:pStyle w:val="Heading2"/>
        <w:numPr>
          <w:ilvl w:val="0"/>
          <w:numId w:val="0"/>
        </w:numPr>
        <w:ind w:left="576" w:hanging="576"/>
      </w:pPr>
      <w:r w:rsidRPr="00764DBD">
        <w:t>List of</w:t>
      </w:r>
      <w:r>
        <w:t xml:space="preserve"> Figures</w:t>
      </w:r>
    </w:p>
    <w:p w14:paraId="77D5BFAE" w14:textId="77777777" w:rsidR="00B92C6C" w:rsidRDefault="008E4FAA">
      <w:pPr>
        <w:pStyle w:val="TableofFigures"/>
        <w:tabs>
          <w:tab w:val="right" w:leader="dot" w:pos="9436"/>
        </w:tabs>
        <w:rPr>
          <w:rFonts w:asciiTheme="minorHAnsi" w:eastAsiaTheme="minorEastAsia" w:hAnsiTheme="minorHAnsi" w:cstheme="minorBidi"/>
          <w:noProof/>
          <w:sz w:val="22"/>
          <w:szCs w:val="22"/>
          <w:lang w:eastAsia="en-AU"/>
        </w:rPr>
      </w:pPr>
      <w:r>
        <w:rPr>
          <w:rFonts w:asciiTheme="minorHAnsi" w:hAnsiTheme="minorHAnsi" w:cstheme="minorHAnsi"/>
          <w:snapToGrid w:val="0"/>
          <w:szCs w:val="22"/>
        </w:rPr>
        <w:fldChar w:fldCharType="begin"/>
      </w:r>
      <w:r>
        <w:rPr>
          <w:rFonts w:asciiTheme="minorHAnsi" w:hAnsiTheme="minorHAnsi" w:cstheme="minorHAnsi"/>
          <w:snapToGrid w:val="0"/>
          <w:szCs w:val="22"/>
        </w:rPr>
        <w:instrText xml:space="preserve"> TOC \h \z \t "Table of figures 3" \c </w:instrText>
      </w:r>
      <w:r>
        <w:rPr>
          <w:rFonts w:asciiTheme="minorHAnsi" w:hAnsiTheme="minorHAnsi" w:cstheme="minorHAnsi"/>
          <w:snapToGrid w:val="0"/>
          <w:szCs w:val="22"/>
        </w:rPr>
        <w:fldChar w:fldCharType="separate"/>
      </w:r>
      <w:hyperlink w:anchor="_Toc497750033" w:history="1">
        <w:r w:rsidR="00B92C6C" w:rsidRPr="006A1573">
          <w:rPr>
            <w:rStyle w:val="Hyperlink"/>
            <w:noProof/>
          </w:rPr>
          <w:t>Figure 1. Top 20 DRGs ranked by highest cost weight</w:t>
        </w:r>
        <w:r w:rsidR="00B92C6C">
          <w:rPr>
            <w:noProof/>
            <w:webHidden/>
          </w:rPr>
          <w:tab/>
        </w:r>
        <w:r w:rsidR="00B92C6C">
          <w:rPr>
            <w:noProof/>
            <w:webHidden/>
          </w:rPr>
          <w:fldChar w:fldCharType="begin"/>
        </w:r>
        <w:r w:rsidR="00B92C6C">
          <w:rPr>
            <w:noProof/>
            <w:webHidden/>
          </w:rPr>
          <w:instrText xml:space="preserve"> PAGEREF _Toc497750033 \h </w:instrText>
        </w:r>
        <w:r w:rsidR="00B92C6C">
          <w:rPr>
            <w:noProof/>
            <w:webHidden/>
          </w:rPr>
        </w:r>
        <w:r w:rsidR="00B92C6C">
          <w:rPr>
            <w:noProof/>
            <w:webHidden/>
          </w:rPr>
          <w:fldChar w:fldCharType="separate"/>
        </w:r>
        <w:r w:rsidR="00681CD9">
          <w:rPr>
            <w:noProof/>
            <w:webHidden/>
          </w:rPr>
          <w:t>17</w:t>
        </w:r>
        <w:r w:rsidR="00B92C6C">
          <w:rPr>
            <w:noProof/>
            <w:webHidden/>
          </w:rPr>
          <w:fldChar w:fldCharType="end"/>
        </w:r>
      </w:hyperlink>
    </w:p>
    <w:p w14:paraId="5E276B79" w14:textId="77777777" w:rsidR="00B92C6C" w:rsidRDefault="00F70FAB">
      <w:pPr>
        <w:pStyle w:val="TableofFigures"/>
        <w:tabs>
          <w:tab w:val="right" w:leader="dot" w:pos="9436"/>
        </w:tabs>
        <w:rPr>
          <w:rFonts w:asciiTheme="minorHAnsi" w:eastAsiaTheme="minorEastAsia" w:hAnsiTheme="minorHAnsi" w:cstheme="minorBidi"/>
          <w:noProof/>
          <w:sz w:val="22"/>
          <w:szCs w:val="22"/>
          <w:lang w:eastAsia="en-AU"/>
        </w:rPr>
      </w:pPr>
      <w:hyperlink w:anchor="_Toc497750034" w:history="1">
        <w:r w:rsidR="00B92C6C" w:rsidRPr="006A1573">
          <w:rPr>
            <w:rStyle w:val="Hyperlink"/>
            <w:noProof/>
          </w:rPr>
          <w:t>Figure 2. Comparison of top 20 DRGs by highest volume of population adjusted separations</w:t>
        </w:r>
        <w:r w:rsidR="00B92C6C">
          <w:rPr>
            <w:noProof/>
            <w:webHidden/>
          </w:rPr>
          <w:tab/>
        </w:r>
        <w:r w:rsidR="00B92C6C">
          <w:rPr>
            <w:noProof/>
            <w:webHidden/>
          </w:rPr>
          <w:fldChar w:fldCharType="begin"/>
        </w:r>
        <w:r w:rsidR="00B92C6C">
          <w:rPr>
            <w:noProof/>
            <w:webHidden/>
          </w:rPr>
          <w:instrText xml:space="preserve"> PAGEREF _Toc497750034 \h </w:instrText>
        </w:r>
        <w:r w:rsidR="00B92C6C">
          <w:rPr>
            <w:noProof/>
            <w:webHidden/>
          </w:rPr>
        </w:r>
        <w:r w:rsidR="00B92C6C">
          <w:rPr>
            <w:noProof/>
            <w:webHidden/>
          </w:rPr>
          <w:fldChar w:fldCharType="separate"/>
        </w:r>
        <w:r w:rsidR="00681CD9">
          <w:rPr>
            <w:noProof/>
            <w:webHidden/>
          </w:rPr>
          <w:t>20</w:t>
        </w:r>
        <w:r w:rsidR="00B92C6C">
          <w:rPr>
            <w:noProof/>
            <w:webHidden/>
          </w:rPr>
          <w:fldChar w:fldCharType="end"/>
        </w:r>
      </w:hyperlink>
    </w:p>
    <w:p w14:paraId="2952E523" w14:textId="77777777" w:rsidR="00B92C6C" w:rsidRDefault="00F70FAB">
      <w:pPr>
        <w:pStyle w:val="TableofFigures"/>
        <w:tabs>
          <w:tab w:val="right" w:leader="dot" w:pos="9436"/>
        </w:tabs>
        <w:rPr>
          <w:rFonts w:asciiTheme="minorHAnsi" w:eastAsiaTheme="minorEastAsia" w:hAnsiTheme="minorHAnsi" w:cstheme="minorBidi"/>
          <w:noProof/>
          <w:sz w:val="22"/>
          <w:szCs w:val="22"/>
          <w:lang w:eastAsia="en-AU"/>
        </w:rPr>
      </w:pPr>
      <w:hyperlink w:anchor="_Toc497750035" w:history="1">
        <w:r w:rsidR="00B92C6C" w:rsidRPr="006A1573">
          <w:rPr>
            <w:rStyle w:val="Hyperlink"/>
            <w:noProof/>
          </w:rPr>
          <w:t>Figure 3. Comparison of top 20 DRGs by highest cost weighted separations</w:t>
        </w:r>
        <w:r w:rsidR="00B92C6C">
          <w:rPr>
            <w:noProof/>
            <w:webHidden/>
          </w:rPr>
          <w:tab/>
        </w:r>
        <w:r w:rsidR="00B92C6C">
          <w:rPr>
            <w:noProof/>
            <w:webHidden/>
          </w:rPr>
          <w:fldChar w:fldCharType="begin"/>
        </w:r>
        <w:r w:rsidR="00B92C6C">
          <w:rPr>
            <w:noProof/>
            <w:webHidden/>
          </w:rPr>
          <w:instrText xml:space="preserve"> PAGEREF _Toc497750035 \h </w:instrText>
        </w:r>
        <w:r w:rsidR="00B92C6C">
          <w:rPr>
            <w:noProof/>
            <w:webHidden/>
          </w:rPr>
        </w:r>
        <w:r w:rsidR="00B92C6C">
          <w:rPr>
            <w:noProof/>
            <w:webHidden/>
          </w:rPr>
          <w:fldChar w:fldCharType="separate"/>
        </w:r>
        <w:r w:rsidR="00681CD9">
          <w:rPr>
            <w:noProof/>
            <w:webHidden/>
          </w:rPr>
          <w:t>23</w:t>
        </w:r>
        <w:r w:rsidR="00B92C6C">
          <w:rPr>
            <w:noProof/>
            <w:webHidden/>
          </w:rPr>
          <w:fldChar w:fldCharType="end"/>
        </w:r>
      </w:hyperlink>
    </w:p>
    <w:p w14:paraId="6C2D43EF" w14:textId="77777777" w:rsidR="00B92C6C" w:rsidRDefault="00F70FAB">
      <w:pPr>
        <w:pStyle w:val="TableofFigures"/>
        <w:tabs>
          <w:tab w:val="right" w:leader="dot" w:pos="9436"/>
        </w:tabs>
        <w:rPr>
          <w:rFonts w:asciiTheme="minorHAnsi" w:eastAsiaTheme="minorEastAsia" w:hAnsiTheme="minorHAnsi" w:cstheme="minorBidi"/>
          <w:noProof/>
          <w:sz w:val="22"/>
          <w:szCs w:val="22"/>
          <w:lang w:eastAsia="en-AU"/>
        </w:rPr>
      </w:pPr>
      <w:hyperlink w:anchor="_Toc497750036" w:history="1">
        <w:r w:rsidR="00B92C6C" w:rsidRPr="006A1573">
          <w:rPr>
            <w:rStyle w:val="Hyperlink"/>
            <w:noProof/>
          </w:rPr>
          <w:t>Figure 4 Comparison of top 20 DRGs by ALoS</w:t>
        </w:r>
        <w:r w:rsidR="00B92C6C">
          <w:rPr>
            <w:noProof/>
            <w:webHidden/>
          </w:rPr>
          <w:tab/>
        </w:r>
        <w:r w:rsidR="00B92C6C">
          <w:rPr>
            <w:noProof/>
            <w:webHidden/>
          </w:rPr>
          <w:fldChar w:fldCharType="begin"/>
        </w:r>
        <w:r w:rsidR="00B92C6C">
          <w:rPr>
            <w:noProof/>
            <w:webHidden/>
          </w:rPr>
          <w:instrText xml:space="preserve"> PAGEREF _Toc497750036 \h </w:instrText>
        </w:r>
        <w:r w:rsidR="00B92C6C">
          <w:rPr>
            <w:noProof/>
            <w:webHidden/>
          </w:rPr>
        </w:r>
        <w:r w:rsidR="00B92C6C">
          <w:rPr>
            <w:noProof/>
            <w:webHidden/>
          </w:rPr>
          <w:fldChar w:fldCharType="separate"/>
        </w:r>
        <w:r w:rsidR="00681CD9">
          <w:rPr>
            <w:noProof/>
            <w:webHidden/>
          </w:rPr>
          <w:t>26</w:t>
        </w:r>
        <w:r w:rsidR="00B92C6C">
          <w:rPr>
            <w:noProof/>
            <w:webHidden/>
          </w:rPr>
          <w:fldChar w:fldCharType="end"/>
        </w:r>
      </w:hyperlink>
    </w:p>
    <w:p w14:paraId="1F9407F6" w14:textId="77777777" w:rsidR="00B92C6C" w:rsidRDefault="00F70FAB">
      <w:pPr>
        <w:pStyle w:val="TableofFigures"/>
        <w:tabs>
          <w:tab w:val="right" w:leader="dot" w:pos="9436"/>
        </w:tabs>
        <w:rPr>
          <w:rFonts w:asciiTheme="minorHAnsi" w:eastAsiaTheme="minorEastAsia" w:hAnsiTheme="minorHAnsi" w:cstheme="minorBidi"/>
          <w:noProof/>
          <w:sz w:val="22"/>
          <w:szCs w:val="22"/>
          <w:lang w:eastAsia="en-AU"/>
        </w:rPr>
      </w:pPr>
      <w:hyperlink w:anchor="_Toc497750037" w:history="1">
        <w:r w:rsidR="00B92C6C" w:rsidRPr="006A1573">
          <w:rPr>
            <w:rStyle w:val="Hyperlink"/>
            <w:noProof/>
          </w:rPr>
          <w:t>Figure 5. Breakdown of cost by cost-bucket group, Round 20 versus Round 18</w:t>
        </w:r>
        <w:r w:rsidR="00B92C6C">
          <w:rPr>
            <w:noProof/>
            <w:webHidden/>
          </w:rPr>
          <w:tab/>
        </w:r>
        <w:r w:rsidR="00B92C6C">
          <w:rPr>
            <w:noProof/>
            <w:webHidden/>
          </w:rPr>
          <w:fldChar w:fldCharType="begin"/>
        </w:r>
        <w:r w:rsidR="00B92C6C">
          <w:rPr>
            <w:noProof/>
            <w:webHidden/>
          </w:rPr>
          <w:instrText xml:space="preserve"> PAGEREF _Toc497750037 \h </w:instrText>
        </w:r>
        <w:r w:rsidR="00B92C6C">
          <w:rPr>
            <w:noProof/>
            <w:webHidden/>
          </w:rPr>
        </w:r>
        <w:r w:rsidR="00B92C6C">
          <w:rPr>
            <w:noProof/>
            <w:webHidden/>
          </w:rPr>
          <w:fldChar w:fldCharType="separate"/>
        </w:r>
        <w:r w:rsidR="00681CD9">
          <w:rPr>
            <w:noProof/>
            <w:webHidden/>
          </w:rPr>
          <w:t>28</w:t>
        </w:r>
        <w:r w:rsidR="00B92C6C">
          <w:rPr>
            <w:noProof/>
            <w:webHidden/>
          </w:rPr>
          <w:fldChar w:fldCharType="end"/>
        </w:r>
      </w:hyperlink>
    </w:p>
    <w:p w14:paraId="0D021DA5" w14:textId="77777777" w:rsidR="00B92C6C" w:rsidRDefault="00F70FAB">
      <w:pPr>
        <w:pStyle w:val="TableofFigures"/>
        <w:tabs>
          <w:tab w:val="right" w:leader="dot" w:pos="9436"/>
        </w:tabs>
        <w:rPr>
          <w:rFonts w:asciiTheme="minorHAnsi" w:eastAsiaTheme="minorEastAsia" w:hAnsiTheme="minorHAnsi" w:cstheme="minorBidi"/>
          <w:noProof/>
          <w:sz w:val="22"/>
          <w:szCs w:val="22"/>
          <w:lang w:eastAsia="en-AU"/>
        </w:rPr>
      </w:pPr>
      <w:hyperlink w:anchor="_Toc497750038" w:history="1">
        <w:r w:rsidR="00B92C6C" w:rsidRPr="006A1573">
          <w:rPr>
            <w:rStyle w:val="Hyperlink"/>
            <w:noProof/>
          </w:rPr>
          <w:t>Figure 6. Top 20 DRG for critical care cost bucket</w:t>
        </w:r>
        <w:r w:rsidR="00B92C6C">
          <w:rPr>
            <w:noProof/>
            <w:webHidden/>
          </w:rPr>
          <w:tab/>
        </w:r>
        <w:r w:rsidR="00B92C6C">
          <w:rPr>
            <w:noProof/>
            <w:webHidden/>
          </w:rPr>
          <w:fldChar w:fldCharType="begin"/>
        </w:r>
        <w:r w:rsidR="00B92C6C">
          <w:rPr>
            <w:noProof/>
            <w:webHidden/>
          </w:rPr>
          <w:instrText xml:space="preserve"> PAGEREF _Toc497750038 \h </w:instrText>
        </w:r>
        <w:r w:rsidR="00B92C6C">
          <w:rPr>
            <w:noProof/>
            <w:webHidden/>
          </w:rPr>
        </w:r>
        <w:r w:rsidR="00B92C6C">
          <w:rPr>
            <w:noProof/>
            <w:webHidden/>
          </w:rPr>
          <w:fldChar w:fldCharType="separate"/>
        </w:r>
        <w:r w:rsidR="00681CD9">
          <w:rPr>
            <w:noProof/>
            <w:webHidden/>
          </w:rPr>
          <w:t>30</w:t>
        </w:r>
        <w:r w:rsidR="00B92C6C">
          <w:rPr>
            <w:noProof/>
            <w:webHidden/>
          </w:rPr>
          <w:fldChar w:fldCharType="end"/>
        </w:r>
      </w:hyperlink>
    </w:p>
    <w:p w14:paraId="2537FC0A" w14:textId="77777777" w:rsidR="00B92C6C" w:rsidRDefault="00F70FAB">
      <w:pPr>
        <w:pStyle w:val="TableofFigures"/>
        <w:tabs>
          <w:tab w:val="right" w:leader="dot" w:pos="9436"/>
        </w:tabs>
        <w:rPr>
          <w:rFonts w:asciiTheme="minorHAnsi" w:eastAsiaTheme="minorEastAsia" w:hAnsiTheme="minorHAnsi" w:cstheme="minorBidi"/>
          <w:noProof/>
          <w:sz w:val="22"/>
          <w:szCs w:val="22"/>
          <w:lang w:eastAsia="en-AU"/>
        </w:rPr>
      </w:pPr>
      <w:hyperlink w:anchor="_Toc497750039" w:history="1">
        <w:r w:rsidR="00B92C6C" w:rsidRPr="006A1573">
          <w:rPr>
            <w:rStyle w:val="Hyperlink"/>
            <w:noProof/>
          </w:rPr>
          <w:t>Figure 7. Top 20 DRGs for operating room/specialised procedure suite cost bucket</w:t>
        </w:r>
        <w:r w:rsidR="00B92C6C">
          <w:rPr>
            <w:noProof/>
            <w:webHidden/>
          </w:rPr>
          <w:tab/>
        </w:r>
        <w:r w:rsidR="00B92C6C">
          <w:rPr>
            <w:noProof/>
            <w:webHidden/>
          </w:rPr>
          <w:fldChar w:fldCharType="begin"/>
        </w:r>
        <w:r w:rsidR="00B92C6C">
          <w:rPr>
            <w:noProof/>
            <w:webHidden/>
          </w:rPr>
          <w:instrText xml:space="preserve"> PAGEREF _Toc497750039 \h </w:instrText>
        </w:r>
        <w:r w:rsidR="00B92C6C">
          <w:rPr>
            <w:noProof/>
            <w:webHidden/>
          </w:rPr>
        </w:r>
        <w:r w:rsidR="00B92C6C">
          <w:rPr>
            <w:noProof/>
            <w:webHidden/>
          </w:rPr>
          <w:fldChar w:fldCharType="separate"/>
        </w:r>
        <w:r w:rsidR="00681CD9">
          <w:rPr>
            <w:noProof/>
            <w:webHidden/>
          </w:rPr>
          <w:t>33</w:t>
        </w:r>
        <w:r w:rsidR="00B92C6C">
          <w:rPr>
            <w:noProof/>
            <w:webHidden/>
          </w:rPr>
          <w:fldChar w:fldCharType="end"/>
        </w:r>
      </w:hyperlink>
    </w:p>
    <w:p w14:paraId="6FCCCED7" w14:textId="77777777" w:rsidR="00B92C6C" w:rsidRDefault="00F70FAB">
      <w:pPr>
        <w:pStyle w:val="TableofFigures"/>
        <w:tabs>
          <w:tab w:val="right" w:leader="dot" w:pos="9436"/>
        </w:tabs>
        <w:rPr>
          <w:rFonts w:asciiTheme="minorHAnsi" w:eastAsiaTheme="minorEastAsia" w:hAnsiTheme="minorHAnsi" w:cstheme="minorBidi"/>
          <w:noProof/>
          <w:sz w:val="22"/>
          <w:szCs w:val="22"/>
          <w:lang w:eastAsia="en-AU"/>
        </w:rPr>
      </w:pPr>
      <w:hyperlink w:anchor="_Toc497750040" w:history="1">
        <w:r w:rsidR="00B92C6C" w:rsidRPr="006A1573">
          <w:rPr>
            <w:rStyle w:val="Hyperlink"/>
            <w:noProof/>
          </w:rPr>
          <w:t>Figure 8. Top 20 DRGs for prostheses cost bucket</w:t>
        </w:r>
        <w:r w:rsidR="00B92C6C">
          <w:rPr>
            <w:noProof/>
            <w:webHidden/>
          </w:rPr>
          <w:tab/>
        </w:r>
        <w:r w:rsidR="00B92C6C">
          <w:rPr>
            <w:noProof/>
            <w:webHidden/>
          </w:rPr>
          <w:fldChar w:fldCharType="begin"/>
        </w:r>
        <w:r w:rsidR="00B92C6C">
          <w:rPr>
            <w:noProof/>
            <w:webHidden/>
          </w:rPr>
          <w:instrText xml:space="preserve"> PAGEREF _Toc497750040 \h </w:instrText>
        </w:r>
        <w:r w:rsidR="00B92C6C">
          <w:rPr>
            <w:noProof/>
            <w:webHidden/>
          </w:rPr>
        </w:r>
        <w:r w:rsidR="00B92C6C">
          <w:rPr>
            <w:noProof/>
            <w:webHidden/>
          </w:rPr>
          <w:fldChar w:fldCharType="separate"/>
        </w:r>
        <w:r w:rsidR="00681CD9">
          <w:rPr>
            <w:noProof/>
            <w:webHidden/>
          </w:rPr>
          <w:t>36</w:t>
        </w:r>
        <w:r w:rsidR="00B92C6C">
          <w:rPr>
            <w:noProof/>
            <w:webHidden/>
          </w:rPr>
          <w:fldChar w:fldCharType="end"/>
        </w:r>
      </w:hyperlink>
    </w:p>
    <w:p w14:paraId="1F280BB0" w14:textId="77777777" w:rsidR="00B92C6C" w:rsidRDefault="00F70FAB">
      <w:pPr>
        <w:pStyle w:val="TableofFigures"/>
        <w:tabs>
          <w:tab w:val="right" w:leader="dot" w:pos="9436"/>
        </w:tabs>
        <w:rPr>
          <w:rFonts w:asciiTheme="minorHAnsi" w:eastAsiaTheme="minorEastAsia" w:hAnsiTheme="minorHAnsi" w:cstheme="minorBidi"/>
          <w:noProof/>
          <w:sz w:val="22"/>
          <w:szCs w:val="22"/>
          <w:lang w:eastAsia="en-AU"/>
        </w:rPr>
      </w:pPr>
      <w:hyperlink w:anchor="_Toc497750041" w:history="1">
        <w:r w:rsidR="00B92C6C" w:rsidRPr="006A1573">
          <w:rPr>
            <w:rStyle w:val="Hyperlink"/>
            <w:noProof/>
          </w:rPr>
          <w:t>Figure 9. Top 20 DRGs for miscellaneous cost bucket</w:t>
        </w:r>
        <w:r w:rsidR="00B92C6C">
          <w:rPr>
            <w:noProof/>
            <w:webHidden/>
          </w:rPr>
          <w:tab/>
        </w:r>
        <w:r w:rsidR="00B92C6C">
          <w:rPr>
            <w:noProof/>
            <w:webHidden/>
          </w:rPr>
          <w:fldChar w:fldCharType="begin"/>
        </w:r>
        <w:r w:rsidR="00B92C6C">
          <w:rPr>
            <w:noProof/>
            <w:webHidden/>
          </w:rPr>
          <w:instrText xml:space="preserve"> PAGEREF _Toc497750041 \h </w:instrText>
        </w:r>
        <w:r w:rsidR="00B92C6C">
          <w:rPr>
            <w:noProof/>
            <w:webHidden/>
          </w:rPr>
        </w:r>
        <w:r w:rsidR="00B92C6C">
          <w:rPr>
            <w:noProof/>
            <w:webHidden/>
          </w:rPr>
          <w:fldChar w:fldCharType="separate"/>
        </w:r>
        <w:r w:rsidR="00681CD9">
          <w:rPr>
            <w:noProof/>
            <w:webHidden/>
          </w:rPr>
          <w:t>39</w:t>
        </w:r>
        <w:r w:rsidR="00B92C6C">
          <w:rPr>
            <w:noProof/>
            <w:webHidden/>
          </w:rPr>
          <w:fldChar w:fldCharType="end"/>
        </w:r>
      </w:hyperlink>
    </w:p>
    <w:p w14:paraId="347D05C9" w14:textId="17EB2DDC" w:rsidR="006F21D0" w:rsidRDefault="008E4FAA" w:rsidP="006B3A78">
      <w:pPr>
        <w:rPr>
          <w:snapToGrid w:val="0"/>
        </w:rPr>
      </w:pPr>
      <w:r>
        <w:rPr>
          <w:snapToGrid w:val="0"/>
        </w:rPr>
        <w:fldChar w:fldCharType="end"/>
      </w:r>
    </w:p>
    <w:p w14:paraId="2DA19A5B" w14:textId="7105FF50" w:rsidR="004A249A" w:rsidRDefault="004A249A" w:rsidP="00B92C6C">
      <w:pPr>
        <w:pStyle w:val="Heading1"/>
        <w:numPr>
          <w:ilvl w:val="0"/>
          <w:numId w:val="0"/>
        </w:numPr>
      </w:pPr>
      <w:bookmarkStart w:id="8" w:name="_Toc496857539"/>
      <w:bookmarkStart w:id="9" w:name="_Toc497750207"/>
      <w:r>
        <w:lastRenderedPageBreak/>
        <w:t>Acronyms/Abbreviations</w:t>
      </w:r>
      <w:bookmarkEnd w:id="8"/>
      <w:bookmarkEnd w:id="9"/>
    </w:p>
    <w:p w14:paraId="2BAB54AD" w14:textId="77777777" w:rsidR="004A249A" w:rsidRPr="00CD5F49" w:rsidRDefault="004A249A" w:rsidP="004A249A"/>
    <w:tbl>
      <w:tblPr>
        <w:tblStyle w:val="Tables-APBase"/>
        <w:tblW w:w="0" w:type="auto"/>
        <w:tblInd w:w="0" w:type="dxa"/>
        <w:tblLook w:val="04A0" w:firstRow="1" w:lastRow="0" w:firstColumn="1" w:lastColumn="0" w:noHBand="0" w:noVBand="1"/>
        <w:tblCaption w:val="List of abbreviations"/>
        <w:tblDescription w:val="This table contains the list of abbreviations used in the report with columns for the abbreviations and their respective descriptions/definitions"/>
      </w:tblPr>
      <w:tblGrid>
        <w:gridCol w:w="2576"/>
        <w:gridCol w:w="6378"/>
      </w:tblGrid>
      <w:tr w:rsidR="004A249A" w:rsidRPr="006F21D0" w14:paraId="4C666F20" w14:textId="77777777" w:rsidTr="00B92C6C">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1668" w:type="dxa"/>
            <w:hideMark/>
          </w:tcPr>
          <w:p w14:paraId="66DC2C7D" w14:textId="1346F2BF" w:rsidR="004A249A" w:rsidRPr="006F21D0" w:rsidRDefault="004A249A" w:rsidP="00B92C6C">
            <w:pPr>
              <w:pStyle w:val="TableText"/>
              <w:rPr>
                <w:rFonts w:asciiTheme="minorHAnsi" w:hAnsiTheme="minorHAnsi" w:cstheme="minorHAnsi"/>
                <w:b/>
                <w:sz w:val="22"/>
                <w:szCs w:val="22"/>
              </w:rPr>
            </w:pPr>
            <w:r>
              <w:rPr>
                <w:rFonts w:asciiTheme="minorHAnsi" w:hAnsiTheme="minorHAnsi" w:cstheme="minorHAnsi"/>
                <w:b/>
                <w:sz w:val="22"/>
                <w:szCs w:val="22"/>
              </w:rPr>
              <w:t>Acronym/</w:t>
            </w:r>
            <w:r w:rsidRPr="006F21D0">
              <w:rPr>
                <w:rFonts w:asciiTheme="minorHAnsi" w:hAnsiTheme="minorHAnsi" w:cstheme="minorHAnsi"/>
                <w:b/>
                <w:sz w:val="22"/>
                <w:szCs w:val="22"/>
              </w:rPr>
              <w:t>Abbreviation</w:t>
            </w:r>
          </w:p>
        </w:tc>
        <w:tc>
          <w:tcPr>
            <w:tcW w:w="6378" w:type="dxa"/>
            <w:hideMark/>
          </w:tcPr>
          <w:p w14:paraId="27A3A7BB" w14:textId="0E2096D4" w:rsidR="004A249A" w:rsidRPr="006F21D0" w:rsidRDefault="004A249A" w:rsidP="00B92C6C">
            <w:pPr>
              <w:pStyle w:val="TableText"/>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6F21D0">
              <w:rPr>
                <w:rFonts w:asciiTheme="minorHAnsi" w:hAnsiTheme="minorHAnsi" w:cstheme="minorHAnsi"/>
                <w:b/>
                <w:sz w:val="22"/>
                <w:szCs w:val="22"/>
              </w:rPr>
              <w:t>Description</w:t>
            </w:r>
          </w:p>
        </w:tc>
      </w:tr>
      <w:tr w:rsidR="004A249A" w:rsidRPr="006F21D0" w14:paraId="58CB06A5" w14:textId="77777777" w:rsidTr="00B92C6C">
        <w:tc>
          <w:tcPr>
            <w:tcW w:w="1668" w:type="dxa"/>
            <w:hideMark/>
          </w:tcPr>
          <w:p w14:paraId="10C1EF53"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ABS</w:t>
            </w:r>
          </w:p>
        </w:tc>
        <w:tc>
          <w:tcPr>
            <w:tcW w:w="6378" w:type="dxa"/>
            <w:hideMark/>
          </w:tcPr>
          <w:p w14:paraId="7B070EAD"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Australian Bureau of Statistics</w:t>
            </w:r>
          </w:p>
        </w:tc>
      </w:tr>
      <w:tr w:rsidR="004A249A" w:rsidRPr="006F21D0" w14:paraId="58D2E67A" w14:textId="77777777" w:rsidTr="00B92C6C">
        <w:tc>
          <w:tcPr>
            <w:tcW w:w="1668" w:type="dxa"/>
            <w:hideMark/>
          </w:tcPr>
          <w:p w14:paraId="7FCAD542"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AHPCS</w:t>
            </w:r>
          </w:p>
        </w:tc>
        <w:tc>
          <w:tcPr>
            <w:tcW w:w="6378" w:type="dxa"/>
            <w:hideMark/>
          </w:tcPr>
          <w:p w14:paraId="236445B5"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Australian Hospital Patient Costing Standards</w:t>
            </w:r>
          </w:p>
        </w:tc>
      </w:tr>
      <w:tr w:rsidR="004A249A" w:rsidRPr="006F21D0" w14:paraId="182C2ED7" w14:textId="77777777" w:rsidTr="00B92C6C">
        <w:tc>
          <w:tcPr>
            <w:tcW w:w="1668" w:type="dxa"/>
            <w:hideMark/>
          </w:tcPr>
          <w:p w14:paraId="2DE0B93A"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AIHW</w:t>
            </w:r>
          </w:p>
        </w:tc>
        <w:tc>
          <w:tcPr>
            <w:tcW w:w="6378" w:type="dxa"/>
            <w:hideMark/>
          </w:tcPr>
          <w:p w14:paraId="212EB6EC"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Australian Institute of Health and Welfare</w:t>
            </w:r>
          </w:p>
        </w:tc>
      </w:tr>
      <w:tr w:rsidR="004A249A" w:rsidRPr="006F21D0" w14:paraId="34F0C6A4" w14:textId="77777777" w:rsidTr="00B92C6C">
        <w:tc>
          <w:tcPr>
            <w:tcW w:w="1668" w:type="dxa"/>
            <w:hideMark/>
          </w:tcPr>
          <w:p w14:paraId="720D9CEF" w14:textId="77777777" w:rsidR="004A249A" w:rsidRPr="006F21D0" w:rsidRDefault="004A249A" w:rsidP="00B92C6C">
            <w:pPr>
              <w:pStyle w:val="TableText"/>
              <w:rPr>
                <w:rFonts w:asciiTheme="minorHAnsi" w:hAnsiTheme="minorHAnsi" w:cstheme="minorHAnsi"/>
                <w:sz w:val="22"/>
                <w:szCs w:val="22"/>
              </w:rPr>
            </w:pPr>
            <w:proofErr w:type="spellStart"/>
            <w:r w:rsidRPr="006F21D0">
              <w:rPr>
                <w:rFonts w:asciiTheme="minorHAnsi" w:hAnsiTheme="minorHAnsi" w:cstheme="minorHAnsi"/>
                <w:sz w:val="22"/>
                <w:szCs w:val="22"/>
              </w:rPr>
              <w:t>ALoS</w:t>
            </w:r>
            <w:proofErr w:type="spellEnd"/>
            <w:r w:rsidRPr="006F21D0">
              <w:rPr>
                <w:rFonts w:asciiTheme="minorHAnsi" w:hAnsiTheme="minorHAnsi" w:cstheme="minorHAnsi"/>
                <w:sz w:val="22"/>
                <w:szCs w:val="22"/>
              </w:rPr>
              <w:tab/>
            </w:r>
          </w:p>
        </w:tc>
        <w:tc>
          <w:tcPr>
            <w:tcW w:w="6378" w:type="dxa"/>
            <w:hideMark/>
          </w:tcPr>
          <w:p w14:paraId="0F4A6AD2"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Average length of stay</w:t>
            </w:r>
          </w:p>
        </w:tc>
      </w:tr>
      <w:tr w:rsidR="004A249A" w:rsidRPr="006F21D0" w14:paraId="1625C3C0" w14:textId="77777777" w:rsidTr="00B92C6C">
        <w:tc>
          <w:tcPr>
            <w:tcW w:w="1668" w:type="dxa"/>
            <w:hideMark/>
          </w:tcPr>
          <w:p w14:paraId="14015EF1"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AR-DRG</w:t>
            </w:r>
          </w:p>
        </w:tc>
        <w:tc>
          <w:tcPr>
            <w:tcW w:w="6378" w:type="dxa"/>
            <w:hideMark/>
          </w:tcPr>
          <w:p w14:paraId="13A40378" w14:textId="7F4DEDE4"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Australian Refined Diagnosis Related Group</w:t>
            </w:r>
          </w:p>
        </w:tc>
      </w:tr>
      <w:tr w:rsidR="004A249A" w:rsidRPr="006F21D0" w14:paraId="7A4073AA" w14:textId="77777777" w:rsidTr="00B92C6C">
        <w:tc>
          <w:tcPr>
            <w:tcW w:w="1668" w:type="dxa"/>
            <w:hideMark/>
          </w:tcPr>
          <w:p w14:paraId="41D35638" w14:textId="77777777" w:rsidR="004A249A" w:rsidRPr="006F21D0" w:rsidRDefault="004A249A" w:rsidP="00B92C6C">
            <w:pPr>
              <w:pStyle w:val="TableText"/>
              <w:rPr>
                <w:rFonts w:asciiTheme="minorHAnsi" w:hAnsiTheme="minorHAnsi" w:cstheme="minorHAnsi"/>
                <w:sz w:val="22"/>
                <w:szCs w:val="22"/>
              </w:rPr>
            </w:pPr>
            <w:proofErr w:type="spellStart"/>
            <w:r w:rsidRPr="006F21D0">
              <w:rPr>
                <w:rFonts w:asciiTheme="minorHAnsi" w:hAnsiTheme="minorHAnsi" w:cstheme="minorHAnsi"/>
                <w:sz w:val="22"/>
                <w:szCs w:val="22"/>
              </w:rPr>
              <w:t>DoH</w:t>
            </w:r>
            <w:proofErr w:type="spellEnd"/>
          </w:p>
        </w:tc>
        <w:tc>
          <w:tcPr>
            <w:tcW w:w="6378" w:type="dxa"/>
            <w:hideMark/>
          </w:tcPr>
          <w:p w14:paraId="639F8865"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Department of Health</w:t>
            </w:r>
          </w:p>
        </w:tc>
      </w:tr>
      <w:tr w:rsidR="004A249A" w:rsidRPr="006F21D0" w14:paraId="5E48BB37" w14:textId="77777777" w:rsidTr="00B92C6C">
        <w:tc>
          <w:tcPr>
            <w:tcW w:w="1668" w:type="dxa"/>
          </w:tcPr>
          <w:p w14:paraId="15A22CF5"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DRG</w:t>
            </w:r>
          </w:p>
        </w:tc>
        <w:tc>
          <w:tcPr>
            <w:tcW w:w="6378" w:type="dxa"/>
          </w:tcPr>
          <w:p w14:paraId="09A37193"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Diagnosis Related Group</w:t>
            </w:r>
          </w:p>
        </w:tc>
      </w:tr>
      <w:tr w:rsidR="004A249A" w:rsidRPr="006F21D0" w14:paraId="26D2F8BB" w14:textId="77777777" w:rsidTr="00B92C6C">
        <w:tc>
          <w:tcPr>
            <w:tcW w:w="1668" w:type="dxa"/>
            <w:hideMark/>
          </w:tcPr>
          <w:p w14:paraId="27430A45"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EDW</w:t>
            </w:r>
          </w:p>
        </w:tc>
        <w:tc>
          <w:tcPr>
            <w:tcW w:w="6378" w:type="dxa"/>
            <w:hideMark/>
          </w:tcPr>
          <w:p w14:paraId="51EDB203"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Enterprise Data Warehouse</w:t>
            </w:r>
          </w:p>
        </w:tc>
      </w:tr>
      <w:tr w:rsidR="004A249A" w:rsidRPr="006F21D0" w14:paraId="6687831D" w14:textId="77777777" w:rsidTr="00B92C6C">
        <w:trPr>
          <w:trHeight w:val="467"/>
        </w:trPr>
        <w:tc>
          <w:tcPr>
            <w:tcW w:w="1668" w:type="dxa"/>
            <w:hideMark/>
          </w:tcPr>
          <w:p w14:paraId="069CD708"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HCP</w:t>
            </w:r>
          </w:p>
        </w:tc>
        <w:tc>
          <w:tcPr>
            <w:tcW w:w="6378" w:type="dxa"/>
            <w:hideMark/>
          </w:tcPr>
          <w:p w14:paraId="49F2111E"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Hospital Casemix Protocol</w:t>
            </w:r>
          </w:p>
        </w:tc>
      </w:tr>
      <w:tr w:rsidR="004A249A" w:rsidRPr="006F21D0" w14:paraId="5AA68932" w14:textId="77777777" w:rsidTr="00B92C6C">
        <w:trPr>
          <w:trHeight w:val="510"/>
        </w:trPr>
        <w:tc>
          <w:tcPr>
            <w:tcW w:w="1668" w:type="dxa"/>
            <w:hideMark/>
          </w:tcPr>
          <w:p w14:paraId="77BDD9DB"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ICD-10-AM</w:t>
            </w:r>
          </w:p>
        </w:tc>
        <w:tc>
          <w:tcPr>
            <w:tcW w:w="6378" w:type="dxa"/>
            <w:hideMark/>
          </w:tcPr>
          <w:p w14:paraId="495B9D18"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International statistical classification of diseases and related health problems, Tenth Revision, Australian modification</w:t>
            </w:r>
          </w:p>
        </w:tc>
      </w:tr>
      <w:tr w:rsidR="004A249A" w:rsidRPr="006F21D0" w14:paraId="0F13624D" w14:textId="77777777" w:rsidTr="00B92C6C">
        <w:tc>
          <w:tcPr>
            <w:tcW w:w="1668" w:type="dxa"/>
            <w:hideMark/>
          </w:tcPr>
          <w:p w14:paraId="41EA1715"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IHPA</w:t>
            </w:r>
          </w:p>
        </w:tc>
        <w:tc>
          <w:tcPr>
            <w:tcW w:w="6378" w:type="dxa"/>
            <w:hideMark/>
          </w:tcPr>
          <w:p w14:paraId="4C846B40"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Independent Hospital Pricing Authority</w:t>
            </w:r>
          </w:p>
        </w:tc>
      </w:tr>
      <w:tr w:rsidR="004A249A" w:rsidRPr="006F21D0" w14:paraId="7084E552" w14:textId="77777777" w:rsidTr="00B92C6C">
        <w:tc>
          <w:tcPr>
            <w:tcW w:w="1668" w:type="dxa"/>
            <w:hideMark/>
          </w:tcPr>
          <w:p w14:paraId="75AED499" w14:textId="77777777" w:rsidR="004A249A" w:rsidRPr="006F21D0" w:rsidRDefault="004A249A" w:rsidP="00B92C6C">
            <w:pPr>
              <w:pStyle w:val="TableText"/>
              <w:rPr>
                <w:rFonts w:asciiTheme="minorHAnsi" w:hAnsiTheme="minorHAnsi" w:cstheme="minorHAnsi"/>
                <w:sz w:val="22"/>
                <w:szCs w:val="22"/>
              </w:rPr>
            </w:pPr>
            <w:proofErr w:type="spellStart"/>
            <w:r w:rsidRPr="006F21D0">
              <w:rPr>
                <w:rFonts w:asciiTheme="minorHAnsi" w:hAnsiTheme="minorHAnsi" w:cstheme="minorHAnsi"/>
                <w:sz w:val="22"/>
                <w:szCs w:val="22"/>
              </w:rPr>
              <w:t>LoS</w:t>
            </w:r>
            <w:proofErr w:type="spellEnd"/>
          </w:p>
        </w:tc>
        <w:tc>
          <w:tcPr>
            <w:tcW w:w="6378" w:type="dxa"/>
            <w:hideMark/>
          </w:tcPr>
          <w:p w14:paraId="4F1EED5D"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Length of stay</w:t>
            </w:r>
          </w:p>
        </w:tc>
      </w:tr>
      <w:tr w:rsidR="004A249A" w:rsidRPr="006F21D0" w14:paraId="1A6DF007" w14:textId="77777777" w:rsidTr="00B92C6C">
        <w:tc>
          <w:tcPr>
            <w:tcW w:w="1668" w:type="dxa"/>
            <w:hideMark/>
          </w:tcPr>
          <w:p w14:paraId="355E6124"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NHCDC</w:t>
            </w:r>
          </w:p>
        </w:tc>
        <w:tc>
          <w:tcPr>
            <w:tcW w:w="6378" w:type="dxa"/>
            <w:hideMark/>
          </w:tcPr>
          <w:p w14:paraId="00C18091"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National hospital cost data collection</w:t>
            </w:r>
          </w:p>
        </w:tc>
      </w:tr>
      <w:tr w:rsidR="004A249A" w:rsidRPr="006F21D0" w14:paraId="2EB36B95" w14:textId="77777777" w:rsidTr="00B92C6C">
        <w:tc>
          <w:tcPr>
            <w:tcW w:w="1668" w:type="dxa"/>
            <w:hideMark/>
          </w:tcPr>
          <w:p w14:paraId="069DFC9D"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OR</w:t>
            </w:r>
          </w:p>
        </w:tc>
        <w:tc>
          <w:tcPr>
            <w:tcW w:w="6378" w:type="dxa"/>
            <w:hideMark/>
          </w:tcPr>
          <w:p w14:paraId="75F0B743"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Operating room (theatres)</w:t>
            </w:r>
          </w:p>
        </w:tc>
      </w:tr>
      <w:tr w:rsidR="004A249A" w:rsidRPr="006F21D0" w14:paraId="27A6AC1D" w14:textId="77777777" w:rsidTr="00B92C6C">
        <w:tc>
          <w:tcPr>
            <w:tcW w:w="1668" w:type="dxa"/>
            <w:hideMark/>
          </w:tcPr>
          <w:p w14:paraId="3432F3F1"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PHDB</w:t>
            </w:r>
          </w:p>
        </w:tc>
        <w:tc>
          <w:tcPr>
            <w:tcW w:w="6378" w:type="dxa"/>
            <w:hideMark/>
          </w:tcPr>
          <w:p w14:paraId="21C542F6"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Private Hospital Data Bureau</w:t>
            </w:r>
          </w:p>
        </w:tc>
      </w:tr>
      <w:tr w:rsidR="004A249A" w:rsidRPr="006F21D0" w14:paraId="0149CBDA" w14:textId="77777777" w:rsidTr="00B92C6C">
        <w:tc>
          <w:tcPr>
            <w:tcW w:w="1668" w:type="dxa"/>
            <w:hideMark/>
          </w:tcPr>
          <w:p w14:paraId="402598B8"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PwC</w:t>
            </w:r>
          </w:p>
        </w:tc>
        <w:tc>
          <w:tcPr>
            <w:tcW w:w="6378" w:type="dxa"/>
            <w:hideMark/>
          </w:tcPr>
          <w:p w14:paraId="7D60AFEB"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PricewaterhouseCoopers Australia</w:t>
            </w:r>
          </w:p>
        </w:tc>
      </w:tr>
      <w:tr w:rsidR="004A249A" w:rsidRPr="006F21D0" w14:paraId="161B676C" w14:textId="77777777" w:rsidTr="00B92C6C">
        <w:tc>
          <w:tcPr>
            <w:tcW w:w="1668" w:type="dxa"/>
          </w:tcPr>
          <w:p w14:paraId="071E18E1"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QA</w:t>
            </w:r>
          </w:p>
        </w:tc>
        <w:tc>
          <w:tcPr>
            <w:tcW w:w="6378" w:type="dxa"/>
          </w:tcPr>
          <w:p w14:paraId="28AD2970"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Quality Assurance</w:t>
            </w:r>
          </w:p>
        </w:tc>
      </w:tr>
      <w:tr w:rsidR="004A249A" w:rsidRPr="006F21D0" w14:paraId="09A11A5B" w14:textId="77777777" w:rsidTr="00B92C6C">
        <w:tc>
          <w:tcPr>
            <w:tcW w:w="1668" w:type="dxa"/>
            <w:hideMark/>
          </w:tcPr>
          <w:p w14:paraId="345B5F22"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SPS</w:t>
            </w:r>
          </w:p>
        </w:tc>
        <w:tc>
          <w:tcPr>
            <w:tcW w:w="6378" w:type="dxa"/>
            <w:hideMark/>
          </w:tcPr>
          <w:p w14:paraId="305D62B9"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Specialist procedure suites</w:t>
            </w:r>
          </w:p>
        </w:tc>
      </w:tr>
      <w:tr w:rsidR="004A249A" w:rsidRPr="006F21D0" w14:paraId="2B88523F" w14:textId="77777777" w:rsidTr="00B92C6C">
        <w:tc>
          <w:tcPr>
            <w:tcW w:w="1668" w:type="dxa"/>
            <w:hideMark/>
          </w:tcPr>
          <w:p w14:paraId="047CC74D"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WIP</w:t>
            </w:r>
          </w:p>
        </w:tc>
        <w:tc>
          <w:tcPr>
            <w:tcW w:w="6378" w:type="dxa"/>
            <w:hideMark/>
          </w:tcPr>
          <w:p w14:paraId="41F69393" w14:textId="77777777" w:rsidR="004A249A" w:rsidRPr="006F21D0" w:rsidRDefault="004A249A" w:rsidP="00B92C6C">
            <w:pPr>
              <w:pStyle w:val="TableText"/>
              <w:rPr>
                <w:rFonts w:asciiTheme="minorHAnsi" w:hAnsiTheme="minorHAnsi" w:cstheme="minorHAnsi"/>
                <w:sz w:val="22"/>
                <w:szCs w:val="22"/>
              </w:rPr>
            </w:pPr>
            <w:r w:rsidRPr="006F21D0">
              <w:rPr>
                <w:rFonts w:asciiTheme="minorHAnsi" w:hAnsiTheme="minorHAnsi" w:cstheme="minorHAnsi"/>
                <w:sz w:val="22"/>
                <w:szCs w:val="22"/>
              </w:rPr>
              <w:t>Work in progress</w:t>
            </w:r>
          </w:p>
        </w:tc>
      </w:tr>
    </w:tbl>
    <w:p w14:paraId="27C802F8" w14:textId="77777777" w:rsidR="004A249A" w:rsidRDefault="004A249A" w:rsidP="004A249A">
      <w:pPr>
        <w:pStyle w:val="NormalIndent"/>
        <w:ind w:left="0"/>
        <w:rPr>
          <w:b/>
          <w:i/>
        </w:rPr>
      </w:pPr>
    </w:p>
    <w:p w14:paraId="2839F1C5" w14:textId="6ADDFC27" w:rsidR="007C657D" w:rsidRDefault="007C657D" w:rsidP="005C517B">
      <w:pPr>
        <w:pStyle w:val="Heading1"/>
        <w:numPr>
          <w:ilvl w:val="0"/>
          <w:numId w:val="0"/>
        </w:numPr>
        <w:ind w:left="851" w:hanging="851"/>
      </w:pPr>
      <w:bookmarkStart w:id="10" w:name="_Toc497750208"/>
      <w:r>
        <w:lastRenderedPageBreak/>
        <w:t>Dis</w:t>
      </w:r>
      <w:r w:rsidR="00761624">
        <w:t>claimer</w:t>
      </w:r>
      <w:bookmarkEnd w:id="10"/>
    </w:p>
    <w:p w14:paraId="04C81271" w14:textId="4FDA94FD" w:rsidR="007C657D" w:rsidRDefault="007C657D" w:rsidP="00683C93">
      <w:pPr>
        <w:pStyle w:val="Heading2-nonumbers"/>
      </w:pPr>
      <w:r>
        <w:t>Reliance on this report</w:t>
      </w:r>
    </w:p>
    <w:p w14:paraId="0F4B2F89" w14:textId="17BF7D63" w:rsidR="00162AE0" w:rsidRDefault="00162AE0" w:rsidP="00D363C9">
      <w:r w:rsidRPr="005713A6">
        <w:t>This Report has been prepared by PricewaterhouseCoopers Australia (PwC) at the request of Independent Hospital Pricing Authority (IHPA) in our capacity as advisors in accordance with the Terms of Reference and Terms and Conditions contained in the contract between IHPA and PwC.</w:t>
      </w:r>
    </w:p>
    <w:p w14:paraId="526B5A88" w14:textId="77777777" w:rsidR="00162AE0" w:rsidRDefault="00162AE0" w:rsidP="00D363C9">
      <w:r w:rsidRPr="005713A6">
        <w:t xml:space="preserve">This document is not intended to be used or relied upon by any persons other than IHPA, </w:t>
      </w:r>
      <w:proofErr w:type="gramStart"/>
      <w:r w:rsidRPr="005713A6">
        <w:t>nor</w:t>
      </w:r>
      <w:proofErr w:type="gramEnd"/>
      <w:r w:rsidRPr="005713A6">
        <w:t xml:space="preserve"> to be used for any purpose other than that articulated in the Terms of Reference. PwC accept no responsibility in any way whatsoever for the use of this report by any other persons or for any other purpose.</w:t>
      </w:r>
    </w:p>
    <w:p w14:paraId="7B7D0359" w14:textId="7F595DCA" w:rsidR="005713A6" w:rsidRDefault="00162AE0" w:rsidP="00D363C9">
      <w:r w:rsidRPr="005713A6">
        <w:t xml:space="preserve">Accordingly, whilst the statements made in this report are given in good faith, PwC accept no responsibility for any errors in the information provided </w:t>
      </w:r>
      <w:proofErr w:type="gramStart"/>
      <w:r w:rsidRPr="005713A6">
        <w:t>to us</w:t>
      </w:r>
      <w:proofErr w:type="gramEnd"/>
      <w:r w:rsidRPr="005713A6">
        <w:t xml:space="preserve"> nor the effect of any such errors on our analysis, suggestions or report.</w:t>
      </w:r>
    </w:p>
    <w:p w14:paraId="22701C60" w14:textId="364B17A7" w:rsidR="003D7E16" w:rsidRDefault="003D7E16" w:rsidP="00683C93">
      <w:pPr>
        <w:pStyle w:val="Heading2-nonumbers"/>
      </w:pPr>
      <w:r>
        <w:t>Comparison to Round 18 report</w:t>
      </w:r>
    </w:p>
    <w:p w14:paraId="50E53ACB" w14:textId="5CA2832B" w:rsidR="003D7E16" w:rsidRPr="003D7E16" w:rsidRDefault="003D7E16" w:rsidP="00D363C9">
      <w:r w:rsidRPr="00CD66C3">
        <w:t xml:space="preserve">The Round 20 ranking analysis cannot be compared to the published Round 18 </w:t>
      </w:r>
      <w:r w:rsidR="00351C9A">
        <w:t>National Hospital Cost Data Collection (</w:t>
      </w:r>
      <w:r w:rsidRPr="00CD66C3">
        <w:t>NHCDC</w:t>
      </w:r>
      <w:r w:rsidR="00351C9A">
        <w:t>)</w:t>
      </w:r>
      <w:r w:rsidRPr="00CD66C3">
        <w:t xml:space="preserve"> report due to moving from </w:t>
      </w:r>
      <w:r w:rsidR="00351C9A">
        <w:t>Australian Refined Diagnosis Related Groups (</w:t>
      </w:r>
      <w:r w:rsidRPr="00CD66C3">
        <w:t>AR-DRG</w:t>
      </w:r>
      <w:r w:rsidR="00351C9A">
        <w:t>)</w:t>
      </w:r>
      <w:r w:rsidRPr="00CD66C3">
        <w:t xml:space="preserve"> version </w:t>
      </w:r>
      <w:proofErr w:type="gramStart"/>
      <w:r w:rsidRPr="00CD66C3">
        <w:t>6.0x</w:t>
      </w:r>
      <w:proofErr w:type="gramEnd"/>
      <w:r w:rsidRPr="00CD66C3">
        <w:t xml:space="preserve"> to versio</w:t>
      </w:r>
      <w:r w:rsidR="00A45C4C">
        <w:t>n 8.0 which caused a loss of 10 per cent</w:t>
      </w:r>
      <w:r w:rsidRPr="00CD66C3">
        <w:t xml:space="preserve"> of the separations which could not be re-grouped.  Therefor</w:t>
      </w:r>
      <w:r w:rsidR="00683C93">
        <w:t>e the Round 18 data has been re</w:t>
      </w:r>
      <w:r w:rsidR="00683C93">
        <w:noBreakHyphen/>
      </w:r>
      <w:r w:rsidRPr="00CD66C3">
        <w:t>ranked</w:t>
      </w:r>
      <w:r w:rsidRPr="00CD66C3">
        <w:rPr>
          <w:rFonts w:asciiTheme="majorHAnsi" w:hAnsiTheme="majorHAnsi"/>
          <w:sz w:val="28"/>
          <w:szCs w:val="44"/>
        </w:rPr>
        <w:t xml:space="preserve"> </w:t>
      </w:r>
      <w:r w:rsidRPr="00A45C4C">
        <w:t>based on the revised dataset.</w:t>
      </w:r>
      <w:r w:rsidRPr="00CD66C3">
        <w:rPr>
          <w:rFonts w:asciiTheme="majorHAnsi" w:hAnsiTheme="majorHAnsi"/>
          <w:sz w:val="28"/>
          <w:szCs w:val="44"/>
        </w:rPr>
        <w:t xml:space="preserve"> </w:t>
      </w:r>
    </w:p>
    <w:p w14:paraId="759AB282" w14:textId="77777777" w:rsidR="00761624" w:rsidRPr="009B1409" w:rsidRDefault="00761624" w:rsidP="00D363C9">
      <w:pPr>
        <w:pStyle w:val="Heading2-nonumbers"/>
      </w:pPr>
      <w:r>
        <w:t>Public and private sector differences</w:t>
      </w:r>
    </w:p>
    <w:p w14:paraId="4ABF1A30" w14:textId="77777777" w:rsidR="00761624" w:rsidRDefault="00761624" w:rsidP="00D363C9">
      <w:r>
        <w:t>This report does not seek to compare the average cost per separation between the public and private sectors, as the scope of costs between the two sectors is different. Many of the cost items present in the public sector such as Pathology or Imaging are not equally represented in Private Hospital general ledgers. In addition, the costs of medical specialists are usually not captured in private hospital general ledgers. For example, these costs are generally not reported for the private sector because the majority of hospitals do not provide these services directly and patients pay for these services separately.</w:t>
      </w:r>
    </w:p>
    <w:p w14:paraId="205C921C" w14:textId="638AEAAB" w:rsidR="00761624" w:rsidRDefault="00761624" w:rsidP="00D363C9">
      <w:pPr>
        <w:pStyle w:val="Heading2-nonumbers"/>
      </w:pPr>
      <w:r>
        <w:t>Confidentiality of data</w:t>
      </w:r>
    </w:p>
    <w:p w14:paraId="1A5DFA84" w14:textId="77777777" w:rsidR="00761624" w:rsidRDefault="00761624" w:rsidP="00D363C9">
      <w:r>
        <w:t xml:space="preserve">Due to the commercial nature of the sector, all participating hospitals in Round 20 are requested to sign a confidentiality agreement before any final reports are released.  </w:t>
      </w:r>
    </w:p>
    <w:p w14:paraId="615D4EED" w14:textId="45A45672" w:rsidR="00683C93" w:rsidRDefault="00761624" w:rsidP="00D363C9">
      <w:pPr>
        <w:rPr>
          <w:rFonts w:cs="Georgia"/>
          <w:color w:val="000000"/>
        </w:rPr>
      </w:pPr>
      <w:r>
        <w:t>Where a</w:t>
      </w:r>
      <w:r w:rsidR="00683C93">
        <w:t xml:space="preserve"> cost weight reported for a</w:t>
      </w:r>
      <w:r w:rsidR="00D61C39">
        <w:t xml:space="preserve"> </w:t>
      </w:r>
      <w:r w:rsidR="00351C9A">
        <w:t>Diagnosis Related Group (</w:t>
      </w:r>
      <w:r>
        <w:t>DRG</w:t>
      </w:r>
      <w:r w:rsidR="00351C9A">
        <w:t>)</w:t>
      </w:r>
      <w:r>
        <w:t xml:space="preserve"> is based on less than five population-adjusted separations, the </w:t>
      </w:r>
      <w:r w:rsidR="009E6DCF">
        <w:t>Figure</w:t>
      </w:r>
      <w:r>
        <w:t xml:space="preserve">s for this cost weight have been replaced by asterisks (*****).  </w:t>
      </w:r>
      <w:r>
        <w:rPr>
          <w:rFonts w:cs="Georgia"/>
          <w:color w:val="000000"/>
        </w:rPr>
        <w:t>If the number of contributin</w:t>
      </w:r>
      <w:r w:rsidR="00D61C39">
        <w:rPr>
          <w:rFonts w:cs="Georgia"/>
          <w:color w:val="000000"/>
        </w:rPr>
        <w:t xml:space="preserve">g hospitals for a particular </w:t>
      </w:r>
      <w:r>
        <w:rPr>
          <w:rFonts w:cs="Georgia"/>
          <w:color w:val="000000"/>
        </w:rPr>
        <w:t xml:space="preserve">DRG is less than three, the </w:t>
      </w:r>
      <w:r w:rsidR="009E6DCF">
        <w:rPr>
          <w:rFonts w:cs="Georgia"/>
          <w:color w:val="000000"/>
        </w:rPr>
        <w:t>Figure</w:t>
      </w:r>
      <w:r>
        <w:rPr>
          <w:rFonts w:cs="Georgia"/>
          <w:color w:val="000000"/>
        </w:rPr>
        <w:t>s for this cost weight have been replaced by dashes (-----).</w:t>
      </w:r>
    </w:p>
    <w:p w14:paraId="5FD84329" w14:textId="069FDCCE" w:rsidR="00761624" w:rsidRDefault="00761624" w:rsidP="00D363C9">
      <w:r>
        <w:t>For the cost weight table appendi</w:t>
      </w:r>
      <w:r w:rsidR="00351C9A">
        <w:t>ces</w:t>
      </w:r>
      <w:r>
        <w:t xml:space="preserve"> we have removed the column that showed the number of hospitals associated wit</w:t>
      </w:r>
      <w:r w:rsidR="00D61C39">
        <w:t xml:space="preserve">h a </w:t>
      </w:r>
      <w:r>
        <w:t>DRG.  This decision was based on feedback received from the sector in relation to hospitals being identifiable.</w:t>
      </w:r>
    </w:p>
    <w:p w14:paraId="232D20DA" w14:textId="2BE241B0" w:rsidR="002647B1" w:rsidRPr="00683C93" w:rsidRDefault="005713A6" w:rsidP="00F40C87">
      <w:pPr>
        <w:pStyle w:val="Heading1"/>
        <w:numPr>
          <w:ilvl w:val="0"/>
          <w:numId w:val="18"/>
        </w:numPr>
        <w:ind w:left="851" w:hanging="851"/>
      </w:pPr>
      <w:r>
        <w:br w:type="page"/>
      </w:r>
      <w:bookmarkStart w:id="11" w:name="_Toc496857540"/>
      <w:bookmarkStart w:id="12" w:name="_Toc497750209"/>
      <w:r w:rsidR="00CD0927" w:rsidRPr="00683C93">
        <w:lastRenderedPageBreak/>
        <w:t>Executive summary</w:t>
      </w:r>
      <w:bookmarkStart w:id="13" w:name="_Toc435611205"/>
      <w:bookmarkStart w:id="14" w:name="_Toc496857541"/>
      <w:bookmarkEnd w:id="11"/>
      <w:bookmarkEnd w:id="12"/>
      <w:r w:rsidR="002647B1" w:rsidRPr="00683C93">
        <w:t xml:space="preserve"> </w:t>
      </w:r>
    </w:p>
    <w:bookmarkEnd w:id="13"/>
    <w:bookmarkEnd w:id="14"/>
    <w:p w14:paraId="5AB5B8DC" w14:textId="0C70301F" w:rsidR="006E4F88" w:rsidRDefault="00CD0927" w:rsidP="00D363C9">
      <w:r>
        <w:t xml:space="preserve">The private sector </w:t>
      </w:r>
      <w:r w:rsidR="00D81F1E">
        <w:t>NHCDC</w:t>
      </w:r>
      <w:r>
        <w:t xml:space="preserve"> is a voluntary collection that produces a range of hospital cost and activity information by</w:t>
      </w:r>
      <w:r w:rsidR="007C3059">
        <w:t xml:space="preserve"> AR-DRG.</w:t>
      </w:r>
      <w:r>
        <w:t xml:space="preserve">  This report includes the findings from </w:t>
      </w:r>
      <w:r w:rsidR="00FB7D06">
        <w:t xml:space="preserve">the </w:t>
      </w:r>
      <w:r>
        <w:t xml:space="preserve">Round 20 (2015-16) </w:t>
      </w:r>
      <w:r w:rsidR="00DF7A5F">
        <w:t>private sector</w:t>
      </w:r>
      <w:r>
        <w:t xml:space="preserve"> NHCDC for acute admitted care provided by overnight private hospitals.</w:t>
      </w:r>
      <w:r w:rsidR="006E4F88">
        <w:t xml:space="preserve"> </w:t>
      </w:r>
      <w:bookmarkStart w:id="15" w:name="_Toc496857542"/>
      <w:bookmarkStart w:id="16" w:name="_Toc435611206"/>
    </w:p>
    <w:p w14:paraId="4D043735" w14:textId="77777777" w:rsidR="00FB7D06" w:rsidRDefault="00FB7D06" w:rsidP="00FB7D06">
      <w:pPr>
        <w:pStyle w:val="Heading2"/>
        <w:rPr>
          <w:szCs w:val="28"/>
        </w:rPr>
      </w:pPr>
      <w:bookmarkStart w:id="17" w:name="_Toc497200399"/>
      <w:bookmarkEnd w:id="17"/>
      <w:r w:rsidRPr="006E4F88">
        <w:rPr>
          <w:szCs w:val="28"/>
        </w:rPr>
        <w:t xml:space="preserve">Changes </w:t>
      </w:r>
      <w:r>
        <w:rPr>
          <w:szCs w:val="28"/>
        </w:rPr>
        <w:t>in</w:t>
      </w:r>
      <w:r w:rsidRPr="006E4F88">
        <w:rPr>
          <w:szCs w:val="28"/>
        </w:rPr>
        <w:t xml:space="preserve"> Round 20 </w:t>
      </w:r>
    </w:p>
    <w:p w14:paraId="35C6DB73" w14:textId="77777777" w:rsidR="00FB7D06" w:rsidRDefault="00FB7D06" w:rsidP="00FB7D06">
      <w:r>
        <w:t>There have been some key changes from Round 18 to Round 20, which are summarised below:</w:t>
      </w:r>
    </w:p>
    <w:p w14:paraId="5771B08E" w14:textId="0D707C09" w:rsidR="00FB7D06" w:rsidRPr="006B3A78" w:rsidRDefault="00FB7D06" w:rsidP="006B3A78">
      <w:pPr>
        <w:pStyle w:val="ListBullet"/>
      </w:pPr>
      <w:r w:rsidRPr="006B3A78">
        <w:t xml:space="preserve">All participants were required to undertake their own costing. The primary reason being that by increasing hospital involvement, the quality of the private sector NHCDC would improve and result in building long-term capacity in the sector to undertake patient level costing. </w:t>
      </w:r>
    </w:p>
    <w:p w14:paraId="292F2BAF" w14:textId="77777777" w:rsidR="00FB7D06" w:rsidRPr="006B3A78" w:rsidRDefault="00FB7D06" w:rsidP="006B3A78">
      <w:pPr>
        <w:pStyle w:val="ListBullet"/>
      </w:pPr>
      <w:r w:rsidRPr="006B3A78">
        <w:t>Specific hospital groups were targeted to participate. This was done to achieve the target participation rate.</w:t>
      </w:r>
    </w:p>
    <w:p w14:paraId="3F8F23DC" w14:textId="77777777" w:rsidR="00FB7D06" w:rsidRPr="006B3A78" w:rsidRDefault="00FB7D06" w:rsidP="006B3A78">
      <w:pPr>
        <w:pStyle w:val="ListBullet"/>
      </w:pPr>
      <w:r w:rsidRPr="006B3A78">
        <w:t>IHPA facilitated the data collection process, which involved stakeholder engagement, validation, quality assurance and data set consolidation. Consultants were engaged to undertake data analysis and reporting.</w:t>
      </w:r>
    </w:p>
    <w:p w14:paraId="715F7474" w14:textId="77777777" w:rsidR="00FB7D06" w:rsidRPr="006B3A78" w:rsidRDefault="00FB7D06" w:rsidP="006B3A78">
      <w:pPr>
        <w:pStyle w:val="ListBullet"/>
      </w:pPr>
      <w:r w:rsidRPr="006B3A78">
        <w:t>The analysis in this report was updated to AR</w:t>
      </w:r>
      <w:r w:rsidRPr="006B3A78">
        <w:noBreakHyphen/>
        <w:t>DRG version 8.0. This was done to reflect changes in clinical practice and to ensure the classifications remain clinically relevant and robust.</w:t>
      </w:r>
    </w:p>
    <w:p w14:paraId="7603758E" w14:textId="77777777" w:rsidR="00FB7D06" w:rsidRPr="006B3A78" w:rsidRDefault="00FB7D06" w:rsidP="006B3A78">
      <w:pPr>
        <w:pStyle w:val="ListBullet"/>
      </w:pPr>
      <w:r w:rsidRPr="006B3A78">
        <w:t>The market share adjustment counts only hospital groups that submitted data. This was done to better reflect the population of participants and ensure each group is appropriately represented.</w:t>
      </w:r>
    </w:p>
    <w:p w14:paraId="7DC1CCAE" w14:textId="35BAB484" w:rsidR="00FB7D06" w:rsidRDefault="00FB7D06" w:rsidP="00FB7D06">
      <w:pPr>
        <w:pStyle w:val="ListBullet"/>
        <w:numPr>
          <w:ilvl w:val="0"/>
          <w:numId w:val="0"/>
        </w:numPr>
        <w:spacing w:before="120"/>
        <w:ind w:left="357" w:hanging="357"/>
      </w:pPr>
      <w:r>
        <w:t xml:space="preserve">These changes are detailed further in section </w:t>
      </w:r>
      <w:r>
        <w:fldChar w:fldCharType="begin"/>
      </w:r>
      <w:r>
        <w:instrText xml:space="preserve"> REF _Ref497146926 \w \h </w:instrText>
      </w:r>
      <w:r>
        <w:fldChar w:fldCharType="separate"/>
      </w:r>
      <w:r w:rsidR="00681CD9">
        <w:t>2.5</w:t>
      </w:r>
      <w:r>
        <w:fldChar w:fldCharType="end"/>
      </w:r>
      <w:r>
        <w:t>.</w:t>
      </w:r>
    </w:p>
    <w:p w14:paraId="201AF4F5" w14:textId="3E97DED0" w:rsidR="00364874" w:rsidRDefault="00E175E8" w:rsidP="00364874">
      <w:pPr>
        <w:pStyle w:val="Heading2"/>
        <w:rPr>
          <w:szCs w:val="28"/>
        </w:rPr>
      </w:pPr>
      <w:r>
        <w:rPr>
          <w:szCs w:val="28"/>
        </w:rPr>
        <w:t>Participation</w:t>
      </w:r>
    </w:p>
    <w:p w14:paraId="453421E3" w14:textId="46F2D866" w:rsidR="00364874" w:rsidRDefault="00E175E8" w:rsidP="00364874">
      <w:r>
        <w:t xml:space="preserve">The </w:t>
      </w:r>
      <w:r w:rsidR="00364874">
        <w:t xml:space="preserve">high level statistics for </w:t>
      </w:r>
      <w:r>
        <w:t xml:space="preserve">the </w:t>
      </w:r>
      <w:r w:rsidR="00364874">
        <w:t xml:space="preserve">Round 20 </w:t>
      </w:r>
      <w:r>
        <w:t xml:space="preserve">private sector NHCDC </w:t>
      </w:r>
      <w:r w:rsidR="00364874">
        <w:t>compared to previously reported Rounds</w:t>
      </w:r>
      <w:r>
        <w:t xml:space="preserve"> (since 2006</w:t>
      </w:r>
      <w:r>
        <w:noBreakHyphen/>
        <w:t>07)</w:t>
      </w:r>
      <w:r w:rsidRPr="00E175E8">
        <w:t xml:space="preserve"> </w:t>
      </w:r>
      <w:r w:rsidR="00DF7A5F">
        <w:t>are</w:t>
      </w:r>
      <w:r>
        <w:t xml:space="preserve"> provided in Table 1</w:t>
      </w:r>
      <w:r w:rsidR="00364874">
        <w:t>. In Round 20, the data set represents 91</w:t>
      </w:r>
      <w:r w:rsidR="00351C9A">
        <w:t> </w:t>
      </w:r>
      <w:r w:rsidR="00364874">
        <w:t xml:space="preserve">hospitals and 1,781,699 separations representing 58 per cent of the population.  </w:t>
      </w:r>
    </w:p>
    <w:p w14:paraId="7C04D4DB" w14:textId="4627256B" w:rsidR="00364874" w:rsidRDefault="00364874" w:rsidP="00364874">
      <w:r>
        <w:t>The number of participating hospital</w:t>
      </w:r>
      <w:r w:rsidR="0053227C">
        <w:t>s</w:t>
      </w:r>
      <w:r>
        <w:t xml:space="preserve"> has declined by </w:t>
      </w:r>
      <w:r w:rsidR="00351C9A">
        <w:t>five</w:t>
      </w:r>
      <w:r>
        <w:t xml:space="preserve"> hospitals or 5</w:t>
      </w:r>
      <w:r w:rsidR="00E359A8">
        <w:t>.0</w:t>
      </w:r>
      <w:r>
        <w:t xml:space="preserve"> per cent. The number of sample separations has increased by </w:t>
      </w:r>
      <w:r w:rsidR="0053227C">
        <w:t>84,388</w:t>
      </w:r>
      <w:r>
        <w:t xml:space="preserve"> or </w:t>
      </w:r>
      <w:r w:rsidR="0053227C">
        <w:t>5.0</w:t>
      </w:r>
      <w:r>
        <w:t xml:space="preserve"> per cent. The participation rate reduced marginally by 2</w:t>
      </w:r>
      <w:r w:rsidR="00E359A8">
        <w:t>.0</w:t>
      </w:r>
      <w:r>
        <w:t xml:space="preserve"> percent</w:t>
      </w:r>
      <w:r w:rsidR="00351C9A">
        <w:t>age points</w:t>
      </w:r>
      <w:r>
        <w:t xml:space="preserve"> compared to Round 18.</w:t>
      </w:r>
    </w:p>
    <w:p w14:paraId="6066DC21" w14:textId="11536540" w:rsidR="00364874" w:rsidRPr="00DF7A5F" w:rsidRDefault="00364874" w:rsidP="006F21D0">
      <w:pPr>
        <w:pStyle w:val="TableHeadings3"/>
      </w:pPr>
      <w:bookmarkStart w:id="18" w:name="_Toc497488009"/>
      <w:bookmarkStart w:id="19" w:name="_Toc497750015"/>
      <w:proofErr w:type="gramStart"/>
      <w:r w:rsidRPr="00DF7A5F">
        <w:t>Table 1</w:t>
      </w:r>
      <w:r w:rsidR="004F7ECE">
        <w:t>.</w:t>
      </w:r>
      <w:proofErr w:type="gramEnd"/>
      <w:r w:rsidR="008D220E">
        <w:t xml:space="preserve"> </w:t>
      </w:r>
      <w:r w:rsidRPr="00DF7A5F">
        <w:t>Summary</w:t>
      </w:r>
      <w:r w:rsidR="00DF7A5F">
        <w:t xml:space="preserve"> </w:t>
      </w:r>
      <w:r w:rsidRPr="00DF7A5F">
        <w:t>of private hospital participation</w:t>
      </w:r>
      <w:bookmarkEnd w:id="18"/>
      <w:bookmarkEnd w:id="19"/>
    </w:p>
    <w:tbl>
      <w:tblPr>
        <w:tblW w:w="4915" w:type="pct"/>
        <w:tblInd w:w="108" w:type="dxa"/>
        <w:tblLayout w:type="fixed"/>
        <w:tblLook w:val="04A0" w:firstRow="1" w:lastRow="0" w:firstColumn="1" w:lastColumn="0" w:noHBand="0" w:noVBand="1"/>
        <w:tblCaption w:val="Table 1 summary of private hospital participation"/>
        <w:tblDescription w:val="Table 1 contains a summary of the private hospital participation in the NHCDC. Its columns span the Rounds from Round 7 to Round 18. Its rows are number of hospitals, sample separations, percentage of population separations and AR-DRG version."/>
      </w:tblPr>
      <w:tblGrid>
        <w:gridCol w:w="1986"/>
        <w:gridCol w:w="1074"/>
        <w:gridCol w:w="1073"/>
        <w:gridCol w:w="1073"/>
        <w:gridCol w:w="1073"/>
        <w:gridCol w:w="1073"/>
        <w:gridCol w:w="1073"/>
        <w:gridCol w:w="1073"/>
      </w:tblGrid>
      <w:tr w:rsidR="00E175E8" w:rsidRPr="00E175E8" w14:paraId="46D4083B" w14:textId="77777777" w:rsidTr="00E175E8">
        <w:trPr>
          <w:trHeight w:val="20"/>
        </w:trPr>
        <w:tc>
          <w:tcPr>
            <w:tcW w:w="1045" w:type="pct"/>
            <w:tcBorders>
              <w:top w:val="single" w:sz="4" w:space="0" w:color="auto"/>
              <w:left w:val="nil"/>
              <w:bottom w:val="single" w:sz="4" w:space="0" w:color="000000"/>
              <w:right w:val="nil"/>
            </w:tcBorders>
            <w:noWrap/>
            <w:hideMark/>
          </w:tcPr>
          <w:p w14:paraId="6517C084" w14:textId="77777777" w:rsidR="00E175E8" w:rsidRPr="00E175E8" w:rsidRDefault="00E175E8" w:rsidP="00E175E8">
            <w:pPr>
              <w:pStyle w:val="Tablesheadings"/>
              <w:spacing w:before="80" w:after="80"/>
              <w:rPr>
                <w:rFonts w:asciiTheme="minorHAnsi" w:hAnsiTheme="minorHAnsi" w:cstheme="minorHAnsi"/>
                <w:sz w:val="18"/>
              </w:rPr>
            </w:pPr>
            <w:bookmarkStart w:id="20" w:name="_Toc497486091"/>
            <w:bookmarkStart w:id="21" w:name="_Toc497488010"/>
            <w:r w:rsidRPr="00E175E8">
              <w:rPr>
                <w:rFonts w:asciiTheme="minorHAnsi" w:hAnsiTheme="minorHAnsi" w:cstheme="minorHAnsi"/>
                <w:sz w:val="18"/>
              </w:rPr>
              <w:t>Summary</w:t>
            </w:r>
            <w:bookmarkEnd w:id="20"/>
            <w:bookmarkEnd w:id="21"/>
          </w:p>
        </w:tc>
        <w:tc>
          <w:tcPr>
            <w:tcW w:w="565" w:type="pct"/>
            <w:tcBorders>
              <w:top w:val="single" w:sz="4" w:space="0" w:color="auto"/>
              <w:left w:val="nil"/>
              <w:bottom w:val="single" w:sz="4" w:space="0" w:color="000000"/>
              <w:right w:val="nil"/>
            </w:tcBorders>
            <w:hideMark/>
          </w:tcPr>
          <w:p w14:paraId="7B3F61A4" w14:textId="77777777" w:rsidR="00E175E8" w:rsidRPr="00E175E8" w:rsidRDefault="00E175E8" w:rsidP="00E175E8">
            <w:pPr>
              <w:pStyle w:val="Tablesheadings"/>
              <w:spacing w:before="80" w:after="80"/>
              <w:rPr>
                <w:rFonts w:asciiTheme="minorHAnsi" w:hAnsiTheme="minorHAnsi" w:cstheme="minorHAnsi"/>
                <w:sz w:val="18"/>
              </w:rPr>
            </w:pPr>
            <w:bookmarkStart w:id="22" w:name="_Toc497486092"/>
            <w:bookmarkStart w:id="23" w:name="_Toc497488011"/>
            <w:r w:rsidRPr="00E175E8">
              <w:rPr>
                <w:rFonts w:asciiTheme="minorHAnsi" w:hAnsiTheme="minorHAnsi" w:cstheme="minorHAnsi"/>
                <w:sz w:val="18"/>
              </w:rPr>
              <w:t>Round 11 2006-07</w:t>
            </w:r>
            <w:bookmarkEnd w:id="22"/>
            <w:bookmarkEnd w:id="23"/>
          </w:p>
        </w:tc>
        <w:tc>
          <w:tcPr>
            <w:tcW w:w="565" w:type="pct"/>
            <w:tcBorders>
              <w:top w:val="single" w:sz="4" w:space="0" w:color="auto"/>
              <w:left w:val="nil"/>
              <w:bottom w:val="single" w:sz="4" w:space="0" w:color="000000"/>
              <w:right w:val="nil"/>
            </w:tcBorders>
            <w:hideMark/>
          </w:tcPr>
          <w:p w14:paraId="4991CA43" w14:textId="77777777" w:rsidR="00E175E8" w:rsidRPr="00E175E8" w:rsidRDefault="00E175E8" w:rsidP="00E175E8">
            <w:pPr>
              <w:pStyle w:val="Tablesheadings"/>
              <w:spacing w:before="80" w:after="80"/>
              <w:rPr>
                <w:rFonts w:asciiTheme="minorHAnsi" w:hAnsiTheme="minorHAnsi" w:cstheme="minorHAnsi"/>
                <w:sz w:val="18"/>
              </w:rPr>
            </w:pPr>
            <w:bookmarkStart w:id="24" w:name="_Toc497486093"/>
            <w:bookmarkStart w:id="25" w:name="_Toc497488012"/>
            <w:r w:rsidRPr="00E175E8">
              <w:rPr>
                <w:rFonts w:asciiTheme="minorHAnsi" w:hAnsiTheme="minorHAnsi" w:cstheme="minorHAnsi"/>
                <w:sz w:val="18"/>
              </w:rPr>
              <w:t>Round 12 2007-08</w:t>
            </w:r>
            <w:bookmarkEnd w:id="24"/>
            <w:bookmarkEnd w:id="25"/>
          </w:p>
        </w:tc>
        <w:tc>
          <w:tcPr>
            <w:tcW w:w="565" w:type="pct"/>
            <w:tcBorders>
              <w:top w:val="single" w:sz="4" w:space="0" w:color="auto"/>
              <w:left w:val="nil"/>
              <w:bottom w:val="single" w:sz="4" w:space="0" w:color="000000"/>
              <w:right w:val="nil"/>
            </w:tcBorders>
            <w:hideMark/>
          </w:tcPr>
          <w:p w14:paraId="79094594" w14:textId="77777777" w:rsidR="00E175E8" w:rsidRPr="00E175E8" w:rsidRDefault="00E175E8" w:rsidP="00E175E8">
            <w:pPr>
              <w:pStyle w:val="Tablesheadings"/>
              <w:spacing w:before="80" w:after="80"/>
              <w:rPr>
                <w:rFonts w:asciiTheme="minorHAnsi" w:hAnsiTheme="minorHAnsi" w:cstheme="minorHAnsi"/>
                <w:sz w:val="18"/>
              </w:rPr>
            </w:pPr>
            <w:bookmarkStart w:id="26" w:name="_Toc497486094"/>
            <w:bookmarkStart w:id="27" w:name="_Toc497488013"/>
            <w:r w:rsidRPr="00E175E8">
              <w:rPr>
                <w:rFonts w:asciiTheme="minorHAnsi" w:hAnsiTheme="minorHAnsi" w:cstheme="minorHAnsi"/>
                <w:sz w:val="18"/>
              </w:rPr>
              <w:t>Round 13 2008-09</w:t>
            </w:r>
            <w:bookmarkEnd w:id="26"/>
            <w:bookmarkEnd w:id="27"/>
          </w:p>
        </w:tc>
        <w:tc>
          <w:tcPr>
            <w:tcW w:w="565" w:type="pct"/>
            <w:tcBorders>
              <w:top w:val="single" w:sz="4" w:space="0" w:color="auto"/>
              <w:left w:val="nil"/>
              <w:bottom w:val="single" w:sz="4" w:space="0" w:color="000000"/>
              <w:right w:val="nil"/>
            </w:tcBorders>
            <w:hideMark/>
          </w:tcPr>
          <w:p w14:paraId="73BF256A" w14:textId="77777777" w:rsidR="00E175E8" w:rsidRPr="00E175E8" w:rsidRDefault="00E175E8" w:rsidP="00E175E8">
            <w:pPr>
              <w:pStyle w:val="Tablesheadings"/>
              <w:spacing w:before="80" w:after="80"/>
              <w:rPr>
                <w:rFonts w:asciiTheme="minorHAnsi" w:hAnsiTheme="minorHAnsi" w:cstheme="minorHAnsi"/>
                <w:sz w:val="18"/>
              </w:rPr>
            </w:pPr>
            <w:bookmarkStart w:id="28" w:name="_Toc497486095"/>
            <w:bookmarkStart w:id="29" w:name="_Toc497488014"/>
            <w:r w:rsidRPr="00E175E8">
              <w:rPr>
                <w:rFonts w:asciiTheme="minorHAnsi" w:hAnsiTheme="minorHAnsi" w:cstheme="minorHAnsi"/>
                <w:sz w:val="18"/>
              </w:rPr>
              <w:t>Round 16 2011-12</w:t>
            </w:r>
            <w:bookmarkEnd w:id="28"/>
            <w:bookmarkEnd w:id="29"/>
          </w:p>
        </w:tc>
        <w:tc>
          <w:tcPr>
            <w:tcW w:w="565" w:type="pct"/>
            <w:tcBorders>
              <w:top w:val="single" w:sz="4" w:space="0" w:color="auto"/>
              <w:left w:val="nil"/>
              <w:bottom w:val="single" w:sz="4" w:space="0" w:color="000000"/>
              <w:right w:val="nil"/>
            </w:tcBorders>
            <w:hideMark/>
          </w:tcPr>
          <w:p w14:paraId="070B4DDF" w14:textId="77777777" w:rsidR="00E175E8" w:rsidRPr="00E175E8" w:rsidRDefault="00E175E8" w:rsidP="00E175E8">
            <w:pPr>
              <w:pStyle w:val="Tablesheadings"/>
              <w:spacing w:before="80" w:after="80"/>
              <w:rPr>
                <w:rFonts w:asciiTheme="minorHAnsi" w:hAnsiTheme="minorHAnsi" w:cstheme="minorHAnsi"/>
                <w:sz w:val="18"/>
              </w:rPr>
            </w:pPr>
            <w:bookmarkStart w:id="30" w:name="_Toc497486096"/>
            <w:bookmarkStart w:id="31" w:name="_Toc497488015"/>
            <w:r w:rsidRPr="00E175E8">
              <w:rPr>
                <w:rFonts w:asciiTheme="minorHAnsi" w:hAnsiTheme="minorHAnsi" w:cstheme="minorHAnsi"/>
                <w:sz w:val="18"/>
              </w:rPr>
              <w:t>Round 17 2012-13</w:t>
            </w:r>
            <w:bookmarkEnd w:id="30"/>
            <w:bookmarkEnd w:id="31"/>
          </w:p>
        </w:tc>
        <w:tc>
          <w:tcPr>
            <w:tcW w:w="565" w:type="pct"/>
            <w:tcBorders>
              <w:top w:val="single" w:sz="4" w:space="0" w:color="auto"/>
              <w:left w:val="nil"/>
              <w:bottom w:val="single" w:sz="4" w:space="0" w:color="000000"/>
              <w:right w:val="nil"/>
            </w:tcBorders>
            <w:hideMark/>
          </w:tcPr>
          <w:p w14:paraId="57B708F3" w14:textId="77777777" w:rsidR="00E175E8" w:rsidRPr="00E175E8" w:rsidRDefault="00E175E8" w:rsidP="00E175E8">
            <w:pPr>
              <w:pStyle w:val="Tablesheadings"/>
              <w:spacing w:before="80" w:after="80"/>
              <w:rPr>
                <w:rFonts w:asciiTheme="minorHAnsi" w:hAnsiTheme="minorHAnsi" w:cstheme="minorHAnsi"/>
                <w:sz w:val="18"/>
              </w:rPr>
            </w:pPr>
            <w:bookmarkStart w:id="32" w:name="_Toc497486097"/>
            <w:bookmarkStart w:id="33" w:name="_Toc497488016"/>
            <w:r w:rsidRPr="00E175E8">
              <w:rPr>
                <w:rFonts w:asciiTheme="minorHAnsi" w:hAnsiTheme="minorHAnsi" w:cstheme="minorHAnsi"/>
                <w:sz w:val="18"/>
              </w:rPr>
              <w:t>Round 18 2013-14</w:t>
            </w:r>
            <w:bookmarkEnd w:id="32"/>
            <w:bookmarkEnd w:id="33"/>
          </w:p>
        </w:tc>
        <w:tc>
          <w:tcPr>
            <w:tcW w:w="565" w:type="pct"/>
            <w:tcBorders>
              <w:top w:val="single" w:sz="4" w:space="0" w:color="auto"/>
              <w:left w:val="nil"/>
              <w:bottom w:val="single" w:sz="4" w:space="0" w:color="auto"/>
              <w:right w:val="nil"/>
            </w:tcBorders>
            <w:shd w:val="clear" w:color="auto" w:fill="D9D9D9" w:themeFill="background1" w:themeFillShade="D9"/>
            <w:hideMark/>
          </w:tcPr>
          <w:p w14:paraId="23DF412C" w14:textId="77777777" w:rsidR="00E175E8" w:rsidRPr="00E175E8" w:rsidRDefault="00E175E8" w:rsidP="00E175E8">
            <w:pPr>
              <w:pStyle w:val="Tablesheadings"/>
              <w:spacing w:before="80" w:after="80"/>
              <w:rPr>
                <w:rFonts w:asciiTheme="minorHAnsi" w:hAnsiTheme="minorHAnsi" w:cstheme="minorHAnsi"/>
                <w:sz w:val="18"/>
              </w:rPr>
            </w:pPr>
            <w:bookmarkStart w:id="34" w:name="_Toc497486098"/>
            <w:bookmarkStart w:id="35" w:name="_Toc497488017"/>
            <w:r w:rsidRPr="00E175E8">
              <w:rPr>
                <w:rFonts w:asciiTheme="minorHAnsi" w:hAnsiTheme="minorHAnsi" w:cstheme="minorHAnsi"/>
                <w:sz w:val="18"/>
              </w:rPr>
              <w:t>Round 20 2015-16</w:t>
            </w:r>
            <w:bookmarkEnd w:id="34"/>
            <w:bookmarkEnd w:id="35"/>
          </w:p>
        </w:tc>
      </w:tr>
      <w:tr w:rsidR="00E175E8" w:rsidRPr="00E175E8" w14:paraId="4DE3D565" w14:textId="77777777" w:rsidTr="009B1343">
        <w:trPr>
          <w:trHeight w:hRule="exact" w:val="340"/>
        </w:trPr>
        <w:tc>
          <w:tcPr>
            <w:tcW w:w="1045" w:type="pct"/>
            <w:noWrap/>
            <w:hideMark/>
          </w:tcPr>
          <w:p w14:paraId="4F4C91B4" w14:textId="77777777" w:rsidR="00E175E8" w:rsidRPr="00E175E8" w:rsidRDefault="00E175E8" w:rsidP="00E175E8">
            <w:pPr>
              <w:pStyle w:val="TableText"/>
              <w:rPr>
                <w:rFonts w:asciiTheme="minorHAnsi" w:hAnsiTheme="minorHAnsi" w:cstheme="minorHAnsi"/>
                <w:sz w:val="18"/>
              </w:rPr>
            </w:pPr>
            <w:r w:rsidRPr="00E175E8">
              <w:rPr>
                <w:rFonts w:asciiTheme="minorHAnsi" w:hAnsiTheme="minorHAnsi" w:cstheme="minorHAnsi"/>
                <w:sz w:val="18"/>
              </w:rPr>
              <w:t>Number of hospitals</w:t>
            </w:r>
          </w:p>
        </w:tc>
        <w:tc>
          <w:tcPr>
            <w:tcW w:w="565" w:type="pct"/>
            <w:noWrap/>
            <w:hideMark/>
          </w:tcPr>
          <w:p w14:paraId="5D93CBE0" w14:textId="77777777" w:rsidR="00E175E8" w:rsidRPr="00E175E8" w:rsidRDefault="00E175E8" w:rsidP="00E175E8">
            <w:pPr>
              <w:pStyle w:val="TableText"/>
              <w:jc w:val="right"/>
              <w:rPr>
                <w:rFonts w:asciiTheme="minorHAnsi" w:hAnsiTheme="minorHAnsi" w:cstheme="minorHAnsi"/>
                <w:sz w:val="18"/>
              </w:rPr>
            </w:pPr>
            <w:r w:rsidRPr="00E175E8">
              <w:rPr>
                <w:rFonts w:asciiTheme="minorHAnsi" w:hAnsiTheme="minorHAnsi" w:cstheme="minorHAnsi"/>
                <w:sz w:val="18"/>
              </w:rPr>
              <w:t>82</w:t>
            </w:r>
          </w:p>
        </w:tc>
        <w:tc>
          <w:tcPr>
            <w:tcW w:w="565" w:type="pct"/>
            <w:noWrap/>
            <w:hideMark/>
          </w:tcPr>
          <w:p w14:paraId="0A01457E" w14:textId="77777777" w:rsidR="00E175E8" w:rsidRPr="00E175E8" w:rsidRDefault="00E175E8" w:rsidP="00E175E8">
            <w:pPr>
              <w:pStyle w:val="TableText"/>
              <w:jc w:val="right"/>
              <w:rPr>
                <w:rFonts w:asciiTheme="minorHAnsi" w:hAnsiTheme="minorHAnsi" w:cstheme="minorHAnsi"/>
                <w:sz w:val="18"/>
              </w:rPr>
            </w:pPr>
            <w:r w:rsidRPr="00E175E8">
              <w:rPr>
                <w:rFonts w:asciiTheme="minorHAnsi" w:hAnsiTheme="minorHAnsi" w:cstheme="minorHAnsi"/>
                <w:sz w:val="18"/>
              </w:rPr>
              <w:t>109</w:t>
            </w:r>
          </w:p>
        </w:tc>
        <w:tc>
          <w:tcPr>
            <w:tcW w:w="565" w:type="pct"/>
            <w:noWrap/>
            <w:hideMark/>
          </w:tcPr>
          <w:p w14:paraId="6DD3A293" w14:textId="77777777" w:rsidR="00E175E8" w:rsidRPr="00E175E8" w:rsidRDefault="00E175E8" w:rsidP="00E175E8">
            <w:pPr>
              <w:pStyle w:val="TableText"/>
              <w:jc w:val="right"/>
              <w:rPr>
                <w:rFonts w:asciiTheme="minorHAnsi" w:hAnsiTheme="minorHAnsi" w:cstheme="minorHAnsi"/>
                <w:sz w:val="18"/>
              </w:rPr>
            </w:pPr>
            <w:r w:rsidRPr="00E175E8">
              <w:rPr>
                <w:rFonts w:asciiTheme="minorHAnsi" w:hAnsiTheme="minorHAnsi" w:cstheme="minorHAnsi"/>
                <w:sz w:val="18"/>
              </w:rPr>
              <w:t>110</w:t>
            </w:r>
          </w:p>
        </w:tc>
        <w:tc>
          <w:tcPr>
            <w:tcW w:w="565" w:type="pct"/>
            <w:noWrap/>
            <w:hideMark/>
          </w:tcPr>
          <w:p w14:paraId="6B10DD42" w14:textId="77777777" w:rsidR="00E175E8" w:rsidRPr="00E175E8" w:rsidRDefault="00E175E8" w:rsidP="00E175E8">
            <w:pPr>
              <w:pStyle w:val="TableText"/>
              <w:jc w:val="right"/>
              <w:rPr>
                <w:rFonts w:asciiTheme="minorHAnsi" w:hAnsiTheme="minorHAnsi" w:cstheme="minorHAnsi"/>
                <w:sz w:val="18"/>
              </w:rPr>
            </w:pPr>
            <w:r w:rsidRPr="00E175E8">
              <w:rPr>
                <w:rFonts w:asciiTheme="minorHAnsi" w:hAnsiTheme="minorHAnsi" w:cstheme="minorHAnsi"/>
                <w:sz w:val="18"/>
              </w:rPr>
              <w:t>105</w:t>
            </w:r>
          </w:p>
        </w:tc>
        <w:tc>
          <w:tcPr>
            <w:tcW w:w="565" w:type="pct"/>
            <w:noWrap/>
            <w:hideMark/>
          </w:tcPr>
          <w:p w14:paraId="0105108F" w14:textId="77777777" w:rsidR="00E175E8" w:rsidRPr="00E175E8" w:rsidRDefault="00E175E8" w:rsidP="00E175E8">
            <w:pPr>
              <w:pStyle w:val="TableText"/>
              <w:jc w:val="right"/>
              <w:rPr>
                <w:rFonts w:asciiTheme="minorHAnsi" w:hAnsiTheme="minorHAnsi" w:cstheme="minorHAnsi"/>
                <w:sz w:val="18"/>
              </w:rPr>
            </w:pPr>
            <w:r w:rsidRPr="00E175E8">
              <w:rPr>
                <w:rFonts w:asciiTheme="minorHAnsi" w:hAnsiTheme="minorHAnsi" w:cstheme="minorHAnsi"/>
                <w:sz w:val="18"/>
              </w:rPr>
              <w:t>95</w:t>
            </w:r>
          </w:p>
        </w:tc>
        <w:tc>
          <w:tcPr>
            <w:tcW w:w="565" w:type="pct"/>
            <w:noWrap/>
            <w:hideMark/>
          </w:tcPr>
          <w:p w14:paraId="3A5900DC" w14:textId="77777777" w:rsidR="00E175E8" w:rsidRPr="00E175E8" w:rsidRDefault="00E175E8" w:rsidP="00E175E8">
            <w:pPr>
              <w:pStyle w:val="TableText"/>
              <w:jc w:val="right"/>
              <w:rPr>
                <w:rFonts w:asciiTheme="minorHAnsi" w:hAnsiTheme="minorHAnsi" w:cstheme="minorHAnsi"/>
                <w:sz w:val="18"/>
              </w:rPr>
            </w:pPr>
            <w:r w:rsidRPr="00E175E8">
              <w:rPr>
                <w:rFonts w:asciiTheme="minorHAnsi" w:hAnsiTheme="minorHAnsi" w:cstheme="minorHAnsi"/>
                <w:sz w:val="18"/>
              </w:rPr>
              <w:t>96</w:t>
            </w:r>
          </w:p>
        </w:tc>
        <w:tc>
          <w:tcPr>
            <w:tcW w:w="565" w:type="pct"/>
            <w:tcBorders>
              <w:top w:val="single" w:sz="4" w:space="0" w:color="auto"/>
              <w:left w:val="nil"/>
              <w:bottom w:val="nil"/>
              <w:right w:val="nil"/>
            </w:tcBorders>
            <w:shd w:val="clear" w:color="auto" w:fill="D9D9D9" w:themeFill="background1" w:themeFillShade="D9"/>
          </w:tcPr>
          <w:p w14:paraId="0382D9A2" w14:textId="77777777" w:rsidR="00E175E8" w:rsidRPr="00E175E8" w:rsidRDefault="00E175E8" w:rsidP="00E175E8">
            <w:pPr>
              <w:pStyle w:val="TableText"/>
              <w:jc w:val="right"/>
              <w:rPr>
                <w:rFonts w:asciiTheme="minorHAnsi" w:hAnsiTheme="minorHAnsi" w:cstheme="minorHAnsi"/>
                <w:sz w:val="18"/>
              </w:rPr>
            </w:pPr>
            <w:r w:rsidRPr="00E175E8">
              <w:rPr>
                <w:rFonts w:asciiTheme="minorHAnsi" w:hAnsiTheme="minorHAnsi" w:cstheme="minorHAnsi"/>
                <w:sz w:val="18"/>
              </w:rPr>
              <w:t>91</w:t>
            </w:r>
          </w:p>
        </w:tc>
      </w:tr>
      <w:tr w:rsidR="00E175E8" w:rsidRPr="00E175E8" w14:paraId="1232CB41" w14:textId="77777777" w:rsidTr="009B1343">
        <w:trPr>
          <w:trHeight w:hRule="exact" w:val="340"/>
        </w:trPr>
        <w:tc>
          <w:tcPr>
            <w:tcW w:w="1045" w:type="pct"/>
            <w:noWrap/>
            <w:hideMark/>
          </w:tcPr>
          <w:p w14:paraId="387E70B6" w14:textId="77777777" w:rsidR="00E175E8" w:rsidRPr="00E175E8" w:rsidRDefault="00E175E8" w:rsidP="00E175E8">
            <w:pPr>
              <w:pStyle w:val="TableText"/>
              <w:rPr>
                <w:rFonts w:asciiTheme="minorHAnsi" w:hAnsiTheme="minorHAnsi" w:cstheme="minorHAnsi"/>
                <w:sz w:val="18"/>
              </w:rPr>
            </w:pPr>
            <w:r w:rsidRPr="00E175E8">
              <w:rPr>
                <w:rFonts w:asciiTheme="minorHAnsi" w:hAnsiTheme="minorHAnsi" w:cstheme="minorHAnsi"/>
                <w:sz w:val="18"/>
              </w:rPr>
              <w:t>Sample Separations</w:t>
            </w:r>
          </w:p>
        </w:tc>
        <w:tc>
          <w:tcPr>
            <w:tcW w:w="565" w:type="pct"/>
            <w:noWrap/>
            <w:hideMark/>
          </w:tcPr>
          <w:p w14:paraId="32FB48AA" w14:textId="77777777" w:rsidR="00E175E8" w:rsidRPr="00E175E8" w:rsidRDefault="00E175E8" w:rsidP="00E175E8">
            <w:pPr>
              <w:pStyle w:val="TableText"/>
              <w:jc w:val="right"/>
              <w:rPr>
                <w:rFonts w:asciiTheme="minorHAnsi" w:hAnsiTheme="minorHAnsi" w:cstheme="minorHAnsi"/>
                <w:sz w:val="18"/>
              </w:rPr>
            </w:pPr>
            <w:r w:rsidRPr="00E175E8">
              <w:rPr>
                <w:rFonts w:asciiTheme="minorHAnsi" w:hAnsiTheme="minorHAnsi" w:cstheme="minorHAnsi"/>
                <w:sz w:val="18"/>
              </w:rPr>
              <w:t>1,297,147</w:t>
            </w:r>
          </w:p>
        </w:tc>
        <w:tc>
          <w:tcPr>
            <w:tcW w:w="565" w:type="pct"/>
            <w:noWrap/>
            <w:hideMark/>
          </w:tcPr>
          <w:p w14:paraId="6D1F832A" w14:textId="77777777" w:rsidR="00E175E8" w:rsidRPr="00E175E8" w:rsidRDefault="00E175E8" w:rsidP="00E175E8">
            <w:pPr>
              <w:pStyle w:val="TableText"/>
              <w:jc w:val="right"/>
              <w:rPr>
                <w:rFonts w:asciiTheme="minorHAnsi" w:hAnsiTheme="minorHAnsi" w:cstheme="minorHAnsi"/>
                <w:sz w:val="18"/>
              </w:rPr>
            </w:pPr>
            <w:r w:rsidRPr="00E175E8">
              <w:rPr>
                <w:rFonts w:asciiTheme="minorHAnsi" w:hAnsiTheme="minorHAnsi" w:cstheme="minorHAnsi"/>
                <w:sz w:val="18"/>
              </w:rPr>
              <w:t>1,607,678</w:t>
            </w:r>
          </w:p>
        </w:tc>
        <w:tc>
          <w:tcPr>
            <w:tcW w:w="565" w:type="pct"/>
            <w:noWrap/>
            <w:hideMark/>
          </w:tcPr>
          <w:p w14:paraId="6CF7C131" w14:textId="77777777" w:rsidR="00E175E8" w:rsidRPr="00E175E8" w:rsidRDefault="00E175E8" w:rsidP="00E175E8">
            <w:pPr>
              <w:pStyle w:val="TableText"/>
              <w:jc w:val="right"/>
              <w:rPr>
                <w:rFonts w:asciiTheme="minorHAnsi" w:hAnsiTheme="minorHAnsi" w:cstheme="minorHAnsi"/>
                <w:sz w:val="18"/>
              </w:rPr>
            </w:pPr>
            <w:r w:rsidRPr="00E175E8">
              <w:rPr>
                <w:rFonts w:asciiTheme="minorHAnsi" w:hAnsiTheme="minorHAnsi" w:cstheme="minorHAnsi"/>
                <w:sz w:val="18"/>
              </w:rPr>
              <w:t>1,648,989</w:t>
            </w:r>
          </w:p>
        </w:tc>
        <w:tc>
          <w:tcPr>
            <w:tcW w:w="565" w:type="pct"/>
            <w:noWrap/>
            <w:hideMark/>
          </w:tcPr>
          <w:p w14:paraId="77BB5408" w14:textId="77777777" w:rsidR="00E175E8" w:rsidRPr="00E175E8" w:rsidRDefault="00E175E8" w:rsidP="00E175E8">
            <w:pPr>
              <w:pStyle w:val="TableText"/>
              <w:jc w:val="right"/>
              <w:rPr>
                <w:rFonts w:asciiTheme="minorHAnsi" w:hAnsiTheme="minorHAnsi" w:cstheme="minorHAnsi"/>
                <w:sz w:val="18"/>
              </w:rPr>
            </w:pPr>
            <w:r w:rsidRPr="00E175E8">
              <w:rPr>
                <w:rFonts w:asciiTheme="minorHAnsi" w:hAnsiTheme="minorHAnsi" w:cstheme="minorHAnsi"/>
                <w:sz w:val="18"/>
              </w:rPr>
              <w:t>1,775,059</w:t>
            </w:r>
          </w:p>
        </w:tc>
        <w:tc>
          <w:tcPr>
            <w:tcW w:w="565" w:type="pct"/>
            <w:noWrap/>
            <w:hideMark/>
          </w:tcPr>
          <w:p w14:paraId="6893B203" w14:textId="77777777" w:rsidR="00E175E8" w:rsidRPr="00E175E8" w:rsidRDefault="00E175E8" w:rsidP="00E175E8">
            <w:pPr>
              <w:pStyle w:val="TableText"/>
              <w:jc w:val="right"/>
              <w:rPr>
                <w:rFonts w:asciiTheme="minorHAnsi" w:hAnsiTheme="minorHAnsi" w:cstheme="minorHAnsi"/>
                <w:sz w:val="18"/>
              </w:rPr>
            </w:pPr>
            <w:r w:rsidRPr="00E175E8">
              <w:rPr>
                <w:rFonts w:asciiTheme="minorHAnsi" w:hAnsiTheme="minorHAnsi" w:cstheme="minorHAnsi"/>
                <w:sz w:val="18"/>
              </w:rPr>
              <w:t>1,650,816</w:t>
            </w:r>
          </w:p>
        </w:tc>
        <w:tc>
          <w:tcPr>
            <w:tcW w:w="565" w:type="pct"/>
            <w:noWrap/>
            <w:hideMark/>
          </w:tcPr>
          <w:p w14:paraId="052107B7" w14:textId="77777777" w:rsidR="00E175E8" w:rsidRPr="00E175E8" w:rsidRDefault="00E175E8" w:rsidP="00E175E8">
            <w:pPr>
              <w:pStyle w:val="TableText"/>
              <w:jc w:val="right"/>
              <w:rPr>
                <w:rFonts w:asciiTheme="minorHAnsi" w:hAnsiTheme="minorHAnsi" w:cstheme="minorHAnsi"/>
                <w:sz w:val="18"/>
              </w:rPr>
            </w:pPr>
            <w:r w:rsidRPr="00E175E8">
              <w:rPr>
                <w:rFonts w:asciiTheme="minorHAnsi" w:hAnsiTheme="minorHAnsi" w:cstheme="minorHAnsi"/>
                <w:sz w:val="18"/>
              </w:rPr>
              <w:t>1,697,311</w:t>
            </w:r>
          </w:p>
        </w:tc>
        <w:tc>
          <w:tcPr>
            <w:tcW w:w="565" w:type="pct"/>
            <w:shd w:val="clear" w:color="auto" w:fill="D9D9D9" w:themeFill="background1" w:themeFillShade="D9"/>
          </w:tcPr>
          <w:p w14:paraId="5F31BD2A" w14:textId="77777777" w:rsidR="00E175E8" w:rsidRPr="00E175E8" w:rsidRDefault="00E175E8" w:rsidP="00E175E8">
            <w:pPr>
              <w:pStyle w:val="TableText"/>
              <w:jc w:val="right"/>
              <w:rPr>
                <w:rFonts w:asciiTheme="minorHAnsi" w:hAnsiTheme="minorHAnsi" w:cstheme="minorHAnsi"/>
                <w:sz w:val="18"/>
              </w:rPr>
            </w:pPr>
            <w:r w:rsidRPr="00E175E8">
              <w:rPr>
                <w:rFonts w:asciiTheme="minorHAnsi" w:hAnsiTheme="minorHAnsi" w:cstheme="minorHAnsi"/>
                <w:sz w:val="18"/>
              </w:rPr>
              <w:t>1,781,699</w:t>
            </w:r>
          </w:p>
        </w:tc>
      </w:tr>
      <w:tr w:rsidR="00E175E8" w:rsidRPr="00E175E8" w14:paraId="300104A8" w14:textId="77777777" w:rsidTr="009B1343">
        <w:trPr>
          <w:trHeight w:hRule="exact" w:val="340"/>
        </w:trPr>
        <w:tc>
          <w:tcPr>
            <w:tcW w:w="1045" w:type="pct"/>
            <w:hideMark/>
          </w:tcPr>
          <w:p w14:paraId="41AC2BAB" w14:textId="77777777" w:rsidR="00E175E8" w:rsidRPr="00E175E8" w:rsidRDefault="00E175E8" w:rsidP="00E175E8">
            <w:pPr>
              <w:pStyle w:val="TableText"/>
              <w:rPr>
                <w:rFonts w:asciiTheme="minorHAnsi" w:hAnsiTheme="minorHAnsi" w:cstheme="minorHAnsi"/>
                <w:sz w:val="18"/>
              </w:rPr>
            </w:pPr>
            <w:r w:rsidRPr="00E175E8">
              <w:rPr>
                <w:rFonts w:asciiTheme="minorHAnsi" w:hAnsiTheme="minorHAnsi" w:cstheme="minorHAnsi"/>
                <w:sz w:val="18"/>
              </w:rPr>
              <w:t>Participation rate* (%)</w:t>
            </w:r>
          </w:p>
        </w:tc>
        <w:tc>
          <w:tcPr>
            <w:tcW w:w="565" w:type="pct"/>
            <w:noWrap/>
            <w:hideMark/>
          </w:tcPr>
          <w:p w14:paraId="6F75E261" w14:textId="77777777" w:rsidR="00E175E8" w:rsidRPr="00E175E8" w:rsidRDefault="00E175E8" w:rsidP="00E175E8">
            <w:pPr>
              <w:pStyle w:val="TableText"/>
              <w:jc w:val="right"/>
              <w:rPr>
                <w:rFonts w:asciiTheme="minorHAnsi" w:hAnsiTheme="minorHAnsi" w:cstheme="minorHAnsi"/>
                <w:sz w:val="18"/>
              </w:rPr>
            </w:pPr>
            <w:r w:rsidRPr="00E175E8">
              <w:rPr>
                <w:rFonts w:asciiTheme="minorHAnsi" w:hAnsiTheme="minorHAnsi" w:cstheme="minorHAnsi"/>
                <w:sz w:val="18"/>
              </w:rPr>
              <w:t>59</w:t>
            </w:r>
          </w:p>
        </w:tc>
        <w:tc>
          <w:tcPr>
            <w:tcW w:w="565" w:type="pct"/>
            <w:noWrap/>
            <w:hideMark/>
          </w:tcPr>
          <w:p w14:paraId="187AA817" w14:textId="77777777" w:rsidR="00E175E8" w:rsidRPr="00E175E8" w:rsidRDefault="00E175E8" w:rsidP="00E175E8">
            <w:pPr>
              <w:pStyle w:val="TableText"/>
              <w:jc w:val="right"/>
              <w:rPr>
                <w:rFonts w:asciiTheme="minorHAnsi" w:hAnsiTheme="minorHAnsi" w:cstheme="minorHAnsi"/>
                <w:sz w:val="18"/>
              </w:rPr>
            </w:pPr>
            <w:r w:rsidRPr="00E175E8">
              <w:rPr>
                <w:rFonts w:asciiTheme="minorHAnsi" w:hAnsiTheme="minorHAnsi" w:cstheme="minorHAnsi"/>
                <w:sz w:val="18"/>
              </w:rPr>
              <w:t>72</w:t>
            </w:r>
          </w:p>
        </w:tc>
        <w:tc>
          <w:tcPr>
            <w:tcW w:w="565" w:type="pct"/>
            <w:noWrap/>
            <w:hideMark/>
          </w:tcPr>
          <w:p w14:paraId="348F2FC8" w14:textId="77777777" w:rsidR="00E175E8" w:rsidRPr="00E175E8" w:rsidRDefault="00E175E8" w:rsidP="00E175E8">
            <w:pPr>
              <w:pStyle w:val="TableText"/>
              <w:jc w:val="right"/>
              <w:rPr>
                <w:rFonts w:asciiTheme="minorHAnsi" w:hAnsiTheme="minorHAnsi" w:cstheme="minorHAnsi"/>
                <w:sz w:val="18"/>
              </w:rPr>
            </w:pPr>
            <w:r w:rsidRPr="00E175E8">
              <w:rPr>
                <w:rFonts w:asciiTheme="minorHAnsi" w:hAnsiTheme="minorHAnsi" w:cstheme="minorHAnsi"/>
                <w:sz w:val="18"/>
              </w:rPr>
              <w:t>71</w:t>
            </w:r>
          </w:p>
        </w:tc>
        <w:tc>
          <w:tcPr>
            <w:tcW w:w="565" w:type="pct"/>
            <w:noWrap/>
            <w:hideMark/>
          </w:tcPr>
          <w:p w14:paraId="7428D2AF" w14:textId="77777777" w:rsidR="00E175E8" w:rsidRPr="00E175E8" w:rsidRDefault="00E175E8" w:rsidP="00E175E8">
            <w:pPr>
              <w:pStyle w:val="TableText"/>
              <w:jc w:val="right"/>
              <w:rPr>
                <w:rFonts w:asciiTheme="minorHAnsi" w:hAnsiTheme="minorHAnsi" w:cstheme="minorHAnsi"/>
                <w:sz w:val="18"/>
              </w:rPr>
            </w:pPr>
            <w:r w:rsidRPr="00E175E8">
              <w:rPr>
                <w:rFonts w:asciiTheme="minorHAnsi" w:hAnsiTheme="minorHAnsi" w:cstheme="minorHAnsi"/>
                <w:sz w:val="18"/>
              </w:rPr>
              <w:t>66</w:t>
            </w:r>
          </w:p>
        </w:tc>
        <w:tc>
          <w:tcPr>
            <w:tcW w:w="565" w:type="pct"/>
            <w:noWrap/>
            <w:hideMark/>
          </w:tcPr>
          <w:p w14:paraId="5D278B45" w14:textId="77777777" w:rsidR="00E175E8" w:rsidRPr="00E175E8" w:rsidRDefault="00E175E8" w:rsidP="00E175E8">
            <w:pPr>
              <w:pStyle w:val="TableText"/>
              <w:jc w:val="right"/>
              <w:rPr>
                <w:rFonts w:asciiTheme="minorHAnsi" w:hAnsiTheme="minorHAnsi" w:cstheme="minorHAnsi"/>
                <w:sz w:val="18"/>
              </w:rPr>
            </w:pPr>
            <w:r w:rsidRPr="00E175E8">
              <w:rPr>
                <w:rFonts w:asciiTheme="minorHAnsi" w:hAnsiTheme="minorHAnsi" w:cstheme="minorHAnsi"/>
                <w:sz w:val="18"/>
              </w:rPr>
              <w:t>60</w:t>
            </w:r>
          </w:p>
        </w:tc>
        <w:tc>
          <w:tcPr>
            <w:tcW w:w="565" w:type="pct"/>
            <w:noWrap/>
            <w:hideMark/>
          </w:tcPr>
          <w:p w14:paraId="5116AE1B" w14:textId="77777777" w:rsidR="00E175E8" w:rsidRPr="00E175E8" w:rsidRDefault="00E175E8" w:rsidP="00E175E8">
            <w:pPr>
              <w:pStyle w:val="TableText"/>
              <w:jc w:val="right"/>
              <w:rPr>
                <w:rFonts w:asciiTheme="minorHAnsi" w:hAnsiTheme="minorHAnsi" w:cstheme="minorHAnsi"/>
                <w:sz w:val="18"/>
              </w:rPr>
            </w:pPr>
            <w:r w:rsidRPr="00E175E8">
              <w:rPr>
                <w:rFonts w:asciiTheme="minorHAnsi" w:hAnsiTheme="minorHAnsi" w:cstheme="minorHAnsi"/>
                <w:sz w:val="18"/>
              </w:rPr>
              <w:t>60</w:t>
            </w:r>
          </w:p>
        </w:tc>
        <w:tc>
          <w:tcPr>
            <w:tcW w:w="565" w:type="pct"/>
            <w:shd w:val="clear" w:color="auto" w:fill="D9D9D9" w:themeFill="background1" w:themeFillShade="D9"/>
          </w:tcPr>
          <w:p w14:paraId="6E222C0E" w14:textId="77777777" w:rsidR="00E175E8" w:rsidRPr="00E175E8" w:rsidRDefault="00E175E8" w:rsidP="00E175E8">
            <w:pPr>
              <w:pStyle w:val="TableText"/>
              <w:jc w:val="right"/>
              <w:rPr>
                <w:rFonts w:asciiTheme="minorHAnsi" w:hAnsiTheme="minorHAnsi" w:cstheme="minorHAnsi"/>
                <w:sz w:val="18"/>
              </w:rPr>
            </w:pPr>
            <w:r w:rsidRPr="00E175E8">
              <w:rPr>
                <w:rFonts w:asciiTheme="minorHAnsi" w:hAnsiTheme="minorHAnsi" w:cstheme="minorHAnsi"/>
                <w:sz w:val="18"/>
              </w:rPr>
              <w:t>58</w:t>
            </w:r>
          </w:p>
        </w:tc>
      </w:tr>
      <w:tr w:rsidR="00E175E8" w:rsidRPr="00E175E8" w14:paraId="438EF84E" w14:textId="77777777" w:rsidTr="009B1343">
        <w:trPr>
          <w:trHeight w:hRule="exact" w:val="340"/>
        </w:trPr>
        <w:tc>
          <w:tcPr>
            <w:tcW w:w="1045" w:type="pct"/>
            <w:tcBorders>
              <w:top w:val="nil"/>
              <w:left w:val="nil"/>
              <w:bottom w:val="single" w:sz="4" w:space="0" w:color="auto"/>
              <w:right w:val="nil"/>
            </w:tcBorders>
            <w:noWrap/>
            <w:hideMark/>
          </w:tcPr>
          <w:p w14:paraId="321C6657" w14:textId="77777777" w:rsidR="00E175E8" w:rsidRPr="00E175E8" w:rsidRDefault="00E175E8" w:rsidP="00E175E8">
            <w:pPr>
              <w:pStyle w:val="TableText"/>
              <w:rPr>
                <w:rFonts w:asciiTheme="minorHAnsi" w:hAnsiTheme="minorHAnsi" w:cstheme="minorHAnsi"/>
                <w:sz w:val="18"/>
              </w:rPr>
            </w:pPr>
            <w:r w:rsidRPr="00E175E8">
              <w:rPr>
                <w:rFonts w:asciiTheme="minorHAnsi" w:hAnsiTheme="minorHAnsi" w:cstheme="minorHAnsi"/>
                <w:sz w:val="18"/>
              </w:rPr>
              <w:t>AR-DRG version</w:t>
            </w:r>
          </w:p>
        </w:tc>
        <w:tc>
          <w:tcPr>
            <w:tcW w:w="565" w:type="pct"/>
            <w:tcBorders>
              <w:top w:val="nil"/>
              <w:left w:val="nil"/>
              <w:bottom w:val="single" w:sz="4" w:space="0" w:color="auto"/>
              <w:right w:val="nil"/>
            </w:tcBorders>
            <w:noWrap/>
            <w:hideMark/>
          </w:tcPr>
          <w:p w14:paraId="34EB52EC" w14:textId="77777777" w:rsidR="00E175E8" w:rsidRPr="00E175E8" w:rsidRDefault="00E175E8" w:rsidP="00E175E8">
            <w:pPr>
              <w:pStyle w:val="TableText"/>
              <w:jc w:val="right"/>
              <w:rPr>
                <w:rFonts w:asciiTheme="minorHAnsi" w:hAnsiTheme="minorHAnsi" w:cstheme="minorHAnsi"/>
                <w:sz w:val="18"/>
              </w:rPr>
            </w:pPr>
            <w:r w:rsidRPr="00E175E8">
              <w:rPr>
                <w:rFonts w:asciiTheme="minorHAnsi" w:hAnsiTheme="minorHAnsi" w:cstheme="minorHAnsi"/>
                <w:sz w:val="18"/>
              </w:rPr>
              <w:t>4.2</w:t>
            </w:r>
          </w:p>
        </w:tc>
        <w:tc>
          <w:tcPr>
            <w:tcW w:w="565" w:type="pct"/>
            <w:tcBorders>
              <w:top w:val="nil"/>
              <w:left w:val="nil"/>
              <w:bottom w:val="single" w:sz="4" w:space="0" w:color="auto"/>
              <w:right w:val="nil"/>
            </w:tcBorders>
            <w:noWrap/>
            <w:hideMark/>
          </w:tcPr>
          <w:p w14:paraId="42D90266" w14:textId="77777777" w:rsidR="00E175E8" w:rsidRPr="00E175E8" w:rsidRDefault="00E175E8" w:rsidP="00E175E8">
            <w:pPr>
              <w:pStyle w:val="TableText"/>
              <w:jc w:val="right"/>
              <w:rPr>
                <w:rFonts w:asciiTheme="minorHAnsi" w:hAnsiTheme="minorHAnsi" w:cstheme="minorHAnsi"/>
                <w:sz w:val="18"/>
              </w:rPr>
            </w:pPr>
            <w:r w:rsidRPr="00E175E8">
              <w:rPr>
                <w:rFonts w:asciiTheme="minorHAnsi" w:hAnsiTheme="minorHAnsi" w:cstheme="minorHAnsi"/>
                <w:sz w:val="18"/>
              </w:rPr>
              <w:t>4.2</w:t>
            </w:r>
          </w:p>
        </w:tc>
        <w:tc>
          <w:tcPr>
            <w:tcW w:w="565" w:type="pct"/>
            <w:tcBorders>
              <w:top w:val="nil"/>
              <w:left w:val="nil"/>
              <w:bottom w:val="single" w:sz="4" w:space="0" w:color="auto"/>
              <w:right w:val="nil"/>
            </w:tcBorders>
            <w:noWrap/>
            <w:hideMark/>
          </w:tcPr>
          <w:p w14:paraId="1A3DD4A7" w14:textId="77777777" w:rsidR="00E175E8" w:rsidRPr="00E175E8" w:rsidRDefault="00E175E8" w:rsidP="00E175E8">
            <w:pPr>
              <w:pStyle w:val="TableText"/>
              <w:jc w:val="right"/>
              <w:rPr>
                <w:rFonts w:asciiTheme="minorHAnsi" w:hAnsiTheme="minorHAnsi" w:cstheme="minorHAnsi"/>
                <w:sz w:val="18"/>
              </w:rPr>
            </w:pPr>
            <w:r w:rsidRPr="00E175E8">
              <w:rPr>
                <w:rFonts w:asciiTheme="minorHAnsi" w:hAnsiTheme="minorHAnsi" w:cstheme="minorHAnsi"/>
                <w:sz w:val="18"/>
              </w:rPr>
              <w:t>5.1</w:t>
            </w:r>
          </w:p>
        </w:tc>
        <w:tc>
          <w:tcPr>
            <w:tcW w:w="565" w:type="pct"/>
            <w:tcBorders>
              <w:top w:val="nil"/>
              <w:left w:val="nil"/>
              <w:bottom w:val="single" w:sz="4" w:space="0" w:color="auto"/>
              <w:right w:val="nil"/>
            </w:tcBorders>
            <w:noWrap/>
            <w:hideMark/>
          </w:tcPr>
          <w:p w14:paraId="5113DD17" w14:textId="77777777" w:rsidR="00E175E8" w:rsidRPr="00E175E8" w:rsidRDefault="00E175E8" w:rsidP="00E175E8">
            <w:pPr>
              <w:pStyle w:val="TableText"/>
              <w:jc w:val="right"/>
              <w:rPr>
                <w:rFonts w:asciiTheme="minorHAnsi" w:hAnsiTheme="minorHAnsi" w:cstheme="minorHAnsi"/>
                <w:sz w:val="18"/>
              </w:rPr>
            </w:pPr>
            <w:r w:rsidRPr="00E175E8">
              <w:rPr>
                <w:rFonts w:asciiTheme="minorHAnsi" w:hAnsiTheme="minorHAnsi" w:cstheme="minorHAnsi"/>
                <w:sz w:val="18"/>
              </w:rPr>
              <w:t>6.0x</w:t>
            </w:r>
          </w:p>
        </w:tc>
        <w:tc>
          <w:tcPr>
            <w:tcW w:w="565" w:type="pct"/>
            <w:tcBorders>
              <w:top w:val="nil"/>
              <w:left w:val="nil"/>
              <w:bottom w:val="single" w:sz="4" w:space="0" w:color="auto"/>
              <w:right w:val="nil"/>
            </w:tcBorders>
            <w:noWrap/>
            <w:hideMark/>
          </w:tcPr>
          <w:p w14:paraId="02158DB5" w14:textId="77777777" w:rsidR="00E175E8" w:rsidRPr="00E175E8" w:rsidRDefault="00E175E8" w:rsidP="00E175E8">
            <w:pPr>
              <w:pStyle w:val="TableText"/>
              <w:jc w:val="right"/>
              <w:rPr>
                <w:rFonts w:asciiTheme="minorHAnsi" w:hAnsiTheme="minorHAnsi" w:cstheme="minorHAnsi"/>
                <w:sz w:val="18"/>
              </w:rPr>
            </w:pPr>
            <w:r w:rsidRPr="00E175E8">
              <w:rPr>
                <w:rFonts w:asciiTheme="minorHAnsi" w:hAnsiTheme="minorHAnsi" w:cstheme="minorHAnsi"/>
                <w:sz w:val="18"/>
              </w:rPr>
              <w:t>6.0x</w:t>
            </w:r>
          </w:p>
        </w:tc>
        <w:tc>
          <w:tcPr>
            <w:tcW w:w="565" w:type="pct"/>
            <w:tcBorders>
              <w:top w:val="nil"/>
              <w:left w:val="nil"/>
              <w:bottom w:val="single" w:sz="4" w:space="0" w:color="auto"/>
              <w:right w:val="nil"/>
            </w:tcBorders>
            <w:noWrap/>
            <w:hideMark/>
          </w:tcPr>
          <w:p w14:paraId="0FE9FDC6" w14:textId="77777777" w:rsidR="00E175E8" w:rsidRPr="00E175E8" w:rsidRDefault="00E175E8" w:rsidP="00E175E8">
            <w:pPr>
              <w:pStyle w:val="TableText"/>
              <w:jc w:val="right"/>
              <w:rPr>
                <w:rFonts w:asciiTheme="minorHAnsi" w:hAnsiTheme="minorHAnsi" w:cstheme="minorHAnsi"/>
                <w:sz w:val="18"/>
              </w:rPr>
            </w:pPr>
            <w:r w:rsidRPr="00E175E8">
              <w:rPr>
                <w:rFonts w:asciiTheme="minorHAnsi" w:hAnsiTheme="minorHAnsi" w:cstheme="minorHAnsi"/>
                <w:sz w:val="18"/>
              </w:rPr>
              <w:t>6.0x</w:t>
            </w:r>
          </w:p>
        </w:tc>
        <w:tc>
          <w:tcPr>
            <w:tcW w:w="565" w:type="pct"/>
            <w:tcBorders>
              <w:top w:val="nil"/>
              <w:left w:val="nil"/>
              <w:bottom w:val="single" w:sz="4" w:space="0" w:color="auto"/>
              <w:right w:val="nil"/>
            </w:tcBorders>
            <w:shd w:val="clear" w:color="auto" w:fill="D9D9D9" w:themeFill="background1" w:themeFillShade="D9"/>
          </w:tcPr>
          <w:p w14:paraId="1EB93E12" w14:textId="77777777" w:rsidR="00E175E8" w:rsidRPr="00E175E8" w:rsidRDefault="00E175E8" w:rsidP="00E175E8">
            <w:pPr>
              <w:pStyle w:val="TableText"/>
              <w:jc w:val="right"/>
              <w:rPr>
                <w:rFonts w:asciiTheme="minorHAnsi" w:hAnsiTheme="minorHAnsi" w:cstheme="minorHAnsi"/>
                <w:sz w:val="18"/>
              </w:rPr>
            </w:pPr>
            <w:r w:rsidRPr="00E175E8">
              <w:rPr>
                <w:rFonts w:asciiTheme="minorHAnsi" w:hAnsiTheme="minorHAnsi" w:cstheme="minorHAnsi"/>
                <w:sz w:val="18"/>
              </w:rPr>
              <w:t>8.0</w:t>
            </w:r>
          </w:p>
        </w:tc>
      </w:tr>
    </w:tbl>
    <w:p w14:paraId="5ED891EA" w14:textId="77777777" w:rsidR="00364874" w:rsidRPr="00387329" w:rsidRDefault="00364874" w:rsidP="00364874">
      <w:pPr>
        <w:rPr>
          <w:sz w:val="18"/>
        </w:rPr>
      </w:pPr>
      <w:r w:rsidRPr="00387329">
        <w:rPr>
          <w:sz w:val="18"/>
        </w:rPr>
        <w:t>* Participation rate refers to the percentage of sample separations compared to the population separations.</w:t>
      </w:r>
    </w:p>
    <w:p w14:paraId="738BB306" w14:textId="7BECE583" w:rsidR="00CD0927" w:rsidRPr="00A22971" w:rsidRDefault="00CD0927" w:rsidP="00A22971">
      <w:pPr>
        <w:pStyle w:val="Heading2"/>
        <w:spacing w:before="0"/>
      </w:pPr>
      <w:bookmarkStart w:id="36" w:name="_Toc497200401"/>
      <w:bookmarkStart w:id="37" w:name="_Toc435611208"/>
      <w:bookmarkStart w:id="38" w:name="_Toc496857544"/>
      <w:bookmarkEnd w:id="15"/>
      <w:bookmarkEnd w:id="16"/>
      <w:bookmarkEnd w:id="36"/>
      <w:r w:rsidRPr="00A22971">
        <w:lastRenderedPageBreak/>
        <w:t>Key findings</w:t>
      </w:r>
      <w:bookmarkEnd w:id="37"/>
      <w:bookmarkEnd w:id="38"/>
    </w:p>
    <w:p w14:paraId="398D047B" w14:textId="676BD2CA" w:rsidR="00F36C26" w:rsidRDefault="00F36C26" w:rsidP="009B1343">
      <w:r>
        <w:t xml:space="preserve">The </w:t>
      </w:r>
      <w:r w:rsidR="00DF7A5F">
        <w:t>data from the Round 20 private sector NHCDC was analysed</w:t>
      </w:r>
      <w:r w:rsidR="00424F25" w:rsidRPr="00424F25">
        <w:t xml:space="preserve"> </w:t>
      </w:r>
      <w:r w:rsidR="00424F25">
        <w:t>to identify top 20 DRGs by various comparators</w:t>
      </w:r>
      <w:r w:rsidR="00DF7A5F">
        <w:t xml:space="preserve"> </w:t>
      </w:r>
      <w:r w:rsidR="009B1343">
        <w:t>between Round 18 and Round 20. The</w:t>
      </w:r>
      <w:r w:rsidR="009B1343" w:rsidRPr="00DF7A5F">
        <w:t xml:space="preserve"> </w:t>
      </w:r>
      <w:r w:rsidR="00DF7A5F">
        <w:t>key findings are provided below:</w:t>
      </w:r>
    </w:p>
    <w:p w14:paraId="60D06E4A" w14:textId="2E8279DB" w:rsidR="00F36C26" w:rsidRPr="009B1343" w:rsidRDefault="002668F1" w:rsidP="009B1343">
      <w:pPr>
        <w:pStyle w:val="ListBullet"/>
      </w:pPr>
      <w:r w:rsidRPr="009B1343">
        <w:t>H</w:t>
      </w:r>
      <w:r w:rsidR="00DF7A5F" w:rsidRPr="009B1343">
        <w:t xml:space="preserve">ighest </w:t>
      </w:r>
      <w:r w:rsidR="00F36C26" w:rsidRPr="009B1343">
        <w:t xml:space="preserve">cost weight: </w:t>
      </w:r>
      <w:r w:rsidR="00DF7A5F" w:rsidRPr="009B1343">
        <w:t xml:space="preserve">The analysis showed </w:t>
      </w:r>
      <w:r w:rsidR="00F36C26" w:rsidRPr="009B1343">
        <w:t xml:space="preserve">80 per cent </w:t>
      </w:r>
      <w:r w:rsidR="00DF7A5F" w:rsidRPr="009B1343">
        <w:t>consistency</w:t>
      </w:r>
      <w:r w:rsidRPr="009B1343">
        <w:t xml:space="preserve"> in the top 20</w:t>
      </w:r>
      <w:r w:rsidR="00DF7A5F" w:rsidRPr="009B1343">
        <w:t xml:space="preserve"> between Round 18 and 20,</w:t>
      </w:r>
      <w:r w:rsidR="00F36C26" w:rsidRPr="009B1343">
        <w:t xml:space="preserve"> with the top three being ranked in the top three for both Rounds.</w:t>
      </w:r>
      <w:r w:rsidRPr="009B1343">
        <w:t xml:space="preserve"> </w:t>
      </w:r>
      <w:r w:rsidR="0053227C">
        <w:t>Four</w:t>
      </w:r>
      <w:r w:rsidRPr="009B1343">
        <w:t xml:space="preserve"> DRGs have entered the top 20, which is potentially due to the change in sam</w:t>
      </w:r>
      <w:r w:rsidR="0053227C">
        <w:t>pl</w:t>
      </w:r>
      <w:r w:rsidRPr="009B1343">
        <w:t>e size and increase in volume of weighted separations for these DRGs.</w:t>
      </w:r>
    </w:p>
    <w:p w14:paraId="11D26346" w14:textId="54E1A045" w:rsidR="00F36C26" w:rsidRPr="009B1343" w:rsidRDefault="002668F1" w:rsidP="009B1343">
      <w:pPr>
        <w:pStyle w:val="ListBullet"/>
      </w:pPr>
      <w:r w:rsidRPr="009B1343">
        <w:t>Hi</w:t>
      </w:r>
      <w:r w:rsidR="00DF7A5F" w:rsidRPr="009B1343">
        <w:t xml:space="preserve">ghest </w:t>
      </w:r>
      <w:r w:rsidRPr="009B1343">
        <w:t xml:space="preserve">volume of </w:t>
      </w:r>
      <w:r w:rsidR="00F36C26" w:rsidRPr="009B1343">
        <w:t xml:space="preserve">population adjusted separations: This analysis showed 90 per cent consistency </w:t>
      </w:r>
      <w:r w:rsidRPr="009B1343">
        <w:t xml:space="preserve">in the top 20 </w:t>
      </w:r>
      <w:r w:rsidR="00F36C26" w:rsidRPr="009B1343">
        <w:t>between Round 18 and 20</w:t>
      </w:r>
      <w:r w:rsidR="00DF7A5F" w:rsidRPr="009B1343">
        <w:t>,</w:t>
      </w:r>
      <w:r w:rsidR="00F36C26" w:rsidRPr="009B1343">
        <w:t xml:space="preserve"> with the top two being ranked the same for both Rounds.</w:t>
      </w:r>
      <w:r w:rsidR="00424F25" w:rsidRPr="009B1343">
        <w:t xml:space="preserve"> </w:t>
      </w:r>
    </w:p>
    <w:p w14:paraId="432E3B12" w14:textId="5E89A4AB" w:rsidR="00F36C26" w:rsidRPr="009B1343" w:rsidRDefault="002668F1" w:rsidP="009B1343">
      <w:pPr>
        <w:pStyle w:val="ListBullet"/>
      </w:pPr>
      <w:r w:rsidRPr="009B1343">
        <w:t>Highest cost</w:t>
      </w:r>
      <w:r w:rsidRPr="009B1343">
        <w:noBreakHyphen/>
        <w:t>weighted separations: The analysis showed 80 per cent consistency in the top 20 between Round 18 and 20, with the top two being ranked the same for both Rounds.</w:t>
      </w:r>
      <w:r w:rsidR="00424F25" w:rsidRPr="009B1343">
        <w:t xml:space="preserve"> The changes in the top 20 are potentially due to different sample of participants and change in activity volume.</w:t>
      </w:r>
    </w:p>
    <w:p w14:paraId="120AFAA4" w14:textId="15AD12F3" w:rsidR="002668F1" w:rsidRPr="009B1343" w:rsidRDefault="002668F1" w:rsidP="009B1343">
      <w:pPr>
        <w:pStyle w:val="ListBullet"/>
      </w:pPr>
      <w:r w:rsidRPr="009B1343">
        <w:t xml:space="preserve">Highest </w:t>
      </w:r>
      <w:proofErr w:type="spellStart"/>
      <w:r w:rsidRPr="009B1343">
        <w:t>ALoS</w:t>
      </w:r>
      <w:proofErr w:type="spellEnd"/>
      <w:r w:rsidRPr="009B1343">
        <w:t>: The analysis showed 70 per cent consistency in the top 20 between Round 18 and 20, with the top two being ranked in the top two for both Rounds.</w:t>
      </w:r>
      <w:r w:rsidR="00424F25" w:rsidRPr="009B1343">
        <w:t xml:space="preserve"> Two DRGs have entered the top 20 which are neonatal DRGS. These were previously masked due to having less than 5 separations or having data from less than three hospitals.</w:t>
      </w:r>
    </w:p>
    <w:p w14:paraId="12D1E455" w14:textId="3EC412FC" w:rsidR="00635C80" w:rsidRDefault="00424F25" w:rsidP="009B1343">
      <w:bookmarkStart w:id="39" w:name="_Toc497200420"/>
      <w:bookmarkStart w:id="40" w:name="_Toc497200423"/>
      <w:bookmarkStart w:id="41" w:name="_Toc497200425"/>
      <w:bookmarkEnd w:id="39"/>
      <w:bookmarkEnd w:id="40"/>
      <w:bookmarkEnd w:id="41"/>
      <w:r>
        <w:t>The data was also analysed by</w:t>
      </w:r>
      <w:r w:rsidR="00635C80">
        <w:t xml:space="preserve"> the </w:t>
      </w:r>
      <w:r>
        <w:t>cost bucket</w:t>
      </w:r>
      <w:r w:rsidR="00635C80">
        <w:t>s OR</w:t>
      </w:r>
      <w:r w:rsidR="00135776">
        <w:t xml:space="preserve"> and </w:t>
      </w:r>
      <w:r w:rsidR="00635C80">
        <w:t>SPS</w:t>
      </w:r>
      <w:r w:rsidR="00135776">
        <w:t xml:space="preserve"> combined</w:t>
      </w:r>
      <w:r w:rsidR="00635C80" w:rsidRPr="005D7320">
        <w:t>, critical care</w:t>
      </w:r>
      <w:r w:rsidR="00635C80">
        <w:t>, prostheses and miscellaneous. The key findings are provided below, when comparing</w:t>
      </w:r>
      <w:r w:rsidR="00635C80" w:rsidRPr="00635C80">
        <w:t xml:space="preserve"> </w:t>
      </w:r>
      <w:r w:rsidR="00635C80">
        <w:t>between Round 18 and 20:</w:t>
      </w:r>
    </w:p>
    <w:p w14:paraId="75693FC0" w14:textId="29B978E6" w:rsidR="00635C80" w:rsidRPr="009B1343" w:rsidRDefault="00635C80" w:rsidP="009B1343">
      <w:pPr>
        <w:pStyle w:val="ListBullet"/>
      </w:pPr>
      <w:r w:rsidRPr="009B1343">
        <w:t xml:space="preserve">OR/SPS cost bucket increased by 3.2 per cent. A potential reason for this is the increased use of participant’s own feeder data and allocation statistics providing more accurate cost allocations, changes in service weights between Rounds and increase in same day theatre related separations. </w:t>
      </w:r>
    </w:p>
    <w:p w14:paraId="624F9FB0" w14:textId="1DF2CF02" w:rsidR="00635C80" w:rsidRPr="009B1343" w:rsidRDefault="00635C80" w:rsidP="009B1343">
      <w:pPr>
        <w:pStyle w:val="ListBullet"/>
      </w:pPr>
      <w:r w:rsidRPr="009B1343">
        <w:t>Critical care cost bucket increased by 0.5 per cent. There was some movement in the top 20 DRGs by highest critical care cost which is potentially due to the participants using their own feeder systems to allocate costs</w:t>
      </w:r>
    </w:p>
    <w:p w14:paraId="46E6B967" w14:textId="33867902" w:rsidR="00424F25" w:rsidRPr="009B1343" w:rsidRDefault="00635C80" w:rsidP="009B1343">
      <w:pPr>
        <w:pStyle w:val="ListBullet"/>
      </w:pPr>
      <w:r w:rsidRPr="009B1343">
        <w:t>Prostheses cost bucket decreased by 3.0 per cent.  A potential reason for this is that participants used feeder systems rather than PHDB data to inform this allocation of cost.</w:t>
      </w:r>
    </w:p>
    <w:p w14:paraId="362C5CB8" w14:textId="77777777" w:rsidR="009B1343" w:rsidRDefault="009B1343" w:rsidP="009B1343">
      <w:pPr>
        <w:pStyle w:val="Heading2"/>
      </w:pPr>
      <w:r>
        <w:t xml:space="preserve">Key considerations </w:t>
      </w:r>
    </w:p>
    <w:p w14:paraId="5EEDC281" w14:textId="77777777" w:rsidR="009B1343" w:rsidRDefault="009B1343" w:rsidP="009B1343">
      <w:r>
        <w:t>The following areas can have a material impact on the reported costs and cost weights.  These should be considered, in addition to the changes in Round 20, when interpreting the information in this report:</w:t>
      </w:r>
    </w:p>
    <w:p w14:paraId="624BA986" w14:textId="3DB85046" w:rsidR="009B1343" w:rsidRPr="00964110" w:rsidRDefault="009B1343" w:rsidP="00A22971">
      <w:pPr>
        <w:pStyle w:val="ListBullet"/>
        <w:rPr>
          <w:lang w:val="en-GB"/>
        </w:rPr>
      </w:pPr>
      <w:r>
        <w:rPr>
          <w:lang w:val="en-GB"/>
        </w:rPr>
        <w:t xml:space="preserve">Application of the </w:t>
      </w:r>
      <w:r w:rsidR="007C3059">
        <w:rPr>
          <w:lang w:val="en-GB"/>
        </w:rPr>
        <w:t>AHPCS</w:t>
      </w:r>
      <w:r w:rsidRPr="00964110">
        <w:rPr>
          <w:lang w:val="en-GB"/>
        </w:rPr>
        <w:t xml:space="preserve"> v3.1</w:t>
      </w:r>
      <w:r>
        <w:rPr>
          <w:lang w:val="en-GB"/>
        </w:rPr>
        <w:t>.</w:t>
      </w:r>
    </w:p>
    <w:p w14:paraId="0BB371A5" w14:textId="77777777" w:rsidR="009B1343" w:rsidRDefault="009B1343" w:rsidP="00A22971">
      <w:pPr>
        <w:pStyle w:val="ListBullet"/>
        <w:rPr>
          <w:lang w:val="en-GB"/>
        </w:rPr>
      </w:pPr>
      <w:r>
        <w:rPr>
          <w:lang w:val="en-GB"/>
        </w:rPr>
        <w:t>M</w:t>
      </w:r>
      <w:r w:rsidRPr="00964110">
        <w:rPr>
          <w:lang w:val="en-GB"/>
        </w:rPr>
        <w:t xml:space="preserve">apping of general ledger to </w:t>
      </w:r>
      <w:r>
        <w:rPr>
          <w:lang w:val="en-GB"/>
        </w:rPr>
        <w:t xml:space="preserve">the appropriate and consistent </w:t>
      </w:r>
      <w:r w:rsidRPr="00964110">
        <w:rPr>
          <w:lang w:val="en-GB"/>
        </w:rPr>
        <w:t>cost buckets.</w:t>
      </w:r>
    </w:p>
    <w:p w14:paraId="7E1B72FF" w14:textId="77777777" w:rsidR="009B1343" w:rsidRPr="002622B4" w:rsidRDefault="009B1343" w:rsidP="00A22971">
      <w:pPr>
        <w:pStyle w:val="ListBullet"/>
      </w:pPr>
      <w:r>
        <w:rPr>
          <w:lang w:val="en-GB"/>
        </w:rPr>
        <w:t>A</w:t>
      </w:r>
      <w:r w:rsidRPr="00C82EAF">
        <w:rPr>
          <w:lang w:val="en-GB"/>
        </w:rPr>
        <w:t>llocation of cost centres to care areas</w:t>
      </w:r>
      <w:r>
        <w:rPr>
          <w:lang w:val="en-GB"/>
        </w:rPr>
        <w:t>.</w:t>
      </w:r>
    </w:p>
    <w:p w14:paraId="7E179958" w14:textId="77777777" w:rsidR="009B1343" w:rsidRPr="00964110" w:rsidRDefault="009B1343" w:rsidP="00A22971">
      <w:pPr>
        <w:pStyle w:val="ListBullet"/>
        <w:rPr>
          <w:lang w:val="en-GB"/>
        </w:rPr>
      </w:pPr>
      <w:r>
        <w:rPr>
          <w:lang w:val="en-GB"/>
        </w:rPr>
        <w:t xml:space="preserve">Variability in allocating costs using feeder systems (patient level data) verses service weights. </w:t>
      </w:r>
    </w:p>
    <w:p w14:paraId="5CBEF8B6" w14:textId="56B2CF2F" w:rsidR="00D871C1" w:rsidRDefault="00D871C1">
      <w:pPr>
        <w:rPr>
          <w:highlight w:val="yellow"/>
        </w:rPr>
      </w:pPr>
      <w:r>
        <w:rPr>
          <w:highlight w:val="yellow"/>
        </w:rPr>
        <w:br w:type="page"/>
      </w:r>
    </w:p>
    <w:p w14:paraId="33632D6F" w14:textId="6BEBBAA7" w:rsidR="00162AE0" w:rsidRDefault="00162AE0" w:rsidP="00F40C87">
      <w:pPr>
        <w:pStyle w:val="Heading1"/>
        <w:rPr>
          <w:sz w:val="56"/>
          <w:szCs w:val="20"/>
        </w:rPr>
      </w:pPr>
      <w:bookmarkStart w:id="42" w:name="_Toc435611209"/>
      <w:bookmarkStart w:id="43" w:name="_Ref416364200"/>
      <w:bookmarkStart w:id="44" w:name="_Toc496857549"/>
      <w:bookmarkStart w:id="45" w:name="_Toc497750210"/>
      <w:r>
        <w:lastRenderedPageBreak/>
        <w:t>Introduction</w:t>
      </w:r>
      <w:bookmarkEnd w:id="42"/>
      <w:bookmarkEnd w:id="43"/>
      <w:bookmarkEnd w:id="44"/>
      <w:bookmarkEnd w:id="45"/>
    </w:p>
    <w:p w14:paraId="7ED2D7C8" w14:textId="754AE6BE" w:rsidR="00162AE0" w:rsidRDefault="006E4F88" w:rsidP="0021069C">
      <w:pPr>
        <w:pStyle w:val="Heading2"/>
      </w:pPr>
      <w:bookmarkStart w:id="46" w:name="_Toc435611210"/>
      <w:bookmarkStart w:id="47" w:name="_Toc496857550"/>
      <w:r>
        <w:t>P</w:t>
      </w:r>
      <w:r w:rsidR="00162AE0" w:rsidRPr="0021069C">
        <w:t>urpose of this report</w:t>
      </w:r>
      <w:bookmarkEnd w:id="46"/>
      <w:bookmarkEnd w:id="47"/>
    </w:p>
    <w:p w14:paraId="669817EF" w14:textId="77C94000" w:rsidR="007C657D" w:rsidRDefault="000967B2" w:rsidP="0021069C">
      <w:r>
        <w:t xml:space="preserve">The purpose of this report is to provide an overview of costs reported to the Round 20 private sector NHCDC. </w:t>
      </w:r>
      <w:r w:rsidR="00162AE0">
        <w:t>The Round 20 private sector NHCDC is a voluntary collection that produces a range of hospital cost and activity information</w:t>
      </w:r>
      <w:r>
        <w:t xml:space="preserve">. </w:t>
      </w:r>
    </w:p>
    <w:p w14:paraId="79AD1966" w14:textId="120893F2" w:rsidR="00162AE0" w:rsidRDefault="000967B2" w:rsidP="0021069C">
      <w:r>
        <w:t>The information is</w:t>
      </w:r>
      <w:r w:rsidR="00162AE0">
        <w:t xml:space="preserve"> grouped by </w:t>
      </w:r>
      <w:r w:rsidR="007C3059">
        <w:t>AR-DRG</w:t>
      </w:r>
      <w:r>
        <w:t xml:space="preserve">, which is </w:t>
      </w:r>
      <w:r w:rsidR="00162AE0">
        <w:t>“a patient classification scheme which provides a means of relating the number and types of patients treated in a hospital to the resources required by the hospital, as represented by a code</w:t>
      </w:r>
      <w:r w:rsidR="00162AE0">
        <w:rPr>
          <w:rStyle w:val="FootnoteReference"/>
          <w:rFonts w:ascii="Georgia" w:hAnsi="Georgia"/>
        </w:rPr>
        <w:footnoteReference w:id="1"/>
      </w:r>
      <w:r w:rsidR="00162AE0">
        <w:t xml:space="preserve">”.  The AR-DRG is derived from a range of data collected on admitted patients, including diagnosis and procedure information, classified using </w:t>
      </w:r>
      <w:r w:rsidR="00521262">
        <w:t>ICD-10-AM</w:t>
      </w:r>
      <w:r w:rsidR="00521262" w:rsidRPr="00521262">
        <w:rPr>
          <w:rStyle w:val="FootnoteReference"/>
          <w:rFonts w:ascii="Georgia" w:hAnsi="Georgia"/>
        </w:rPr>
        <w:t xml:space="preserve"> </w:t>
      </w:r>
      <w:r w:rsidR="00521262">
        <w:rPr>
          <w:rStyle w:val="FootnoteReference"/>
          <w:rFonts w:ascii="Georgia" w:hAnsi="Georgia"/>
        </w:rPr>
        <w:footnoteReference w:id="2"/>
      </w:r>
      <w:r w:rsidR="00521262">
        <w:t>.</w:t>
      </w:r>
      <w:r w:rsidR="00162AE0">
        <w:t xml:space="preserve"> </w:t>
      </w:r>
    </w:p>
    <w:p w14:paraId="00B4671A" w14:textId="43F4EB4F" w:rsidR="00162AE0" w:rsidRDefault="00162AE0" w:rsidP="0021069C">
      <w:r>
        <w:t>This report documents the data, processes, methodology and results for acute admitted care provided by overnight private hospitals. The results of the collection are expressed as national cost weights by AR-DRG version 8</w:t>
      </w:r>
      <w:r w:rsidR="00B8705E">
        <w:t>.0</w:t>
      </w:r>
      <w:r w:rsidR="00E6483F">
        <w:t>.</w:t>
      </w:r>
      <w:r>
        <w:t xml:space="preserve"> </w:t>
      </w:r>
      <w:r w:rsidR="00E6483F">
        <w:t>C</w:t>
      </w:r>
      <w:r>
        <w:t xml:space="preserve">ost weight tables </w:t>
      </w:r>
      <w:r w:rsidR="00E6483F">
        <w:t xml:space="preserve">are provided </w:t>
      </w:r>
      <w:r>
        <w:t xml:space="preserve">in AR-DRG versions </w:t>
      </w:r>
      <w:r w:rsidR="00E6483F">
        <w:t>8</w:t>
      </w:r>
      <w:r w:rsidR="00B8705E">
        <w:t>.0</w:t>
      </w:r>
      <w:r w:rsidR="00E6483F">
        <w:t xml:space="preserve">, </w:t>
      </w:r>
      <w:r>
        <w:t>7</w:t>
      </w:r>
      <w:r w:rsidR="00B8705E">
        <w:t>.0</w:t>
      </w:r>
      <w:r>
        <w:t xml:space="preserve"> and </w:t>
      </w:r>
      <w:proofErr w:type="gramStart"/>
      <w:r>
        <w:t>6.0x</w:t>
      </w:r>
      <w:proofErr w:type="gramEnd"/>
      <w:r>
        <w:t xml:space="preserve"> </w:t>
      </w:r>
      <w:r w:rsidR="00E6483F">
        <w:t>in the Appendices</w:t>
      </w:r>
      <w:r w:rsidR="00521262">
        <w:t xml:space="preserve">. </w:t>
      </w:r>
      <w:r w:rsidR="00E6483F">
        <w:t xml:space="preserve">In Round 20, participants were required to submit costed data to IHPA directly, unlike </w:t>
      </w:r>
      <w:r w:rsidR="00521262">
        <w:t>previous R</w:t>
      </w:r>
      <w:r>
        <w:t>oun</w:t>
      </w:r>
      <w:r w:rsidR="00521262">
        <w:t xml:space="preserve">ds where data was submitted to IHPA </w:t>
      </w:r>
      <w:r>
        <w:t xml:space="preserve">and then </w:t>
      </w:r>
      <w:r w:rsidR="00521262">
        <w:t xml:space="preserve">PwC </w:t>
      </w:r>
      <w:r>
        <w:t>costed,</w:t>
      </w:r>
      <w:r w:rsidR="00521262">
        <w:t xml:space="preserve"> (for more details please refer to </w:t>
      </w:r>
      <w:r w:rsidR="00E6483F">
        <w:t xml:space="preserve">section </w:t>
      </w:r>
      <w:r w:rsidR="00E6483F">
        <w:fldChar w:fldCharType="begin"/>
      </w:r>
      <w:r w:rsidR="00E6483F">
        <w:instrText xml:space="preserve"> REF _Ref497395283 \r \h </w:instrText>
      </w:r>
      <w:r w:rsidR="00E6483F">
        <w:fldChar w:fldCharType="separate"/>
      </w:r>
      <w:r w:rsidR="00681CD9">
        <w:t>2.5</w:t>
      </w:r>
      <w:r w:rsidR="00E6483F">
        <w:fldChar w:fldCharType="end"/>
      </w:r>
      <w:r w:rsidR="00E6483F">
        <w:t xml:space="preserve"> </w:t>
      </w:r>
      <w:r w:rsidR="00521262">
        <w:fldChar w:fldCharType="begin"/>
      </w:r>
      <w:r w:rsidR="00521262">
        <w:instrText xml:space="preserve"> REF _Ref496780998 \h </w:instrText>
      </w:r>
      <w:r w:rsidR="00521262">
        <w:fldChar w:fldCharType="separate"/>
      </w:r>
      <w:r w:rsidR="00681CD9" w:rsidRPr="009B1343">
        <w:t>Changes in Round 20</w:t>
      </w:r>
      <w:r w:rsidR="00521262">
        <w:fldChar w:fldCharType="end"/>
      </w:r>
      <w:r w:rsidR="00E6483F">
        <w:t>)</w:t>
      </w:r>
      <w:r>
        <w:t>.</w:t>
      </w:r>
    </w:p>
    <w:p w14:paraId="23E40C77" w14:textId="7B01CD6C" w:rsidR="00162AE0" w:rsidRDefault="006E4F88" w:rsidP="006E4F88">
      <w:pPr>
        <w:pStyle w:val="Heading2"/>
      </w:pPr>
      <w:bookmarkStart w:id="48" w:name="_Toc435611211"/>
      <w:bookmarkStart w:id="49" w:name="_Toc496857551"/>
      <w:r>
        <w:t>F</w:t>
      </w:r>
      <w:r w:rsidR="00162AE0">
        <w:t>ormat of th</w:t>
      </w:r>
      <w:r w:rsidR="00E6483F">
        <w:t>is</w:t>
      </w:r>
      <w:r w:rsidR="00162AE0">
        <w:t xml:space="preserve"> report</w:t>
      </w:r>
      <w:bookmarkEnd w:id="48"/>
      <w:bookmarkEnd w:id="49"/>
      <w:r w:rsidR="00162AE0">
        <w:t xml:space="preserve"> </w:t>
      </w:r>
    </w:p>
    <w:p w14:paraId="7EBEF7A9" w14:textId="7A5D28CF" w:rsidR="00162AE0" w:rsidRDefault="00162AE0" w:rsidP="003A0FEF">
      <w:r>
        <w:t>Th</w:t>
      </w:r>
      <w:r w:rsidR="00B8705E">
        <w:t>e</w:t>
      </w:r>
      <w:r>
        <w:t xml:space="preserve"> </w:t>
      </w:r>
      <w:r w:rsidR="00B8705E">
        <w:t xml:space="preserve">format of this </w:t>
      </w:r>
      <w:r>
        <w:t xml:space="preserve">report is based on </w:t>
      </w:r>
      <w:r w:rsidR="00E6483F">
        <w:t xml:space="preserve">the </w:t>
      </w:r>
      <w:r>
        <w:t xml:space="preserve">Round 18 (2013-14) private </w:t>
      </w:r>
      <w:r w:rsidR="00B8705E">
        <w:t xml:space="preserve">sector </w:t>
      </w:r>
      <w:r>
        <w:t>NHCDC</w:t>
      </w:r>
      <w:r w:rsidR="00B8705E">
        <w:t xml:space="preserve"> report </w:t>
      </w:r>
      <w:r>
        <w:t xml:space="preserve">which included DRG aggregated data, cost weights and other cost relativities. </w:t>
      </w:r>
    </w:p>
    <w:p w14:paraId="7F301034" w14:textId="0E9835BA" w:rsidR="00162AE0" w:rsidRDefault="00162AE0" w:rsidP="003A0FEF">
      <w:r>
        <w:t xml:space="preserve">The DRG information is displayed </w:t>
      </w:r>
      <w:r w:rsidR="007075D4">
        <w:t>for the top 20 DRGs ranked as follows</w:t>
      </w:r>
      <w:r>
        <w:t>:</w:t>
      </w:r>
    </w:p>
    <w:p w14:paraId="774E0411" w14:textId="0051EB81" w:rsidR="00746D0C" w:rsidRPr="00746D0C" w:rsidRDefault="007075D4" w:rsidP="00746D0C">
      <w:pPr>
        <w:pStyle w:val="ListBullet"/>
      </w:pPr>
      <w:r w:rsidRPr="00746D0C">
        <w:t xml:space="preserve">Highest </w:t>
      </w:r>
      <w:r w:rsidR="00746D0C" w:rsidRPr="00746D0C">
        <w:t>cost weight</w:t>
      </w:r>
      <w:r w:rsidR="00D4028A">
        <w:t>;</w:t>
      </w:r>
    </w:p>
    <w:p w14:paraId="656DD106" w14:textId="61C4598D" w:rsidR="00A004D9" w:rsidRPr="00A004D9" w:rsidRDefault="007075D4" w:rsidP="00A004D9">
      <w:pPr>
        <w:pStyle w:val="ListBullet"/>
      </w:pPr>
      <w:r w:rsidRPr="00A004D9">
        <w:t xml:space="preserve">Highest </w:t>
      </w:r>
      <w:r w:rsidR="00A004D9" w:rsidRPr="00A004D9">
        <w:t>volume of population-adjusted separations</w:t>
      </w:r>
      <w:r w:rsidR="00D4028A">
        <w:t>;</w:t>
      </w:r>
    </w:p>
    <w:p w14:paraId="1A8E123C" w14:textId="44AC5E13" w:rsidR="00A004D9" w:rsidRPr="00A004D9" w:rsidRDefault="007075D4" w:rsidP="00A004D9">
      <w:pPr>
        <w:pStyle w:val="ListBullet"/>
      </w:pPr>
      <w:r w:rsidRPr="00A004D9">
        <w:t xml:space="preserve">Highest </w:t>
      </w:r>
      <w:r w:rsidR="00A004D9" w:rsidRPr="00A004D9">
        <w:t>cost-weighted separations</w:t>
      </w:r>
      <w:r w:rsidR="00D4028A">
        <w:t>;</w:t>
      </w:r>
    </w:p>
    <w:p w14:paraId="71EAA295" w14:textId="23A1DDB0" w:rsidR="00162AE0" w:rsidRPr="00C54AB0" w:rsidRDefault="007075D4" w:rsidP="008A0CEC">
      <w:pPr>
        <w:pStyle w:val="ListBullet"/>
      </w:pPr>
      <w:r>
        <w:t xml:space="preserve">Highest </w:t>
      </w:r>
      <w:proofErr w:type="spellStart"/>
      <w:r w:rsidR="00A004D9">
        <w:t>ALoS</w:t>
      </w:r>
      <w:proofErr w:type="spellEnd"/>
      <w:r w:rsidR="00A004D9">
        <w:t xml:space="preserve">; </w:t>
      </w:r>
    </w:p>
    <w:p w14:paraId="516C2C88" w14:textId="13C27A2A" w:rsidR="00162AE0" w:rsidRPr="00C54AB0" w:rsidRDefault="007075D4" w:rsidP="00CD66C3">
      <w:pPr>
        <w:pStyle w:val="ListBullet"/>
      </w:pPr>
      <w:r>
        <w:t xml:space="preserve">Highest </w:t>
      </w:r>
      <w:r w:rsidR="00162AE0" w:rsidRPr="00C54AB0">
        <w:t>OR</w:t>
      </w:r>
      <w:r w:rsidR="00635C80">
        <w:t xml:space="preserve"> and </w:t>
      </w:r>
      <w:r w:rsidR="00162AE0" w:rsidRPr="00C54AB0">
        <w:t>SPS</w:t>
      </w:r>
      <w:r>
        <w:t xml:space="preserve"> cost bucket cost weight</w:t>
      </w:r>
      <w:r w:rsidR="00162AE0" w:rsidRPr="00C54AB0">
        <w:t xml:space="preserve">; </w:t>
      </w:r>
    </w:p>
    <w:p w14:paraId="3DF547BB" w14:textId="26D54CD7" w:rsidR="00162AE0" w:rsidRPr="00DC6369" w:rsidRDefault="007075D4" w:rsidP="00CD66C3">
      <w:pPr>
        <w:pStyle w:val="ListBullet"/>
      </w:pPr>
      <w:r>
        <w:t xml:space="preserve">Highest </w:t>
      </w:r>
      <w:r w:rsidR="00162AE0" w:rsidRPr="00DC6369">
        <w:t>critical care</w:t>
      </w:r>
      <w:r>
        <w:t xml:space="preserve"> cost bucket cost weight</w:t>
      </w:r>
      <w:r w:rsidR="00162AE0" w:rsidRPr="00DC6369">
        <w:t>;</w:t>
      </w:r>
    </w:p>
    <w:p w14:paraId="05CDA11C" w14:textId="5FF194B1" w:rsidR="00162AE0" w:rsidRPr="006B5AB7" w:rsidRDefault="007075D4" w:rsidP="00CD66C3">
      <w:pPr>
        <w:pStyle w:val="ListBullet"/>
      </w:pPr>
      <w:r>
        <w:t xml:space="preserve">Highest </w:t>
      </w:r>
      <w:r w:rsidR="00162AE0" w:rsidRPr="006B5AB7">
        <w:t>prostheses</w:t>
      </w:r>
      <w:r>
        <w:t xml:space="preserve"> cost bucket cost weight</w:t>
      </w:r>
      <w:r w:rsidR="00162AE0" w:rsidRPr="006B5AB7">
        <w:t xml:space="preserve">; and </w:t>
      </w:r>
    </w:p>
    <w:p w14:paraId="386E5EC8" w14:textId="51E23A2B" w:rsidR="00A004D9" w:rsidRDefault="007075D4" w:rsidP="00E6483F">
      <w:pPr>
        <w:pStyle w:val="ListBullet"/>
      </w:pPr>
      <w:r>
        <w:t xml:space="preserve">Highest </w:t>
      </w:r>
      <w:r w:rsidR="00162AE0" w:rsidRPr="00DF5AA8">
        <w:t>miscellaneous</w:t>
      </w:r>
      <w:r>
        <w:t xml:space="preserve"> cost bucket cost weight</w:t>
      </w:r>
      <w:r w:rsidR="00162AE0" w:rsidRPr="00DF5AA8">
        <w:t>.</w:t>
      </w:r>
    </w:p>
    <w:p w14:paraId="6C75EC72" w14:textId="6C720ECD" w:rsidR="004A6563" w:rsidRDefault="002647B1" w:rsidP="00B8705E">
      <w:pPr>
        <w:spacing w:before="240"/>
      </w:pPr>
      <w:r>
        <w:t>For definitions of the cost buckets please refer to</w:t>
      </w:r>
      <w:r w:rsidRPr="002315CF">
        <w:rPr>
          <w:rFonts w:asciiTheme="majorHAnsi" w:hAnsiTheme="majorHAnsi"/>
        </w:rPr>
        <w:t xml:space="preserve"> </w:t>
      </w:r>
      <w:r w:rsidR="00761624">
        <w:rPr>
          <w:rFonts w:asciiTheme="majorHAnsi" w:hAnsiTheme="majorHAnsi"/>
        </w:rPr>
        <w:fldChar w:fldCharType="begin"/>
      </w:r>
      <w:r w:rsidR="00761624">
        <w:rPr>
          <w:rFonts w:asciiTheme="majorHAnsi" w:hAnsiTheme="majorHAnsi"/>
        </w:rPr>
        <w:instrText xml:space="preserve"> REF _Ref497167774 \h </w:instrText>
      </w:r>
      <w:r w:rsidR="00761624">
        <w:rPr>
          <w:rFonts w:asciiTheme="majorHAnsi" w:hAnsiTheme="majorHAnsi"/>
        </w:rPr>
      </w:r>
      <w:r w:rsidR="00761624">
        <w:rPr>
          <w:rFonts w:asciiTheme="majorHAnsi" w:hAnsiTheme="majorHAnsi"/>
        </w:rPr>
        <w:fldChar w:fldCharType="separate"/>
      </w:r>
      <w:r w:rsidR="00681CD9">
        <w:t>Appendix D: Cost weight tables by AR-DRG</w:t>
      </w:r>
      <w:r w:rsidR="00761624">
        <w:rPr>
          <w:rFonts w:asciiTheme="majorHAnsi" w:hAnsiTheme="majorHAnsi"/>
        </w:rPr>
        <w:fldChar w:fldCharType="end"/>
      </w:r>
      <w:r w:rsidR="00345176">
        <w:rPr>
          <w:rFonts w:asciiTheme="majorHAnsi" w:hAnsiTheme="majorHAnsi"/>
        </w:rPr>
        <w:t xml:space="preserve"> Version 8.0</w:t>
      </w:r>
      <w:r w:rsidR="00A22971">
        <w:t>.</w:t>
      </w:r>
    </w:p>
    <w:p w14:paraId="0059D751" w14:textId="3DD77AB0" w:rsidR="00162AE0" w:rsidRDefault="006E4F88" w:rsidP="006E4F88">
      <w:pPr>
        <w:pStyle w:val="Heading2"/>
      </w:pPr>
      <w:bookmarkStart w:id="50" w:name="_Toc497200430"/>
      <w:bookmarkStart w:id="51" w:name="_Toc435611212"/>
      <w:bookmarkStart w:id="52" w:name="_Toc496857552"/>
      <w:bookmarkEnd w:id="50"/>
      <w:r>
        <w:lastRenderedPageBreak/>
        <w:t>H</w:t>
      </w:r>
      <w:r w:rsidR="00162AE0">
        <w:t>istory of the private sector NHCDC</w:t>
      </w:r>
      <w:bookmarkEnd w:id="51"/>
      <w:bookmarkEnd w:id="52"/>
    </w:p>
    <w:p w14:paraId="11A5DDD3" w14:textId="58E71321" w:rsidR="00162AE0" w:rsidRDefault="00162AE0" w:rsidP="00084455">
      <w:r>
        <w:t>Round 1 of the private sector NHCDC was conducted in 1996-97 with 23 hospitals and 240,000 episodes being represented. Since then, the collection has grown steadily although n</w:t>
      </w:r>
      <w:r w:rsidR="00D61C39">
        <w:t>o publication was released for R</w:t>
      </w:r>
      <w:r>
        <w:t xml:space="preserve">ounds 8, 9, </w:t>
      </w:r>
      <w:r w:rsidR="000159DD">
        <w:t xml:space="preserve">or </w:t>
      </w:r>
      <w:r>
        <w:t>14 due to low participation rates</w:t>
      </w:r>
      <w:r w:rsidR="008020CE">
        <w:t xml:space="preserve"> or IHPA electing not to proceed for that year</w:t>
      </w:r>
      <w:r>
        <w:t>. No collecti</w:t>
      </w:r>
      <w:r w:rsidR="00A34653">
        <w:t xml:space="preserve">on was carried out for Rounds 10, 15 and 19 </w:t>
      </w:r>
      <w:r>
        <w:t xml:space="preserve">as the sector elected to bypass that year and move directly to the following </w:t>
      </w:r>
      <w:r w:rsidR="00A34653">
        <w:t>R</w:t>
      </w:r>
      <w:r>
        <w:t xml:space="preserve">ound. </w:t>
      </w:r>
      <w:r w:rsidR="00A34653">
        <w:t>Round 19 was bypassed due to the expectation that achieving the 60</w:t>
      </w:r>
      <w:r w:rsidR="00761624">
        <w:t xml:space="preserve"> per cent</w:t>
      </w:r>
      <w:r w:rsidR="00A34653">
        <w:t xml:space="preserve"> participation rate would not be met due competing </w:t>
      </w:r>
      <w:r w:rsidR="00450CF7">
        <w:t>priorities</w:t>
      </w:r>
      <w:r w:rsidR="00A34653">
        <w:t xml:space="preserve"> of the participants.  </w:t>
      </w:r>
      <w:r>
        <w:t xml:space="preserve">Table 2 below shows the participation rate for Round 20 and the last </w:t>
      </w:r>
      <w:r w:rsidR="00450CF7">
        <w:t>seven</w:t>
      </w:r>
      <w:r>
        <w:t xml:space="preserve"> published rounds.</w:t>
      </w:r>
    </w:p>
    <w:p w14:paraId="233B9F41" w14:textId="476001A5" w:rsidR="00162AE0" w:rsidRPr="00084455" w:rsidRDefault="00764DBD" w:rsidP="006F21D0">
      <w:pPr>
        <w:pStyle w:val="TableHeadings3"/>
      </w:pPr>
      <w:bookmarkStart w:id="53" w:name="_Toc432078941"/>
      <w:bookmarkStart w:id="54" w:name="_Toc497488018"/>
      <w:bookmarkStart w:id="55" w:name="_Toc497750016"/>
      <w:proofErr w:type="gramStart"/>
      <w:r w:rsidRPr="00084455">
        <w:t>Table 2</w:t>
      </w:r>
      <w:r w:rsidR="004F7ECE">
        <w:t>.</w:t>
      </w:r>
      <w:proofErr w:type="gramEnd"/>
      <w:r w:rsidR="008D220E">
        <w:t xml:space="preserve"> </w:t>
      </w:r>
      <w:r w:rsidRPr="00084455">
        <w:t>Summary of private hospital participation</w:t>
      </w:r>
      <w:bookmarkEnd w:id="53"/>
      <w:bookmarkEnd w:id="54"/>
      <w:bookmarkEnd w:id="55"/>
    </w:p>
    <w:tbl>
      <w:tblPr>
        <w:tblW w:w="4971" w:type="pct"/>
        <w:tblLayout w:type="fixed"/>
        <w:tblLook w:val="04A0" w:firstRow="1" w:lastRow="0" w:firstColumn="1" w:lastColumn="0" w:noHBand="0" w:noVBand="1"/>
        <w:tblCaption w:val="Table 1 summary of private hospital participation"/>
        <w:tblDescription w:val="Table 1 contains a summary of the private hospital participation in the NHCDC. Its columns span the Rounds from Round 7 to Round 18. Its rows are number of hospitals, sample separations, percentage of population separations and AR-DRG version."/>
      </w:tblPr>
      <w:tblGrid>
        <w:gridCol w:w="1813"/>
        <w:gridCol w:w="975"/>
        <w:gridCol w:w="974"/>
        <w:gridCol w:w="974"/>
        <w:gridCol w:w="974"/>
        <w:gridCol w:w="974"/>
        <w:gridCol w:w="974"/>
        <w:gridCol w:w="974"/>
        <w:gridCol w:w="974"/>
      </w:tblGrid>
      <w:tr w:rsidR="00084455" w:rsidRPr="00387329" w14:paraId="4065EC38" w14:textId="77777777" w:rsidTr="0028492A">
        <w:trPr>
          <w:trHeight w:val="20"/>
        </w:trPr>
        <w:tc>
          <w:tcPr>
            <w:tcW w:w="943" w:type="pct"/>
            <w:tcBorders>
              <w:top w:val="single" w:sz="4" w:space="0" w:color="auto"/>
              <w:left w:val="nil"/>
              <w:bottom w:val="single" w:sz="4" w:space="0" w:color="000000"/>
              <w:right w:val="nil"/>
            </w:tcBorders>
            <w:noWrap/>
            <w:hideMark/>
          </w:tcPr>
          <w:p w14:paraId="6E917191" w14:textId="77777777" w:rsidR="00084455" w:rsidRPr="00387329" w:rsidRDefault="00084455" w:rsidP="0028492A">
            <w:pPr>
              <w:pStyle w:val="Tablesheadings"/>
              <w:spacing w:before="80" w:after="80"/>
              <w:rPr>
                <w:sz w:val="16"/>
              </w:rPr>
            </w:pPr>
            <w:bookmarkStart w:id="56" w:name="_Toc497486100"/>
            <w:bookmarkStart w:id="57" w:name="_Toc497488019"/>
            <w:r w:rsidRPr="00387329">
              <w:rPr>
                <w:sz w:val="16"/>
              </w:rPr>
              <w:t>Summary</w:t>
            </w:r>
            <w:bookmarkEnd w:id="56"/>
            <w:bookmarkEnd w:id="57"/>
          </w:p>
        </w:tc>
        <w:tc>
          <w:tcPr>
            <w:tcW w:w="507" w:type="pct"/>
            <w:tcBorders>
              <w:top w:val="single" w:sz="4" w:space="0" w:color="auto"/>
              <w:left w:val="nil"/>
              <w:bottom w:val="single" w:sz="4" w:space="0" w:color="000000"/>
              <w:right w:val="nil"/>
            </w:tcBorders>
            <w:hideMark/>
          </w:tcPr>
          <w:p w14:paraId="5CBEB764" w14:textId="77777777" w:rsidR="00084455" w:rsidRPr="00387329" w:rsidRDefault="00084455" w:rsidP="0028492A">
            <w:pPr>
              <w:pStyle w:val="Tablesheadings"/>
              <w:spacing w:before="80" w:after="80"/>
              <w:rPr>
                <w:sz w:val="16"/>
              </w:rPr>
            </w:pPr>
            <w:bookmarkStart w:id="58" w:name="_Toc497486101"/>
            <w:bookmarkStart w:id="59" w:name="_Toc497488020"/>
            <w:r w:rsidRPr="00387329">
              <w:rPr>
                <w:sz w:val="16"/>
              </w:rPr>
              <w:t>Round 7 2002-03</w:t>
            </w:r>
            <w:bookmarkEnd w:id="58"/>
            <w:bookmarkEnd w:id="59"/>
          </w:p>
        </w:tc>
        <w:tc>
          <w:tcPr>
            <w:tcW w:w="507" w:type="pct"/>
            <w:tcBorders>
              <w:top w:val="single" w:sz="4" w:space="0" w:color="auto"/>
              <w:left w:val="nil"/>
              <w:bottom w:val="single" w:sz="4" w:space="0" w:color="000000"/>
              <w:right w:val="nil"/>
            </w:tcBorders>
            <w:hideMark/>
          </w:tcPr>
          <w:p w14:paraId="1B8E70F0" w14:textId="77777777" w:rsidR="00084455" w:rsidRPr="00387329" w:rsidRDefault="00084455" w:rsidP="0028492A">
            <w:pPr>
              <w:pStyle w:val="Tablesheadings"/>
              <w:spacing w:before="80" w:after="80"/>
              <w:rPr>
                <w:sz w:val="16"/>
              </w:rPr>
            </w:pPr>
            <w:bookmarkStart w:id="60" w:name="_Toc497486102"/>
            <w:bookmarkStart w:id="61" w:name="_Toc497488021"/>
            <w:r w:rsidRPr="00387329">
              <w:rPr>
                <w:sz w:val="16"/>
              </w:rPr>
              <w:t>Round 11 2006-07</w:t>
            </w:r>
            <w:bookmarkEnd w:id="60"/>
            <w:bookmarkEnd w:id="61"/>
          </w:p>
        </w:tc>
        <w:tc>
          <w:tcPr>
            <w:tcW w:w="507" w:type="pct"/>
            <w:tcBorders>
              <w:top w:val="single" w:sz="4" w:space="0" w:color="auto"/>
              <w:left w:val="nil"/>
              <w:bottom w:val="single" w:sz="4" w:space="0" w:color="000000"/>
              <w:right w:val="nil"/>
            </w:tcBorders>
            <w:hideMark/>
          </w:tcPr>
          <w:p w14:paraId="428F7975" w14:textId="77777777" w:rsidR="00084455" w:rsidRPr="00387329" w:rsidRDefault="00084455" w:rsidP="0028492A">
            <w:pPr>
              <w:pStyle w:val="Tablesheadings"/>
              <w:spacing w:before="80" w:after="80"/>
              <w:rPr>
                <w:sz w:val="16"/>
              </w:rPr>
            </w:pPr>
            <w:bookmarkStart w:id="62" w:name="_Toc497486103"/>
            <w:bookmarkStart w:id="63" w:name="_Toc497488022"/>
            <w:r w:rsidRPr="00387329">
              <w:rPr>
                <w:sz w:val="16"/>
              </w:rPr>
              <w:t>Round 12 2007-08</w:t>
            </w:r>
            <w:bookmarkEnd w:id="62"/>
            <w:bookmarkEnd w:id="63"/>
          </w:p>
        </w:tc>
        <w:tc>
          <w:tcPr>
            <w:tcW w:w="507" w:type="pct"/>
            <w:tcBorders>
              <w:top w:val="single" w:sz="4" w:space="0" w:color="auto"/>
              <w:left w:val="nil"/>
              <w:bottom w:val="single" w:sz="4" w:space="0" w:color="000000"/>
              <w:right w:val="nil"/>
            </w:tcBorders>
            <w:hideMark/>
          </w:tcPr>
          <w:p w14:paraId="15336848" w14:textId="77777777" w:rsidR="00084455" w:rsidRPr="00387329" w:rsidRDefault="00084455" w:rsidP="0028492A">
            <w:pPr>
              <w:pStyle w:val="Tablesheadings"/>
              <w:spacing w:before="80" w:after="80"/>
              <w:rPr>
                <w:sz w:val="16"/>
              </w:rPr>
            </w:pPr>
            <w:bookmarkStart w:id="64" w:name="_Toc497486104"/>
            <w:bookmarkStart w:id="65" w:name="_Toc497488023"/>
            <w:r w:rsidRPr="00387329">
              <w:rPr>
                <w:sz w:val="16"/>
              </w:rPr>
              <w:t>Round 13 2008-09</w:t>
            </w:r>
            <w:bookmarkEnd w:id="64"/>
            <w:bookmarkEnd w:id="65"/>
          </w:p>
        </w:tc>
        <w:tc>
          <w:tcPr>
            <w:tcW w:w="507" w:type="pct"/>
            <w:tcBorders>
              <w:top w:val="single" w:sz="4" w:space="0" w:color="auto"/>
              <w:left w:val="nil"/>
              <w:bottom w:val="single" w:sz="4" w:space="0" w:color="000000"/>
              <w:right w:val="nil"/>
            </w:tcBorders>
            <w:hideMark/>
          </w:tcPr>
          <w:p w14:paraId="70343F69" w14:textId="77777777" w:rsidR="00084455" w:rsidRPr="00387329" w:rsidRDefault="00084455" w:rsidP="0028492A">
            <w:pPr>
              <w:pStyle w:val="Tablesheadings"/>
              <w:spacing w:before="80" w:after="80"/>
              <w:rPr>
                <w:sz w:val="16"/>
              </w:rPr>
            </w:pPr>
            <w:bookmarkStart w:id="66" w:name="_Toc497486105"/>
            <w:bookmarkStart w:id="67" w:name="_Toc497488024"/>
            <w:r w:rsidRPr="00387329">
              <w:rPr>
                <w:sz w:val="16"/>
              </w:rPr>
              <w:t>Round 16 2011-12</w:t>
            </w:r>
            <w:bookmarkEnd w:id="66"/>
            <w:bookmarkEnd w:id="67"/>
          </w:p>
        </w:tc>
        <w:tc>
          <w:tcPr>
            <w:tcW w:w="507" w:type="pct"/>
            <w:tcBorders>
              <w:top w:val="single" w:sz="4" w:space="0" w:color="auto"/>
              <w:left w:val="nil"/>
              <w:bottom w:val="single" w:sz="4" w:space="0" w:color="000000"/>
              <w:right w:val="nil"/>
            </w:tcBorders>
            <w:hideMark/>
          </w:tcPr>
          <w:p w14:paraId="1F719443" w14:textId="77777777" w:rsidR="00084455" w:rsidRPr="00387329" w:rsidRDefault="00084455" w:rsidP="0028492A">
            <w:pPr>
              <w:pStyle w:val="Tablesheadings"/>
              <w:spacing w:before="80" w:after="80"/>
              <w:rPr>
                <w:sz w:val="16"/>
              </w:rPr>
            </w:pPr>
            <w:bookmarkStart w:id="68" w:name="_Toc497486106"/>
            <w:bookmarkStart w:id="69" w:name="_Toc497488025"/>
            <w:r w:rsidRPr="00387329">
              <w:rPr>
                <w:sz w:val="16"/>
              </w:rPr>
              <w:t>Round 17 2012-13</w:t>
            </w:r>
            <w:bookmarkEnd w:id="68"/>
            <w:bookmarkEnd w:id="69"/>
          </w:p>
        </w:tc>
        <w:tc>
          <w:tcPr>
            <w:tcW w:w="507" w:type="pct"/>
            <w:tcBorders>
              <w:top w:val="single" w:sz="4" w:space="0" w:color="auto"/>
              <w:left w:val="nil"/>
              <w:bottom w:val="single" w:sz="4" w:space="0" w:color="000000"/>
              <w:right w:val="nil"/>
            </w:tcBorders>
            <w:hideMark/>
          </w:tcPr>
          <w:p w14:paraId="63517E38" w14:textId="77777777" w:rsidR="00084455" w:rsidRPr="00387329" w:rsidRDefault="00084455" w:rsidP="0028492A">
            <w:pPr>
              <w:pStyle w:val="Tablesheadings"/>
              <w:spacing w:before="80" w:after="80"/>
              <w:rPr>
                <w:sz w:val="16"/>
              </w:rPr>
            </w:pPr>
            <w:bookmarkStart w:id="70" w:name="_Toc497486107"/>
            <w:bookmarkStart w:id="71" w:name="_Toc497488026"/>
            <w:r w:rsidRPr="00387329">
              <w:rPr>
                <w:sz w:val="16"/>
              </w:rPr>
              <w:t>Round 18 2013-14</w:t>
            </w:r>
            <w:bookmarkEnd w:id="70"/>
            <w:bookmarkEnd w:id="71"/>
          </w:p>
        </w:tc>
        <w:tc>
          <w:tcPr>
            <w:tcW w:w="507" w:type="pct"/>
            <w:tcBorders>
              <w:top w:val="single" w:sz="4" w:space="0" w:color="auto"/>
              <w:left w:val="nil"/>
              <w:bottom w:val="single" w:sz="4" w:space="0" w:color="auto"/>
              <w:right w:val="nil"/>
            </w:tcBorders>
            <w:shd w:val="clear" w:color="auto" w:fill="D9D9D9" w:themeFill="background1" w:themeFillShade="D9"/>
            <w:hideMark/>
          </w:tcPr>
          <w:p w14:paraId="486406CE" w14:textId="77777777" w:rsidR="00084455" w:rsidRPr="00387329" w:rsidRDefault="00084455" w:rsidP="0028492A">
            <w:pPr>
              <w:pStyle w:val="Tablesheadings"/>
              <w:spacing w:before="80" w:after="80"/>
              <w:rPr>
                <w:sz w:val="16"/>
              </w:rPr>
            </w:pPr>
            <w:bookmarkStart w:id="72" w:name="_Toc497486108"/>
            <w:bookmarkStart w:id="73" w:name="_Toc497488027"/>
            <w:r w:rsidRPr="00387329">
              <w:rPr>
                <w:sz w:val="16"/>
              </w:rPr>
              <w:t>Round 20 2015-16</w:t>
            </w:r>
            <w:bookmarkEnd w:id="72"/>
            <w:bookmarkEnd w:id="73"/>
          </w:p>
        </w:tc>
      </w:tr>
      <w:tr w:rsidR="00084455" w:rsidRPr="00387329" w14:paraId="6B79077F" w14:textId="77777777" w:rsidTr="0028492A">
        <w:trPr>
          <w:trHeight w:val="20"/>
        </w:trPr>
        <w:tc>
          <w:tcPr>
            <w:tcW w:w="943" w:type="pct"/>
            <w:noWrap/>
            <w:hideMark/>
          </w:tcPr>
          <w:p w14:paraId="212402F4" w14:textId="77777777" w:rsidR="00084455" w:rsidRPr="00387329" w:rsidRDefault="00084455" w:rsidP="0028492A">
            <w:pPr>
              <w:pStyle w:val="TableText"/>
              <w:rPr>
                <w:sz w:val="16"/>
              </w:rPr>
            </w:pPr>
            <w:r w:rsidRPr="00387329">
              <w:rPr>
                <w:sz w:val="16"/>
              </w:rPr>
              <w:t>Number of hospitals</w:t>
            </w:r>
          </w:p>
        </w:tc>
        <w:tc>
          <w:tcPr>
            <w:tcW w:w="507" w:type="pct"/>
            <w:noWrap/>
            <w:hideMark/>
          </w:tcPr>
          <w:p w14:paraId="7D91FF9D" w14:textId="77777777" w:rsidR="00084455" w:rsidRPr="00387329" w:rsidRDefault="00084455" w:rsidP="0028492A">
            <w:pPr>
              <w:pStyle w:val="TableText"/>
              <w:jc w:val="right"/>
              <w:rPr>
                <w:sz w:val="16"/>
              </w:rPr>
            </w:pPr>
            <w:r w:rsidRPr="00387329">
              <w:rPr>
                <w:sz w:val="16"/>
              </w:rPr>
              <w:t>113</w:t>
            </w:r>
          </w:p>
        </w:tc>
        <w:tc>
          <w:tcPr>
            <w:tcW w:w="507" w:type="pct"/>
            <w:noWrap/>
            <w:hideMark/>
          </w:tcPr>
          <w:p w14:paraId="650813FB" w14:textId="77777777" w:rsidR="00084455" w:rsidRPr="00387329" w:rsidRDefault="00084455" w:rsidP="0028492A">
            <w:pPr>
              <w:pStyle w:val="TableText"/>
              <w:jc w:val="right"/>
              <w:rPr>
                <w:sz w:val="16"/>
              </w:rPr>
            </w:pPr>
            <w:r w:rsidRPr="00387329">
              <w:rPr>
                <w:sz w:val="16"/>
              </w:rPr>
              <w:t>82</w:t>
            </w:r>
          </w:p>
        </w:tc>
        <w:tc>
          <w:tcPr>
            <w:tcW w:w="507" w:type="pct"/>
            <w:noWrap/>
            <w:hideMark/>
          </w:tcPr>
          <w:p w14:paraId="01F37E3F" w14:textId="77777777" w:rsidR="00084455" w:rsidRPr="00387329" w:rsidRDefault="00084455" w:rsidP="0028492A">
            <w:pPr>
              <w:pStyle w:val="TableText"/>
              <w:jc w:val="right"/>
              <w:rPr>
                <w:sz w:val="16"/>
              </w:rPr>
            </w:pPr>
            <w:r w:rsidRPr="00387329">
              <w:rPr>
                <w:sz w:val="16"/>
              </w:rPr>
              <w:t>109</w:t>
            </w:r>
          </w:p>
        </w:tc>
        <w:tc>
          <w:tcPr>
            <w:tcW w:w="507" w:type="pct"/>
            <w:noWrap/>
            <w:hideMark/>
          </w:tcPr>
          <w:p w14:paraId="753EE63D" w14:textId="77777777" w:rsidR="00084455" w:rsidRPr="00387329" w:rsidRDefault="00084455" w:rsidP="0028492A">
            <w:pPr>
              <w:pStyle w:val="TableText"/>
              <w:jc w:val="right"/>
              <w:rPr>
                <w:sz w:val="16"/>
              </w:rPr>
            </w:pPr>
            <w:r w:rsidRPr="00387329">
              <w:rPr>
                <w:sz w:val="16"/>
              </w:rPr>
              <w:t>110</w:t>
            </w:r>
          </w:p>
        </w:tc>
        <w:tc>
          <w:tcPr>
            <w:tcW w:w="507" w:type="pct"/>
            <w:noWrap/>
            <w:hideMark/>
          </w:tcPr>
          <w:p w14:paraId="0913AA93" w14:textId="77777777" w:rsidR="00084455" w:rsidRPr="00387329" w:rsidRDefault="00084455" w:rsidP="0028492A">
            <w:pPr>
              <w:pStyle w:val="TableText"/>
              <w:jc w:val="right"/>
              <w:rPr>
                <w:sz w:val="16"/>
              </w:rPr>
            </w:pPr>
            <w:r w:rsidRPr="00387329">
              <w:rPr>
                <w:sz w:val="16"/>
              </w:rPr>
              <w:t>105</w:t>
            </w:r>
          </w:p>
        </w:tc>
        <w:tc>
          <w:tcPr>
            <w:tcW w:w="507" w:type="pct"/>
            <w:noWrap/>
            <w:hideMark/>
          </w:tcPr>
          <w:p w14:paraId="52838FE9" w14:textId="77777777" w:rsidR="00084455" w:rsidRPr="00387329" w:rsidRDefault="00084455" w:rsidP="0028492A">
            <w:pPr>
              <w:pStyle w:val="TableText"/>
              <w:jc w:val="right"/>
              <w:rPr>
                <w:sz w:val="16"/>
              </w:rPr>
            </w:pPr>
            <w:r w:rsidRPr="00387329">
              <w:rPr>
                <w:sz w:val="16"/>
              </w:rPr>
              <w:t>95</w:t>
            </w:r>
          </w:p>
        </w:tc>
        <w:tc>
          <w:tcPr>
            <w:tcW w:w="507" w:type="pct"/>
            <w:noWrap/>
            <w:hideMark/>
          </w:tcPr>
          <w:p w14:paraId="1C34B490" w14:textId="77777777" w:rsidR="00084455" w:rsidRPr="00387329" w:rsidRDefault="00084455" w:rsidP="0028492A">
            <w:pPr>
              <w:pStyle w:val="TableText"/>
              <w:jc w:val="right"/>
              <w:rPr>
                <w:sz w:val="16"/>
              </w:rPr>
            </w:pPr>
            <w:r w:rsidRPr="00387329">
              <w:rPr>
                <w:sz w:val="16"/>
              </w:rPr>
              <w:t>96</w:t>
            </w:r>
          </w:p>
        </w:tc>
        <w:tc>
          <w:tcPr>
            <w:tcW w:w="507" w:type="pct"/>
            <w:tcBorders>
              <w:top w:val="single" w:sz="4" w:space="0" w:color="auto"/>
              <w:left w:val="nil"/>
              <w:bottom w:val="nil"/>
              <w:right w:val="nil"/>
            </w:tcBorders>
            <w:shd w:val="clear" w:color="auto" w:fill="D9D9D9" w:themeFill="background1" w:themeFillShade="D9"/>
          </w:tcPr>
          <w:p w14:paraId="2CFFC6C4" w14:textId="77777777" w:rsidR="00084455" w:rsidRPr="00387329" w:rsidRDefault="00084455" w:rsidP="0028492A">
            <w:pPr>
              <w:pStyle w:val="TableText"/>
              <w:jc w:val="right"/>
              <w:rPr>
                <w:sz w:val="16"/>
              </w:rPr>
            </w:pPr>
            <w:r w:rsidRPr="00387329">
              <w:rPr>
                <w:sz w:val="16"/>
              </w:rPr>
              <w:t>91</w:t>
            </w:r>
          </w:p>
        </w:tc>
      </w:tr>
      <w:tr w:rsidR="00084455" w:rsidRPr="00387329" w14:paraId="1DD74590" w14:textId="77777777" w:rsidTr="0028492A">
        <w:trPr>
          <w:trHeight w:val="20"/>
        </w:trPr>
        <w:tc>
          <w:tcPr>
            <w:tcW w:w="943" w:type="pct"/>
            <w:noWrap/>
            <w:hideMark/>
          </w:tcPr>
          <w:p w14:paraId="1D21791E" w14:textId="77777777" w:rsidR="00084455" w:rsidRPr="00387329" w:rsidRDefault="00084455" w:rsidP="0028492A">
            <w:pPr>
              <w:pStyle w:val="TableText"/>
              <w:rPr>
                <w:sz w:val="16"/>
              </w:rPr>
            </w:pPr>
            <w:r w:rsidRPr="00387329">
              <w:rPr>
                <w:sz w:val="16"/>
              </w:rPr>
              <w:t>Sample Separations</w:t>
            </w:r>
          </w:p>
        </w:tc>
        <w:tc>
          <w:tcPr>
            <w:tcW w:w="507" w:type="pct"/>
            <w:noWrap/>
            <w:hideMark/>
          </w:tcPr>
          <w:p w14:paraId="28302F9E" w14:textId="77777777" w:rsidR="00084455" w:rsidRPr="00387329" w:rsidRDefault="00084455" w:rsidP="0028492A">
            <w:pPr>
              <w:pStyle w:val="TableText"/>
              <w:jc w:val="right"/>
              <w:rPr>
                <w:sz w:val="16"/>
              </w:rPr>
            </w:pPr>
            <w:r w:rsidRPr="00387329">
              <w:rPr>
                <w:sz w:val="16"/>
              </w:rPr>
              <w:t>1,240,388</w:t>
            </w:r>
          </w:p>
        </w:tc>
        <w:tc>
          <w:tcPr>
            <w:tcW w:w="507" w:type="pct"/>
            <w:noWrap/>
            <w:hideMark/>
          </w:tcPr>
          <w:p w14:paraId="5B9F9152" w14:textId="77777777" w:rsidR="00084455" w:rsidRPr="00387329" w:rsidRDefault="00084455" w:rsidP="0028492A">
            <w:pPr>
              <w:pStyle w:val="TableText"/>
              <w:jc w:val="right"/>
              <w:rPr>
                <w:sz w:val="16"/>
              </w:rPr>
            </w:pPr>
            <w:r w:rsidRPr="00387329">
              <w:rPr>
                <w:sz w:val="16"/>
              </w:rPr>
              <w:t>1,297,147</w:t>
            </w:r>
          </w:p>
        </w:tc>
        <w:tc>
          <w:tcPr>
            <w:tcW w:w="507" w:type="pct"/>
            <w:noWrap/>
            <w:hideMark/>
          </w:tcPr>
          <w:p w14:paraId="1396D73A" w14:textId="77777777" w:rsidR="00084455" w:rsidRPr="00387329" w:rsidRDefault="00084455" w:rsidP="0028492A">
            <w:pPr>
              <w:pStyle w:val="TableText"/>
              <w:jc w:val="right"/>
              <w:rPr>
                <w:sz w:val="16"/>
              </w:rPr>
            </w:pPr>
            <w:r w:rsidRPr="00387329">
              <w:rPr>
                <w:sz w:val="16"/>
              </w:rPr>
              <w:t>1,607,678</w:t>
            </w:r>
          </w:p>
        </w:tc>
        <w:tc>
          <w:tcPr>
            <w:tcW w:w="507" w:type="pct"/>
            <w:noWrap/>
            <w:hideMark/>
          </w:tcPr>
          <w:p w14:paraId="1CCB76C8" w14:textId="77777777" w:rsidR="00084455" w:rsidRPr="00387329" w:rsidRDefault="00084455" w:rsidP="0028492A">
            <w:pPr>
              <w:pStyle w:val="TableText"/>
              <w:jc w:val="right"/>
              <w:rPr>
                <w:sz w:val="16"/>
              </w:rPr>
            </w:pPr>
            <w:r w:rsidRPr="00387329">
              <w:rPr>
                <w:sz w:val="16"/>
              </w:rPr>
              <w:t>1,648,989</w:t>
            </w:r>
          </w:p>
        </w:tc>
        <w:tc>
          <w:tcPr>
            <w:tcW w:w="507" w:type="pct"/>
            <w:noWrap/>
            <w:hideMark/>
          </w:tcPr>
          <w:p w14:paraId="44989EAA" w14:textId="77777777" w:rsidR="00084455" w:rsidRPr="00387329" w:rsidRDefault="00084455" w:rsidP="0028492A">
            <w:pPr>
              <w:pStyle w:val="TableText"/>
              <w:jc w:val="right"/>
              <w:rPr>
                <w:sz w:val="16"/>
              </w:rPr>
            </w:pPr>
            <w:r w:rsidRPr="00387329">
              <w:rPr>
                <w:sz w:val="16"/>
              </w:rPr>
              <w:t>1,775,059</w:t>
            </w:r>
          </w:p>
        </w:tc>
        <w:tc>
          <w:tcPr>
            <w:tcW w:w="507" w:type="pct"/>
            <w:noWrap/>
            <w:hideMark/>
          </w:tcPr>
          <w:p w14:paraId="2E0BA897" w14:textId="77777777" w:rsidR="00084455" w:rsidRPr="00387329" w:rsidRDefault="00084455" w:rsidP="0028492A">
            <w:pPr>
              <w:pStyle w:val="TableText"/>
              <w:jc w:val="right"/>
              <w:rPr>
                <w:sz w:val="16"/>
              </w:rPr>
            </w:pPr>
            <w:r w:rsidRPr="00387329">
              <w:rPr>
                <w:sz w:val="16"/>
              </w:rPr>
              <w:t>1,650,816</w:t>
            </w:r>
          </w:p>
        </w:tc>
        <w:tc>
          <w:tcPr>
            <w:tcW w:w="507" w:type="pct"/>
            <w:noWrap/>
            <w:hideMark/>
          </w:tcPr>
          <w:p w14:paraId="104F719D" w14:textId="77777777" w:rsidR="00084455" w:rsidRPr="00387329" w:rsidRDefault="00084455" w:rsidP="0028492A">
            <w:pPr>
              <w:pStyle w:val="TableText"/>
              <w:jc w:val="right"/>
              <w:rPr>
                <w:sz w:val="16"/>
              </w:rPr>
            </w:pPr>
            <w:r w:rsidRPr="00387329">
              <w:rPr>
                <w:sz w:val="16"/>
              </w:rPr>
              <w:t>1,697,311</w:t>
            </w:r>
          </w:p>
        </w:tc>
        <w:tc>
          <w:tcPr>
            <w:tcW w:w="507" w:type="pct"/>
            <w:shd w:val="clear" w:color="auto" w:fill="D9D9D9" w:themeFill="background1" w:themeFillShade="D9"/>
          </w:tcPr>
          <w:p w14:paraId="52C655D2" w14:textId="77777777" w:rsidR="00084455" w:rsidRPr="00387329" w:rsidRDefault="00084455" w:rsidP="0028492A">
            <w:pPr>
              <w:pStyle w:val="TableText"/>
              <w:jc w:val="right"/>
              <w:rPr>
                <w:sz w:val="16"/>
              </w:rPr>
            </w:pPr>
            <w:r w:rsidRPr="00387329">
              <w:rPr>
                <w:sz w:val="16"/>
              </w:rPr>
              <w:t>1,781,699</w:t>
            </w:r>
          </w:p>
        </w:tc>
      </w:tr>
      <w:tr w:rsidR="00084455" w:rsidRPr="00387329" w14:paraId="7D5F1DE1" w14:textId="77777777" w:rsidTr="0028492A">
        <w:trPr>
          <w:trHeight w:val="20"/>
        </w:trPr>
        <w:tc>
          <w:tcPr>
            <w:tcW w:w="943" w:type="pct"/>
            <w:hideMark/>
          </w:tcPr>
          <w:p w14:paraId="66946AD8" w14:textId="6FB59B0A" w:rsidR="00084455" w:rsidRPr="00387329" w:rsidRDefault="00084455" w:rsidP="0028492A">
            <w:pPr>
              <w:pStyle w:val="TableText"/>
              <w:rPr>
                <w:sz w:val="16"/>
              </w:rPr>
            </w:pPr>
            <w:r w:rsidRPr="00387329">
              <w:rPr>
                <w:sz w:val="16"/>
              </w:rPr>
              <w:t>Participation rate* (%)</w:t>
            </w:r>
          </w:p>
        </w:tc>
        <w:tc>
          <w:tcPr>
            <w:tcW w:w="507" w:type="pct"/>
            <w:noWrap/>
            <w:hideMark/>
          </w:tcPr>
          <w:p w14:paraId="66D3CFE3" w14:textId="2509BCB4" w:rsidR="00084455" w:rsidRPr="00387329" w:rsidRDefault="00084455" w:rsidP="0028492A">
            <w:pPr>
              <w:pStyle w:val="TableText"/>
              <w:jc w:val="right"/>
              <w:rPr>
                <w:sz w:val="16"/>
              </w:rPr>
            </w:pPr>
            <w:r w:rsidRPr="00387329">
              <w:rPr>
                <w:sz w:val="16"/>
              </w:rPr>
              <w:t>65</w:t>
            </w:r>
          </w:p>
        </w:tc>
        <w:tc>
          <w:tcPr>
            <w:tcW w:w="507" w:type="pct"/>
            <w:noWrap/>
            <w:hideMark/>
          </w:tcPr>
          <w:p w14:paraId="66DB1520" w14:textId="019918CA" w:rsidR="00084455" w:rsidRPr="00387329" w:rsidRDefault="00084455" w:rsidP="0028492A">
            <w:pPr>
              <w:pStyle w:val="TableText"/>
              <w:jc w:val="right"/>
              <w:rPr>
                <w:sz w:val="16"/>
              </w:rPr>
            </w:pPr>
            <w:r w:rsidRPr="00387329">
              <w:rPr>
                <w:sz w:val="16"/>
              </w:rPr>
              <w:t>59</w:t>
            </w:r>
          </w:p>
        </w:tc>
        <w:tc>
          <w:tcPr>
            <w:tcW w:w="507" w:type="pct"/>
            <w:noWrap/>
            <w:hideMark/>
          </w:tcPr>
          <w:p w14:paraId="7DC64869" w14:textId="6958B73A" w:rsidR="00084455" w:rsidRPr="00387329" w:rsidRDefault="00084455" w:rsidP="0028492A">
            <w:pPr>
              <w:pStyle w:val="TableText"/>
              <w:jc w:val="right"/>
              <w:rPr>
                <w:sz w:val="16"/>
              </w:rPr>
            </w:pPr>
            <w:r w:rsidRPr="00387329">
              <w:rPr>
                <w:sz w:val="16"/>
              </w:rPr>
              <w:t>72</w:t>
            </w:r>
          </w:p>
        </w:tc>
        <w:tc>
          <w:tcPr>
            <w:tcW w:w="507" w:type="pct"/>
            <w:noWrap/>
            <w:hideMark/>
          </w:tcPr>
          <w:p w14:paraId="3AD4D18A" w14:textId="0B7A0E9B" w:rsidR="00084455" w:rsidRPr="00387329" w:rsidRDefault="00084455" w:rsidP="0028492A">
            <w:pPr>
              <w:pStyle w:val="TableText"/>
              <w:jc w:val="right"/>
              <w:rPr>
                <w:sz w:val="16"/>
              </w:rPr>
            </w:pPr>
            <w:r w:rsidRPr="00387329">
              <w:rPr>
                <w:sz w:val="16"/>
              </w:rPr>
              <w:t>71</w:t>
            </w:r>
          </w:p>
        </w:tc>
        <w:tc>
          <w:tcPr>
            <w:tcW w:w="507" w:type="pct"/>
            <w:noWrap/>
            <w:hideMark/>
          </w:tcPr>
          <w:p w14:paraId="11777C78" w14:textId="648F09C7" w:rsidR="00084455" w:rsidRPr="00387329" w:rsidRDefault="00084455" w:rsidP="0028492A">
            <w:pPr>
              <w:pStyle w:val="TableText"/>
              <w:jc w:val="right"/>
              <w:rPr>
                <w:sz w:val="16"/>
              </w:rPr>
            </w:pPr>
            <w:r w:rsidRPr="00387329">
              <w:rPr>
                <w:sz w:val="16"/>
              </w:rPr>
              <w:t>66</w:t>
            </w:r>
          </w:p>
        </w:tc>
        <w:tc>
          <w:tcPr>
            <w:tcW w:w="507" w:type="pct"/>
            <w:noWrap/>
            <w:hideMark/>
          </w:tcPr>
          <w:p w14:paraId="2FEEB933" w14:textId="5E76FD58" w:rsidR="00084455" w:rsidRPr="00387329" w:rsidRDefault="00084455" w:rsidP="0028492A">
            <w:pPr>
              <w:pStyle w:val="TableText"/>
              <w:jc w:val="right"/>
              <w:rPr>
                <w:sz w:val="16"/>
              </w:rPr>
            </w:pPr>
            <w:r w:rsidRPr="00387329">
              <w:rPr>
                <w:sz w:val="16"/>
              </w:rPr>
              <w:t>60</w:t>
            </w:r>
          </w:p>
        </w:tc>
        <w:tc>
          <w:tcPr>
            <w:tcW w:w="507" w:type="pct"/>
            <w:noWrap/>
            <w:hideMark/>
          </w:tcPr>
          <w:p w14:paraId="74439671" w14:textId="15E201F2" w:rsidR="00084455" w:rsidRPr="00387329" w:rsidRDefault="00084455" w:rsidP="0028492A">
            <w:pPr>
              <w:pStyle w:val="TableText"/>
              <w:jc w:val="right"/>
              <w:rPr>
                <w:sz w:val="16"/>
              </w:rPr>
            </w:pPr>
            <w:r w:rsidRPr="00387329">
              <w:rPr>
                <w:sz w:val="16"/>
              </w:rPr>
              <w:t>60</w:t>
            </w:r>
          </w:p>
        </w:tc>
        <w:tc>
          <w:tcPr>
            <w:tcW w:w="507" w:type="pct"/>
            <w:shd w:val="clear" w:color="auto" w:fill="D9D9D9" w:themeFill="background1" w:themeFillShade="D9"/>
          </w:tcPr>
          <w:p w14:paraId="5FEF60BD" w14:textId="1A7166C0" w:rsidR="00084455" w:rsidRPr="00387329" w:rsidRDefault="00084455" w:rsidP="0028492A">
            <w:pPr>
              <w:pStyle w:val="TableText"/>
              <w:jc w:val="right"/>
              <w:rPr>
                <w:sz w:val="16"/>
              </w:rPr>
            </w:pPr>
            <w:r w:rsidRPr="00387329">
              <w:rPr>
                <w:sz w:val="16"/>
              </w:rPr>
              <w:t>58</w:t>
            </w:r>
          </w:p>
        </w:tc>
      </w:tr>
      <w:tr w:rsidR="00084455" w:rsidRPr="00387329" w14:paraId="740594C2" w14:textId="77777777" w:rsidTr="0028492A">
        <w:trPr>
          <w:trHeight w:val="20"/>
        </w:trPr>
        <w:tc>
          <w:tcPr>
            <w:tcW w:w="943" w:type="pct"/>
            <w:tcBorders>
              <w:top w:val="nil"/>
              <w:left w:val="nil"/>
              <w:bottom w:val="single" w:sz="4" w:space="0" w:color="auto"/>
              <w:right w:val="nil"/>
            </w:tcBorders>
            <w:noWrap/>
            <w:hideMark/>
          </w:tcPr>
          <w:p w14:paraId="450A3E2B" w14:textId="77777777" w:rsidR="00084455" w:rsidRPr="00387329" w:rsidRDefault="00084455" w:rsidP="0028492A">
            <w:pPr>
              <w:pStyle w:val="TableText"/>
              <w:rPr>
                <w:sz w:val="16"/>
              </w:rPr>
            </w:pPr>
            <w:r w:rsidRPr="00387329">
              <w:rPr>
                <w:sz w:val="16"/>
              </w:rPr>
              <w:t>AR-DRG version</w:t>
            </w:r>
          </w:p>
        </w:tc>
        <w:tc>
          <w:tcPr>
            <w:tcW w:w="507" w:type="pct"/>
            <w:tcBorders>
              <w:top w:val="nil"/>
              <w:left w:val="nil"/>
              <w:bottom w:val="single" w:sz="4" w:space="0" w:color="auto"/>
              <w:right w:val="nil"/>
            </w:tcBorders>
            <w:noWrap/>
            <w:hideMark/>
          </w:tcPr>
          <w:p w14:paraId="34FFD402" w14:textId="77777777" w:rsidR="00084455" w:rsidRPr="00387329" w:rsidRDefault="00084455" w:rsidP="0028492A">
            <w:pPr>
              <w:pStyle w:val="TableText"/>
              <w:jc w:val="right"/>
              <w:rPr>
                <w:sz w:val="16"/>
              </w:rPr>
            </w:pPr>
            <w:r w:rsidRPr="00387329">
              <w:rPr>
                <w:sz w:val="16"/>
              </w:rPr>
              <w:t>4.2</w:t>
            </w:r>
          </w:p>
        </w:tc>
        <w:tc>
          <w:tcPr>
            <w:tcW w:w="507" w:type="pct"/>
            <w:tcBorders>
              <w:top w:val="nil"/>
              <w:left w:val="nil"/>
              <w:bottom w:val="single" w:sz="4" w:space="0" w:color="auto"/>
              <w:right w:val="nil"/>
            </w:tcBorders>
            <w:noWrap/>
            <w:hideMark/>
          </w:tcPr>
          <w:p w14:paraId="55752924" w14:textId="77777777" w:rsidR="00084455" w:rsidRPr="00387329" w:rsidRDefault="00084455" w:rsidP="0028492A">
            <w:pPr>
              <w:pStyle w:val="TableText"/>
              <w:jc w:val="right"/>
              <w:rPr>
                <w:sz w:val="16"/>
              </w:rPr>
            </w:pPr>
            <w:r w:rsidRPr="00387329">
              <w:rPr>
                <w:sz w:val="16"/>
              </w:rPr>
              <w:t>4.2</w:t>
            </w:r>
          </w:p>
        </w:tc>
        <w:tc>
          <w:tcPr>
            <w:tcW w:w="507" w:type="pct"/>
            <w:tcBorders>
              <w:top w:val="nil"/>
              <w:left w:val="nil"/>
              <w:bottom w:val="single" w:sz="4" w:space="0" w:color="auto"/>
              <w:right w:val="nil"/>
            </w:tcBorders>
            <w:noWrap/>
            <w:hideMark/>
          </w:tcPr>
          <w:p w14:paraId="0AB830CF" w14:textId="77777777" w:rsidR="00084455" w:rsidRPr="00387329" w:rsidRDefault="00084455" w:rsidP="0028492A">
            <w:pPr>
              <w:pStyle w:val="TableText"/>
              <w:jc w:val="right"/>
              <w:rPr>
                <w:sz w:val="16"/>
              </w:rPr>
            </w:pPr>
            <w:r w:rsidRPr="00387329">
              <w:rPr>
                <w:sz w:val="16"/>
              </w:rPr>
              <w:t>4.2</w:t>
            </w:r>
          </w:p>
        </w:tc>
        <w:tc>
          <w:tcPr>
            <w:tcW w:w="507" w:type="pct"/>
            <w:tcBorders>
              <w:top w:val="nil"/>
              <w:left w:val="nil"/>
              <w:bottom w:val="single" w:sz="4" w:space="0" w:color="auto"/>
              <w:right w:val="nil"/>
            </w:tcBorders>
            <w:noWrap/>
            <w:hideMark/>
          </w:tcPr>
          <w:p w14:paraId="573529CC" w14:textId="77777777" w:rsidR="00084455" w:rsidRPr="00387329" w:rsidRDefault="00084455" w:rsidP="0028492A">
            <w:pPr>
              <w:pStyle w:val="TableText"/>
              <w:jc w:val="right"/>
              <w:rPr>
                <w:sz w:val="16"/>
              </w:rPr>
            </w:pPr>
            <w:r w:rsidRPr="00387329">
              <w:rPr>
                <w:sz w:val="16"/>
              </w:rPr>
              <w:t>5.1</w:t>
            </w:r>
          </w:p>
        </w:tc>
        <w:tc>
          <w:tcPr>
            <w:tcW w:w="507" w:type="pct"/>
            <w:tcBorders>
              <w:top w:val="nil"/>
              <w:left w:val="nil"/>
              <w:bottom w:val="single" w:sz="4" w:space="0" w:color="auto"/>
              <w:right w:val="nil"/>
            </w:tcBorders>
            <w:noWrap/>
            <w:hideMark/>
          </w:tcPr>
          <w:p w14:paraId="2D916495" w14:textId="77777777" w:rsidR="00084455" w:rsidRPr="00387329" w:rsidRDefault="00084455" w:rsidP="0028492A">
            <w:pPr>
              <w:pStyle w:val="TableText"/>
              <w:jc w:val="right"/>
              <w:rPr>
                <w:sz w:val="16"/>
              </w:rPr>
            </w:pPr>
            <w:r w:rsidRPr="00387329">
              <w:rPr>
                <w:sz w:val="16"/>
              </w:rPr>
              <w:t>6.0x</w:t>
            </w:r>
          </w:p>
        </w:tc>
        <w:tc>
          <w:tcPr>
            <w:tcW w:w="507" w:type="pct"/>
            <w:tcBorders>
              <w:top w:val="nil"/>
              <w:left w:val="nil"/>
              <w:bottom w:val="single" w:sz="4" w:space="0" w:color="auto"/>
              <w:right w:val="nil"/>
            </w:tcBorders>
            <w:noWrap/>
            <w:hideMark/>
          </w:tcPr>
          <w:p w14:paraId="3DCC6A11" w14:textId="77777777" w:rsidR="00084455" w:rsidRPr="00387329" w:rsidRDefault="00084455" w:rsidP="0028492A">
            <w:pPr>
              <w:pStyle w:val="TableText"/>
              <w:jc w:val="right"/>
              <w:rPr>
                <w:sz w:val="16"/>
              </w:rPr>
            </w:pPr>
            <w:r w:rsidRPr="00387329">
              <w:rPr>
                <w:sz w:val="16"/>
              </w:rPr>
              <w:t>6.0x</w:t>
            </w:r>
          </w:p>
        </w:tc>
        <w:tc>
          <w:tcPr>
            <w:tcW w:w="507" w:type="pct"/>
            <w:tcBorders>
              <w:top w:val="nil"/>
              <w:left w:val="nil"/>
              <w:bottom w:val="single" w:sz="4" w:space="0" w:color="auto"/>
              <w:right w:val="nil"/>
            </w:tcBorders>
            <w:noWrap/>
            <w:hideMark/>
          </w:tcPr>
          <w:p w14:paraId="660DE205" w14:textId="77777777" w:rsidR="00084455" w:rsidRPr="00387329" w:rsidRDefault="00084455" w:rsidP="0028492A">
            <w:pPr>
              <w:pStyle w:val="TableText"/>
              <w:jc w:val="right"/>
              <w:rPr>
                <w:sz w:val="16"/>
              </w:rPr>
            </w:pPr>
            <w:r w:rsidRPr="00387329">
              <w:rPr>
                <w:sz w:val="16"/>
              </w:rPr>
              <w:t>6.0x</w:t>
            </w:r>
          </w:p>
        </w:tc>
        <w:tc>
          <w:tcPr>
            <w:tcW w:w="507" w:type="pct"/>
            <w:tcBorders>
              <w:top w:val="nil"/>
              <w:left w:val="nil"/>
              <w:bottom w:val="single" w:sz="4" w:space="0" w:color="auto"/>
              <w:right w:val="nil"/>
            </w:tcBorders>
            <w:shd w:val="clear" w:color="auto" w:fill="D9D9D9" w:themeFill="background1" w:themeFillShade="D9"/>
          </w:tcPr>
          <w:p w14:paraId="3DA4BD79" w14:textId="77777777" w:rsidR="00084455" w:rsidRPr="00387329" w:rsidRDefault="00084455" w:rsidP="0028492A">
            <w:pPr>
              <w:pStyle w:val="TableText"/>
              <w:jc w:val="right"/>
              <w:rPr>
                <w:sz w:val="16"/>
              </w:rPr>
            </w:pPr>
            <w:r w:rsidRPr="00387329">
              <w:rPr>
                <w:sz w:val="16"/>
              </w:rPr>
              <w:t>8.0</w:t>
            </w:r>
          </w:p>
        </w:tc>
      </w:tr>
    </w:tbl>
    <w:p w14:paraId="1528D376" w14:textId="77777777" w:rsidR="00084455" w:rsidRPr="00387329" w:rsidRDefault="00084455" w:rsidP="00084455">
      <w:pPr>
        <w:rPr>
          <w:sz w:val="18"/>
        </w:rPr>
      </w:pPr>
      <w:r w:rsidRPr="00387329">
        <w:rPr>
          <w:sz w:val="18"/>
        </w:rPr>
        <w:t>* Participation rate refers to the percentage of sample separations compared to the population separations.</w:t>
      </w:r>
    </w:p>
    <w:p w14:paraId="7BE1516E" w14:textId="381CFA9A" w:rsidR="00162AE0" w:rsidRPr="00500B1C" w:rsidRDefault="00084455" w:rsidP="006E4F88">
      <w:pPr>
        <w:pStyle w:val="Heading2"/>
      </w:pPr>
      <w:bookmarkStart w:id="74" w:name="_Toc435611213"/>
      <w:bookmarkStart w:id="75" w:name="_Toc496857553"/>
      <w:r>
        <w:t>Private hospital</w:t>
      </w:r>
      <w:r w:rsidR="00162AE0">
        <w:t xml:space="preserve"> statistics for Round 20 (2015-16)</w:t>
      </w:r>
      <w:bookmarkEnd w:id="74"/>
      <w:bookmarkEnd w:id="75"/>
    </w:p>
    <w:p w14:paraId="0DFDEEB6" w14:textId="6BDA681A" w:rsidR="00162AE0" w:rsidRDefault="00162AE0" w:rsidP="00E153D4">
      <w:r>
        <w:t>ABS</w:t>
      </w:r>
      <w:r>
        <w:rPr>
          <w:rStyle w:val="FootnoteReference"/>
          <w:rFonts w:ascii="Georgia" w:hAnsi="Georgia"/>
        </w:rPr>
        <w:footnoteReference w:id="3"/>
      </w:r>
      <w:r>
        <w:t xml:space="preserve"> reported that there were 630 private hospitals operating in Australia in 2015-16, a net increase of 18 from Round 18 in 2013-14. There were three additional </w:t>
      </w:r>
      <w:r w:rsidR="00713FCD">
        <w:t xml:space="preserve">acute </w:t>
      </w:r>
      <w:r>
        <w:t xml:space="preserve">and psychiatric hospitals and </w:t>
      </w:r>
      <w:r w:rsidR="00AD6694">
        <w:t xml:space="preserve">15 </w:t>
      </w:r>
      <w:r>
        <w:t xml:space="preserve">additional free-standing day hospitals in 2015-16 compared to Round 18. </w:t>
      </w:r>
    </w:p>
    <w:p w14:paraId="61BB786F" w14:textId="72660648" w:rsidR="00162AE0" w:rsidRDefault="00162AE0" w:rsidP="00E153D4">
      <w:r>
        <w:t xml:space="preserve">There were 33,074 beds and chairs available in private hospitals in 2015-16. Acute and psychiatric hospitals accounted for </w:t>
      </w:r>
      <w:r w:rsidR="00AD6694">
        <w:t>29,922</w:t>
      </w:r>
      <w:r>
        <w:t xml:space="preserve"> or 9</w:t>
      </w:r>
      <w:r w:rsidR="00E359A8">
        <w:t>1</w:t>
      </w:r>
      <w:r w:rsidR="00713FCD">
        <w:t xml:space="preserve"> per cent</w:t>
      </w:r>
      <w:r>
        <w:t xml:space="preserve"> of all beds and chairs, with the remaining 3,152 located in free-standing day hospital facilities.</w:t>
      </w:r>
    </w:p>
    <w:p w14:paraId="70081CA1" w14:textId="161F9EC8" w:rsidR="00162AE0" w:rsidRDefault="00162AE0" w:rsidP="00E153D4">
      <w:r>
        <w:t>There were over 4.7 million patient separations in 2015-16, with 75</w:t>
      </w:r>
      <w:r w:rsidR="00713FCD">
        <w:t xml:space="preserve"> per cent</w:t>
      </w:r>
      <w:r>
        <w:t xml:space="preserve"> of those separations reported by acute and psychiatric hospitals. Total patient separations increased by 8.3</w:t>
      </w:r>
      <w:r w:rsidR="00713FCD">
        <w:t xml:space="preserve"> per cent</w:t>
      </w:r>
      <w:r>
        <w:t xml:space="preserve"> from 2013-14 to 2015-16.</w:t>
      </w:r>
    </w:p>
    <w:p w14:paraId="023F3252" w14:textId="15A33CDE" w:rsidR="00A22971" w:rsidRDefault="00162AE0" w:rsidP="00A22971">
      <w:pPr>
        <w:spacing w:after="240"/>
      </w:pPr>
      <w:r>
        <w:t>Private hospitals provided close to 10.7 million patient days of care in 2015-16. Acute and psychiatric hospitals provided 9.5 million, or 8</w:t>
      </w:r>
      <w:r w:rsidR="00AD6694">
        <w:t>9</w:t>
      </w:r>
      <w:r w:rsidR="00E359A8">
        <w:t xml:space="preserve"> </w:t>
      </w:r>
      <w:r w:rsidR="00713FCD">
        <w:t>per cent</w:t>
      </w:r>
      <w:r>
        <w:t xml:space="preserve"> of all patient days. Within acute and psychiatric hospitals, overnight-stay patients accounted for 7.4 million patient days and same</w:t>
      </w:r>
      <w:r w:rsidR="005D0441">
        <w:noBreakHyphen/>
      </w:r>
      <w:r>
        <w:t>day patients accounted for a further 2.2 million.</w:t>
      </w:r>
    </w:p>
    <w:p w14:paraId="641581C9" w14:textId="77777777" w:rsidR="00A22971" w:rsidRDefault="00A22971">
      <w:pPr>
        <w:spacing w:after="0"/>
      </w:pPr>
      <w:r>
        <w:br w:type="page"/>
      </w:r>
    </w:p>
    <w:p w14:paraId="6166B734" w14:textId="5016C0A9" w:rsidR="00162AE0" w:rsidRPr="009B1343" w:rsidRDefault="00A34653" w:rsidP="00B8705E">
      <w:pPr>
        <w:pStyle w:val="Heading2"/>
        <w:spacing w:before="0"/>
      </w:pPr>
      <w:bookmarkStart w:id="76" w:name="_Toc497732621"/>
      <w:bookmarkStart w:id="77" w:name="_Toc497736252"/>
      <w:bookmarkStart w:id="78" w:name="_Toc497736440"/>
      <w:bookmarkStart w:id="79" w:name="_Toc435611214"/>
      <w:bookmarkStart w:id="80" w:name="_Ref404224472"/>
      <w:bookmarkStart w:id="81" w:name="_Toc401133808"/>
      <w:bookmarkStart w:id="82" w:name="_Toc401133774"/>
      <w:bookmarkStart w:id="83" w:name="_Ref496780998"/>
      <w:bookmarkStart w:id="84" w:name="_Toc496857554"/>
      <w:bookmarkStart w:id="85" w:name="_Ref497146926"/>
      <w:bookmarkStart w:id="86" w:name="_Ref497146931"/>
      <w:bookmarkStart w:id="87" w:name="_Ref497146935"/>
      <w:bookmarkStart w:id="88" w:name="_Ref497395283"/>
      <w:bookmarkEnd w:id="76"/>
      <w:bookmarkEnd w:id="77"/>
      <w:bookmarkEnd w:id="78"/>
      <w:r w:rsidRPr="009B1343">
        <w:lastRenderedPageBreak/>
        <w:t>Change</w:t>
      </w:r>
      <w:r w:rsidR="00415AAE" w:rsidRPr="009B1343">
        <w:t>s</w:t>
      </w:r>
      <w:r w:rsidRPr="009B1343">
        <w:t xml:space="preserve"> in Round 20</w:t>
      </w:r>
      <w:bookmarkEnd w:id="79"/>
      <w:bookmarkEnd w:id="80"/>
      <w:bookmarkEnd w:id="81"/>
      <w:bookmarkEnd w:id="82"/>
      <w:bookmarkEnd w:id="83"/>
      <w:bookmarkEnd w:id="84"/>
      <w:bookmarkEnd w:id="85"/>
      <w:bookmarkEnd w:id="86"/>
      <w:bookmarkEnd w:id="87"/>
      <w:bookmarkEnd w:id="88"/>
    </w:p>
    <w:p w14:paraId="0E8BC4E2" w14:textId="1E6EC9EC" w:rsidR="00C54AB0" w:rsidRPr="00512D64" w:rsidRDefault="00C54AB0" w:rsidP="00C54AB0">
      <w:r>
        <w:t xml:space="preserve">There have been some </w:t>
      </w:r>
      <w:r w:rsidR="00EB1CC4">
        <w:t xml:space="preserve">key </w:t>
      </w:r>
      <w:r>
        <w:t xml:space="preserve">changes from Round 18 to Round 20 which are described </w:t>
      </w:r>
      <w:r w:rsidR="00C15004">
        <w:t>below</w:t>
      </w:r>
      <w:r>
        <w:t xml:space="preserve">. </w:t>
      </w:r>
    </w:p>
    <w:p w14:paraId="73E1BDEE" w14:textId="77777777" w:rsidR="00B8705E" w:rsidRDefault="00B8705E" w:rsidP="00B8705E">
      <w:pPr>
        <w:pStyle w:val="Heading3"/>
      </w:pPr>
      <w:r>
        <w:t>P</w:t>
      </w:r>
      <w:r w:rsidRPr="005D7320">
        <w:t>articipants self-costing</w:t>
      </w:r>
    </w:p>
    <w:p w14:paraId="36403C70" w14:textId="77777777" w:rsidR="00B8705E" w:rsidRDefault="00B8705E" w:rsidP="00B8705E">
      <w:r>
        <w:t xml:space="preserve">This was the first time that all participants were required to undertake their own costing. The primary reason being that by increasing hospital involvement, the quality of the private sector NHCDC would improve and result in building long-term capacity in the sector to undertake patient level costing. Participants advised IHPA of how they were going to cost, what software they would be using to cost and if they were going to contract the process out to a third party. IHPA assessed the participant’s processes to ensure the integrity and reliability of the data for the private sector NHCDC.  </w:t>
      </w:r>
    </w:p>
    <w:p w14:paraId="17AD5B8B" w14:textId="4D120DC3" w:rsidR="00C54AB0" w:rsidRPr="005D7320" w:rsidRDefault="00C54AB0" w:rsidP="00C54AB0">
      <w:pPr>
        <w:pStyle w:val="Heading3"/>
      </w:pPr>
      <w:r w:rsidRPr="005D7320">
        <w:t xml:space="preserve">Targeted participants </w:t>
      </w:r>
    </w:p>
    <w:p w14:paraId="50933916" w14:textId="449185DE" w:rsidR="005D4162" w:rsidRPr="000133B0" w:rsidRDefault="00D4028A" w:rsidP="005D4162">
      <w:r>
        <w:t xml:space="preserve">In previous </w:t>
      </w:r>
      <w:r w:rsidR="005D0441">
        <w:t>Rounds</w:t>
      </w:r>
      <w:r w:rsidR="00C54AB0">
        <w:t>, hospitals that wished to participate were required to submit an Expression of Intere</w:t>
      </w:r>
      <w:r>
        <w:t xml:space="preserve">st (EOI) to participate in the </w:t>
      </w:r>
      <w:r w:rsidR="005D0441">
        <w:t>Round</w:t>
      </w:r>
      <w:r w:rsidR="00C54AB0">
        <w:t xml:space="preserve">. However, for Round 20, IHPA invited a targeted group of hospitals to participate.  </w:t>
      </w:r>
      <w:r w:rsidR="00C54AB0" w:rsidRPr="00166692">
        <w:t>These hospitals represent</w:t>
      </w:r>
      <w:r w:rsidR="00C54AB0">
        <w:t xml:space="preserve"> up to</w:t>
      </w:r>
      <w:r w:rsidR="00C54AB0" w:rsidRPr="00166692">
        <w:t xml:space="preserve"> 72 per</w:t>
      </w:r>
      <w:r w:rsidR="00C54AB0">
        <w:t xml:space="preserve"> </w:t>
      </w:r>
      <w:r w:rsidR="00C54AB0" w:rsidRPr="00166692">
        <w:t>cent of overnight private acute activity.</w:t>
      </w:r>
      <w:r w:rsidR="00C54AB0">
        <w:t xml:space="preserve"> </w:t>
      </w:r>
      <w:r w:rsidR="005D4162">
        <w:t>Participants were required to submit data that represents at least 90 per cent</w:t>
      </w:r>
      <w:r w:rsidR="005D4162" w:rsidRPr="000133B0">
        <w:t xml:space="preserve"> of the submitting hospital establishment’s total in-scope activity, which is evaluated as a ratio of total in</w:t>
      </w:r>
      <w:r w:rsidR="00C15004">
        <w:noBreakHyphen/>
      </w:r>
      <w:r w:rsidR="005D4162" w:rsidRPr="000133B0">
        <w:t xml:space="preserve">scope activity submitted for the Private Hospital Data Bureau </w:t>
      </w:r>
      <w:r w:rsidR="005D4162">
        <w:t xml:space="preserve">(PHDB) </w:t>
      </w:r>
      <w:r w:rsidR="005D4162" w:rsidRPr="000133B0">
        <w:t xml:space="preserve">collection in </w:t>
      </w:r>
      <w:r w:rsidR="005D4162">
        <w:t>2015-16</w:t>
      </w:r>
      <w:r w:rsidR="005D4162" w:rsidRPr="000133B0">
        <w:t>.</w:t>
      </w:r>
    </w:p>
    <w:p w14:paraId="4BF42839" w14:textId="047132E2" w:rsidR="00F36C26" w:rsidRPr="00553961" w:rsidRDefault="005D4162" w:rsidP="00F36C26">
      <w:pPr>
        <w:pStyle w:val="Heading3"/>
      </w:pPr>
      <w:r>
        <w:t>Complete linking of activity and cost</w:t>
      </w:r>
    </w:p>
    <w:p w14:paraId="466FD967" w14:textId="24407520" w:rsidR="00F36C26" w:rsidRDefault="005D4162" w:rsidP="00E11E94">
      <w:pPr>
        <w:spacing w:after="240"/>
        <w:rPr>
          <w:b/>
        </w:rPr>
      </w:pPr>
      <w:r w:rsidRPr="00553961">
        <w:t xml:space="preserve">IHPA requested that all hospitals submit </w:t>
      </w:r>
      <w:r w:rsidR="00C15004">
        <w:t xml:space="preserve">two files for each hospital containing </w:t>
      </w:r>
      <w:r w:rsidRPr="00553961">
        <w:t>activity and cost data</w:t>
      </w:r>
      <w:r w:rsidR="00C15004">
        <w:t xml:space="preserve"> and IHPA required </w:t>
      </w:r>
      <w:r w:rsidRPr="00553961">
        <w:t>100 per cent linkage between files</w:t>
      </w:r>
      <w:r w:rsidR="00C15004">
        <w:t>.</w:t>
      </w:r>
      <w:r w:rsidRPr="00553961">
        <w:t xml:space="preserve"> </w:t>
      </w:r>
      <w:r w:rsidR="00C15004">
        <w:t>There</w:t>
      </w:r>
      <w:r w:rsidR="00C15004" w:rsidRPr="00553961">
        <w:t xml:space="preserve"> </w:t>
      </w:r>
      <w:r w:rsidR="00F36C26" w:rsidRPr="00553961">
        <w:t xml:space="preserve">was less reliance on the </w:t>
      </w:r>
      <w:r w:rsidR="00D81F1E">
        <w:t>HCP</w:t>
      </w:r>
      <w:r>
        <w:t xml:space="preserve"> </w:t>
      </w:r>
      <w:r w:rsidR="00F36C26" w:rsidRPr="00553961">
        <w:t xml:space="preserve">and </w:t>
      </w:r>
      <w:r w:rsidR="00D81F1E">
        <w:t>PHDB</w:t>
      </w:r>
      <w:r>
        <w:t xml:space="preserve"> data</w:t>
      </w:r>
      <w:r w:rsidR="00F36C26" w:rsidRPr="00553961">
        <w:t xml:space="preserve">. In previous Rounds, the participants were provided the option to draw from the HCP and PHDB data sets as part of their submissions, however there are a number of historical issues with the PHDB and HCP datasets. </w:t>
      </w:r>
    </w:p>
    <w:p w14:paraId="632C6EF3" w14:textId="08728885" w:rsidR="00C54AB0" w:rsidRPr="005D7320" w:rsidRDefault="005D4162" w:rsidP="00C54AB0">
      <w:pPr>
        <w:pStyle w:val="Heading3"/>
      </w:pPr>
      <w:r>
        <w:t>Update to</w:t>
      </w:r>
      <w:r w:rsidR="00C54AB0" w:rsidRPr="005D7320">
        <w:t xml:space="preserve"> </w:t>
      </w:r>
      <w:r w:rsidR="0092740E">
        <w:t>AR</w:t>
      </w:r>
      <w:r w:rsidR="0092740E">
        <w:noBreakHyphen/>
      </w:r>
      <w:r w:rsidR="00C54AB0" w:rsidRPr="005D7320">
        <w:t>DRG version 8.0</w:t>
      </w:r>
    </w:p>
    <w:p w14:paraId="66696B4D" w14:textId="64B5DAFC" w:rsidR="00C54AB0" w:rsidRDefault="00C54AB0" w:rsidP="00C54AB0">
      <w:r>
        <w:t>IHPA</w:t>
      </w:r>
      <w:r w:rsidR="00C15004">
        <w:t xml:space="preserve"> and participants</w:t>
      </w:r>
      <w:r>
        <w:t xml:space="preserve"> agreed that </w:t>
      </w:r>
      <w:r w:rsidR="000159DD">
        <w:t>th</w:t>
      </w:r>
      <w:r w:rsidR="00E11E94">
        <w:t>is</w:t>
      </w:r>
      <w:r w:rsidR="000159DD">
        <w:t xml:space="preserve"> </w:t>
      </w:r>
      <w:r>
        <w:t>report would be in AR</w:t>
      </w:r>
      <w:r>
        <w:noBreakHyphen/>
        <w:t>DRG version</w:t>
      </w:r>
      <w:r w:rsidR="00E11E94">
        <w:t> </w:t>
      </w:r>
      <w:r>
        <w:t xml:space="preserve">8.0, with additional cost weight tables included </w:t>
      </w:r>
      <w:r w:rsidR="005D0441">
        <w:t>as appendices in</w:t>
      </w:r>
      <w:r>
        <w:t xml:space="preserve"> AR</w:t>
      </w:r>
      <w:r>
        <w:noBreakHyphen/>
        <w:t>DRG versions 6.0x and 7.0.</w:t>
      </w:r>
      <w:r w:rsidR="008C27E6">
        <w:t xml:space="preserve"> </w:t>
      </w:r>
      <w:r w:rsidR="000159DD">
        <w:t xml:space="preserve">The </w:t>
      </w:r>
      <w:r>
        <w:t>Round 18 dataset was re-grouped from AR</w:t>
      </w:r>
      <w:r>
        <w:noBreakHyphen/>
        <w:t>DRG vers</w:t>
      </w:r>
      <w:r w:rsidR="00A45C4C">
        <w:t xml:space="preserve">ion </w:t>
      </w:r>
      <w:proofErr w:type="gramStart"/>
      <w:r w:rsidR="00A45C4C">
        <w:t>6.0x</w:t>
      </w:r>
      <w:proofErr w:type="gramEnd"/>
      <w:r w:rsidR="00A45C4C">
        <w:t xml:space="preserve"> to 8.0</w:t>
      </w:r>
      <w:r w:rsidR="005D0441">
        <w:t>, however</w:t>
      </w:r>
      <w:r w:rsidR="00A45C4C">
        <w:t xml:space="preserve"> 10 per cent</w:t>
      </w:r>
      <w:r>
        <w:t xml:space="preserve"> of separations </w:t>
      </w:r>
      <w:r w:rsidR="005D0441">
        <w:t>were unable to be re</w:t>
      </w:r>
      <w:r w:rsidR="005D0441">
        <w:noBreakHyphen/>
        <w:t>grouped</w:t>
      </w:r>
      <w:r>
        <w:t xml:space="preserve"> </w:t>
      </w:r>
      <w:r w:rsidR="005D0441">
        <w:t>as</w:t>
      </w:r>
      <w:r>
        <w:t xml:space="preserve"> </w:t>
      </w:r>
      <w:r w:rsidR="005D0441">
        <w:t>the required</w:t>
      </w:r>
      <w:r>
        <w:t xml:space="preserve"> data fields </w:t>
      </w:r>
      <w:r w:rsidR="005D0441">
        <w:t>were not</w:t>
      </w:r>
      <w:r>
        <w:t xml:space="preserve"> available. The population adjustment was re-calculated to accommodate for this </w:t>
      </w:r>
      <w:r w:rsidR="005D0441">
        <w:t>decrease in separations to</w:t>
      </w:r>
      <w:r>
        <w:t xml:space="preserve"> </w:t>
      </w:r>
      <w:r w:rsidR="005D0441">
        <w:t>reflect</w:t>
      </w:r>
      <w:r>
        <w:t xml:space="preserve"> the Round 18 population.</w:t>
      </w:r>
    </w:p>
    <w:p w14:paraId="75464F52" w14:textId="2F9ED6F4" w:rsidR="00C54AB0" w:rsidRPr="005D7320" w:rsidRDefault="00B8705E" w:rsidP="00C54AB0">
      <w:pPr>
        <w:pStyle w:val="Heading3"/>
      </w:pPr>
      <w:r>
        <w:t>Data collection facilitated by IHPA</w:t>
      </w:r>
    </w:p>
    <w:p w14:paraId="255E01A4" w14:textId="43BB57DE" w:rsidR="00C54AB0" w:rsidRDefault="00FB7EF0" w:rsidP="00A004D9">
      <w:r>
        <w:t xml:space="preserve">IHPA facilitated the data collection process, which involved stakeholder engagement, validation, quality assurance and data set consolidation. Consultants were engaged to undertake data analysis and reporting. </w:t>
      </w:r>
    </w:p>
    <w:p w14:paraId="44EB01A6" w14:textId="77777777" w:rsidR="00C54AB0" w:rsidRPr="005D7320" w:rsidRDefault="00C54AB0" w:rsidP="00C54AB0">
      <w:pPr>
        <w:pStyle w:val="Heading3"/>
      </w:pPr>
      <w:bookmarkStart w:id="89" w:name="_Toc497200437"/>
      <w:bookmarkStart w:id="90" w:name="_Toc497200439"/>
      <w:bookmarkEnd w:id="89"/>
      <w:bookmarkEnd w:id="90"/>
      <w:r w:rsidRPr="005D7320">
        <w:t>Market share adjustment changes</w:t>
      </w:r>
    </w:p>
    <w:p w14:paraId="06AB0F94" w14:textId="061D4AB5" w:rsidR="00C54AB0" w:rsidRPr="003E0D81" w:rsidRDefault="00D33479" w:rsidP="00C54AB0">
      <w:r>
        <w:t>T</w:t>
      </w:r>
      <w:r w:rsidR="00C54AB0">
        <w:t xml:space="preserve">he market share adjustment </w:t>
      </w:r>
      <w:r>
        <w:t xml:space="preserve">was changed </w:t>
      </w:r>
      <w:r w:rsidR="00C54AB0">
        <w:t xml:space="preserve">given </w:t>
      </w:r>
      <w:r>
        <w:t>the</w:t>
      </w:r>
      <w:r w:rsidR="00C54AB0">
        <w:t xml:space="preserve"> change in participant</w:t>
      </w:r>
      <w:r w:rsidR="00E11E94">
        <w:t xml:space="preserve"> population</w:t>
      </w:r>
      <w:r w:rsidR="00C54AB0">
        <w:t xml:space="preserve">. </w:t>
      </w:r>
      <w:r w:rsidR="00296E3C">
        <w:t>T</w:t>
      </w:r>
      <w:r w:rsidR="00296E3C" w:rsidRPr="00296E3C">
        <w:t>he market share</w:t>
      </w:r>
      <w:r w:rsidR="00296E3C">
        <w:t xml:space="preserve"> was calculated</w:t>
      </w:r>
      <w:r w:rsidR="00296E3C" w:rsidRPr="00296E3C">
        <w:t xml:space="preserve"> based on each hospital groups’ PHDB separations as a share of the participating groups’ PHDB separations. In </w:t>
      </w:r>
      <w:r w:rsidR="00296E3C">
        <w:t>previous Rounds</w:t>
      </w:r>
      <w:r w:rsidR="00296E3C" w:rsidRPr="00296E3C">
        <w:t xml:space="preserve">, the PHDB separations for the entire private sector population were considered, regardless of participation. </w:t>
      </w:r>
      <w:r w:rsidR="00C54AB0">
        <w:t xml:space="preserve"> The Round 20 approach better reflects the population of participants and ensure</w:t>
      </w:r>
      <w:r w:rsidR="00296E3C">
        <w:t>s</w:t>
      </w:r>
      <w:r w:rsidR="00C54AB0">
        <w:t xml:space="preserve"> each group is appropriately represented.</w:t>
      </w:r>
    </w:p>
    <w:p w14:paraId="1E4AB001" w14:textId="5F91156F" w:rsidR="00BF425E" w:rsidRDefault="00C92920" w:rsidP="002647B1">
      <w:pPr>
        <w:pStyle w:val="Heading2"/>
      </w:pPr>
      <w:r>
        <w:lastRenderedPageBreak/>
        <w:t>Key considerations</w:t>
      </w:r>
    </w:p>
    <w:p w14:paraId="70F3B5CA" w14:textId="722B7C67" w:rsidR="00DF5AA8" w:rsidRDefault="00DF5AA8" w:rsidP="00DF5AA8">
      <w:bookmarkStart w:id="91" w:name="_Toc356304670"/>
      <w:bookmarkStart w:id="92" w:name="_Toc356304671"/>
      <w:bookmarkStart w:id="93" w:name="_Toc356304672"/>
      <w:bookmarkStart w:id="94" w:name="_Toc356304673"/>
      <w:bookmarkStart w:id="95" w:name="_Toc356304674"/>
      <w:bookmarkStart w:id="96" w:name="_Toc356304675"/>
      <w:bookmarkStart w:id="97" w:name="_Toc356304676"/>
      <w:bookmarkStart w:id="98" w:name="_Toc356304677"/>
      <w:bookmarkStart w:id="99" w:name="_Toc496857556"/>
      <w:bookmarkEnd w:id="91"/>
      <w:bookmarkEnd w:id="92"/>
      <w:bookmarkEnd w:id="93"/>
      <w:bookmarkEnd w:id="94"/>
      <w:bookmarkEnd w:id="95"/>
      <w:bookmarkEnd w:id="96"/>
      <w:bookmarkEnd w:id="97"/>
      <w:bookmarkEnd w:id="98"/>
      <w:r>
        <w:t>The following areas can have a material impact on the reported costs and cost weights.</w:t>
      </w:r>
      <w:r w:rsidR="002622B4" w:rsidRPr="002622B4">
        <w:t xml:space="preserve"> </w:t>
      </w:r>
      <w:r w:rsidR="002622B4">
        <w:t>These should be considered, in addition to the changes in Round 20, when interpreting the information in this report:</w:t>
      </w:r>
    </w:p>
    <w:p w14:paraId="2A946D62" w14:textId="624C794D" w:rsidR="00E2235F" w:rsidRPr="00964110" w:rsidRDefault="002622B4" w:rsidP="00A22971">
      <w:pPr>
        <w:pStyle w:val="ListBullet"/>
        <w:rPr>
          <w:lang w:val="en-GB"/>
        </w:rPr>
      </w:pPr>
      <w:r>
        <w:rPr>
          <w:lang w:val="en-GB"/>
        </w:rPr>
        <w:t xml:space="preserve">Application of </w:t>
      </w:r>
      <w:r w:rsidR="00E2235F">
        <w:rPr>
          <w:lang w:val="en-GB"/>
        </w:rPr>
        <w:t xml:space="preserve">the </w:t>
      </w:r>
      <w:r w:rsidR="007C3059">
        <w:rPr>
          <w:lang w:val="en-GB"/>
        </w:rPr>
        <w:t>AHPCS</w:t>
      </w:r>
      <w:r w:rsidR="00E2235F" w:rsidRPr="00964110">
        <w:rPr>
          <w:lang w:val="en-GB"/>
        </w:rPr>
        <w:t xml:space="preserve"> v3.1</w:t>
      </w:r>
      <w:r w:rsidR="00A22971">
        <w:rPr>
          <w:lang w:val="en-GB"/>
        </w:rPr>
        <w:t>.</w:t>
      </w:r>
    </w:p>
    <w:p w14:paraId="1B351448" w14:textId="1417AC37" w:rsidR="00E2235F" w:rsidRDefault="002622B4" w:rsidP="00A22971">
      <w:pPr>
        <w:pStyle w:val="ListBullet"/>
        <w:rPr>
          <w:lang w:val="en-GB"/>
        </w:rPr>
      </w:pPr>
      <w:r>
        <w:rPr>
          <w:lang w:val="en-GB"/>
        </w:rPr>
        <w:t>M</w:t>
      </w:r>
      <w:r w:rsidR="00E2235F" w:rsidRPr="00964110">
        <w:rPr>
          <w:lang w:val="en-GB"/>
        </w:rPr>
        <w:t xml:space="preserve">apping of general ledger to </w:t>
      </w:r>
      <w:r w:rsidR="00E2235F">
        <w:rPr>
          <w:lang w:val="en-GB"/>
        </w:rPr>
        <w:t xml:space="preserve">the appropriate and consistent </w:t>
      </w:r>
      <w:r w:rsidR="00E2235F" w:rsidRPr="00964110">
        <w:rPr>
          <w:lang w:val="en-GB"/>
        </w:rPr>
        <w:t>cost buckets.</w:t>
      </w:r>
    </w:p>
    <w:p w14:paraId="35F7194E" w14:textId="77777777" w:rsidR="00B8705E" w:rsidRPr="002622B4" w:rsidRDefault="00B8705E" w:rsidP="00B8705E">
      <w:pPr>
        <w:pStyle w:val="ListBullet"/>
      </w:pPr>
      <w:r>
        <w:rPr>
          <w:lang w:val="en-GB"/>
        </w:rPr>
        <w:t>A</w:t>
      </w:r>
      <w:r w:rsidRPr="00C82EAF">
        <w:rPr>
          <w:lang w:val="en-GB"/>
        </w:rPr>
        <w:t>llocation of cost centres to care areas</w:t>
      </w:r>
      <w:r>
        <w:rPr>
          <w:lang w:val="en-GB"/>
        </w:rPr>
        <w:t>.</w:t>
      </w:r>
    </w:p>
    <w:p w14:paraId="5E57D32A" w14:textId="7B8450BB" w:rsidR="00E2235F" w:rsidRPr="00964110" w:rsidRDefault="00E2235F" w:rsidP="00A22971">
      <w:pPr>
        <w:pStyle w:val="ListBullet"/>
        <w:rPr>
          <w:lang w:val="en-GB"/>
        </w:rPr>
      </w:pPr>
      <w:r>
        <w:rPr>
          <w:lang w:val="en-GB"/>
        </w:rPr>
        <w:t xml:space="preserve">The </w:t>
      </w:r>
      <w:r w:rsidR="007E26E6">
        <w:rPr>
          <w:lang w:val="en-GB"/>
        </w:rPr>
        <w:t xml:space="preserve">variability of using </w:t>
      </w:r>
      <w:r>
        <w:rPr>
          <w:lang w:val="en-GB"/>
        </w:rPr>
        <w:t xml:space="preserve">feeder systems (patient level data) by participants verses service weights to allocate costs. </w:t>
      </w:r>
    </w:p>
    <w:bookmarkEnd w:id="99"/>
    <w:p w14:paraId="623C1EF2" w14:textId="0C3EB2EB" w:rsidR="00102E52" w:rsidRDefault="00102E52" w:rsidP="001745D1">
      <w:pPr>
        <w:spacing w:after="240"/>
      </w:pPr>
      <w:r>
        <w:br w:type="page"/>
      </w:r>
    </w:p>
    <w:p w14:paraId="6E672B83" w14:textId="03AD404A" w:rsidR="001745D1" w:rsidRPr="002622B4" w:rsidRDefault="001745D1" w:rsidP="00F40C87">
      <w:pPr>
        <w:pStyle w:val="Heading1"/>
      </w:pPr>
      <w:bookmarkStart w:id="100" w:name="_Toc435611221"/>
      <w:bookmarkStart w:id="101" w:name="_Toc496857562"/>
      <w:bookmarkStart w:id="102" w:name="_Toc497750211"/>
      <w:r>
        <w:lastRenderedPageBreak/>
        <w:t xml:space="preserve">Scope and </w:t>
      </w:r>
      <w:r w:rsidR="003F7E4B">
        <w:t>Methodology</w:t>
      </w:r>
      <w:bookmarkEnd w:id="100"/>
      <w:bookmarkEnd w:id="101"/>
      <w:bookmarkEnd w:id="102"/>
    </w:p>
    <w:p w14:paraId="06FD41EB" w14:textId="77777777" w:rsidR="001745D1" w:rsidRPr="00500B1C" w:rsidRDefault="001745D1" w:rsidP="001745D1">
      <w:pPr>
        <w:pStyle w:val="Heading2"/>
      </w:pPr>
      <w:r>
        <w:t>Scope</w:t>
      </w:r>
    </w:p>
    <w:p w14:paraId="101D3F5D" w14:textId="3311A66A" w:rsidR="001745D1" w:rsidRDefault="001745D1" w:rsidP="001745D1">
      <w:r>
        <w:t>The scope of the Round 20 private sector NHCDC includes acute patients admitted to overnight private hospitals in Australia, who were discharged in the financial year 2015-16.  This included patients that were admitted to a hospital, were classified under the AR-DRG classification and had a care type of acute admitted or qualified newborn</w:t>
      </w:r>
      <w:r>
        <w:rPr>
          <w:rStyle w:val="FootnoteReference"/>
        </w:rPr>
        <w:footnoteReference w:id="4"/>
      </w:r>
      <w:r w:rsidR="00D33479">
        <w:t xml:space="preserve"> (see section </w:t>
      </w:r>
      <w:r w:rsidR="00D33479">
        <w:fldChar w:fldCharType="begin"/>
      </w:r>
      <w:r w:rsidR="00D33479">
        <w:instrText xml:space="preserve"> REF _Ref497725695 \w \h </w:instrText>
      </w:r>
      <w:r w:rsidR="00D33479">
        <w:fldChar w:fldCharType="separate"/>
      </w:r>
      <w:r w:rsidR="00681CD9">
        <w:t>3.1.1</w:t>
      </w:r>
      <w:r w:rsidR="00D33479">
        <w:fldChar w:fldCharType="end"/>
      </w:r>
      <w:r w:rsidR="00D33479">
        <w:t>)</w:t>
      </w:r>
      <w:r>
        <w:t>.</w:t>
      </w:r>
      <w:r w:rsidR="009B1343">
        <w:t xml:space="preserve"> </w:t>
      </w:r>
      <w:r>
        <w:t xml:space="preserve">For this report the classification of an overnight private hospital is one that performed over 200 acute admitted separations. </w:t>
      </w:r>
    </w:p>
    <w:p w14:paraId="4D149E63" w14:textId="77777777" w:rsidR="001745D1" w:rsidRDefault="001745D1" w:rsidP="001745D1">
      <w:r>
        <w:t>For this report an acute admitted separation is considered in scope if the patient:</w:t>
      </w:r>
    </w:p>
    <w:p w14:paraId="2B0D205F" w14:textId="33012853" w:rsidR="001745D1" w:rsidRPr="00C15004" w:rsidRDefault="001745D1" w:rsidP="00C15004">
      <w:pPr>
        <w:pStyle w:val="ListBullet"/>
      </w:pPr>
      <w:r w:rsidRPr="00C15004">
        <w:t>has a care type of acute admitted or newborn (refer section</w:t>
      </w:r>
      <w:r w:rsidR="00C15004" w:rsidRPr="00C15004">
        <w:t xml:space="preserve"> </w:t>
      </w:r>
      <w:r w:rsidR="00C15004" w:rsidRPr="00C15004">
        <w:fldChar w:fldCharType="begin"/>
      </w:r>
      <w:r w:rsidR="00C15004" w:rsidRPr="00C15004">
        <w:instrText xml:space="preserve"> REF _Ref497725695 \w \h  \* MERGEFORMAT </w:instrText>
      </w:r>
      <w:r w:rsidR="00C15004" w:rsidRPr="00C15004">
        <w:fldChar w:fldCharType="separate"/>
      </w:r>
      <w:r w:rsidR="00681CD9">
        <w:t>3.1.1</w:t>
      </w:r>
      <w:r w:rsidR="00C15004" w:rsidRPr="00C15004">
        <w:fldChar w:fldCharType="end"/>
      </w:r>
      <w:r w:rsidRPr="00C15004">
        <w:t xml:space="preserve">); </w:t>
      </w:r>
    </w:p>
    <w:p w14:paraId="319F9F46" w14:textId="4E74C255" w:rsidR="001745D1" w:rsidRPr="00C15004" w:rsidRDefault="001745D1" w:rsidP="00C15004">
      <w:pPr>
        <w:pStyle w:val="ListBullet"/>
      </w:pPr>
      <w:r w:rsidRPr="00C15004">
        <w:t>was discharged in the financial year 2015-16 (refer section</w:t>
      </w:r>
      <w:r w:rsidR="00C15004" w:rsidRPr="00C15004">
        <w:t xml:space="preserve"> </w:t>
      </w:r>
      <w:r w:rsidR="00C15004" w:rsidRPr="00C15004">
        <w:fldChar w:fldCharType="begin"/>
      </w:r>
      <w:r w:rsidR="00C15004" w:rsidRPr="00C15004">
        <w:instrText xml:space="preserve"> REF _Ref497725718 \w \h  \* MERGEFORMAT </w:instrText>
      </w:r>
      <w:r w:rsidR="00C15004" w:rsidRPr="00C15004">
        <w:fldChar w:fldCharType="separate"/>
      </w:r>
      <w:r w:rsidR="00681CD9">
        <w:t>3.1.3</w:t>
      </w:r>
      <w:r w:rsidR="00C15004" w:rsidRPr="00C15004">
        <w:fldChar w:fldCharType="end"/>
      </w:r>
      <w:r w:rsidRPr="00C15004">
        <w:t>); and</w:t>
      </w:r>
    </w:p>
    <w:p w14:paraId="53AE1433" w14:textId="77777777" w:rsidR="001745D1" w:rsidRPr="00C15004" w:rsidRDefault="001745D1" w:rsidP="00C15004">
      <w:pPr>
        <w:pStyle w:val="ListBullet"/>
      </w:pPr>
      <w:proofErr w:type="gramStart"/>
      <w:r w:rsidRPr="00C15004">
        <w:t>was</w:t>
      </w:r>
      <w:proofErr w:type="gramEnd"/>
      <w:r w:rsidRPr="00C15004">
        <w:t xml:space="preserve"> discharged from an overnight private hospital.</w:t>
      </w:r>
    </w:p>
    <w:p w14:paraId="5849C536" w14:textId="77777777" w:rsidR="001745D1" w:rsidRDefault="001745D1" w:rsidP="001745D1">
      <w:pPr>
        <w:pStyle w:val="Heading3"/>
      </w:pPr>
      <w:bookmarkStart w:id="103" w:name="_Ref497725695"/>
      <w:r>
        <w:t>In-scope Care types</w:t>
      </w:r>
      <w:bookmarkEnd w:id="103"/>
    </w:p>
    <w:p w14:paraId="211F9CE8" w14:textId="77777777" w:rsidR="001745D1" w:rsidRDefault="001745D1" w:rsidP="001745D1">
      <w:pPr>
        <w:spacing w:after="240"/>
      </w:pPr>
      <w:r>
        <w:t>The separations associated with acute admitted care and newborn care with qualified care days are in scope.  Therefore these separations are included in the calculation of the AR-DRG cost weights.  The costs associated with unqualified neonate separations</w:t>
      </w:r>
      <w:r>
        <w:rPr>
          <w:rStyle w:val="FootnoteReference"/>
          <w:rFonts w:ascii="Georgia" w:hAnsi="Georgia"/>
        </w:rPr>
        <w:footnoteReference w:id="5"/>
      </w:r>
      <w:r>
        <w:t xml:space="preserve"> have been included in the costs of care on an adjusted basis (as described below and in </w:t>
      </w:r>
      <w:r>
        <w:fldChar w:fldCharType="begin"/>
      </w:r>
      <w:r>
        <w:instrText xml:space="preserve"> REF _Ref433966171 \h  \* MERGEFORMAT </w:instrText>
      </w:r>
      <w:r>
        <w:fldChar w:fldCharType="separate"/>
      </w:r>
      <w:r w:rsidR="00681CD9" w:rsidRPr="00681CD9">
        <w:rPr>
          <w:rFonts w:asciiTheme="majorHAnsi" w:hAnsiTheme="majorHAnsi"/>
        </w:rPr>
        <w:t>Appendix B: Detailed methodology</w:t>
      </w:r>
      <w:r>
        <w:fldChar w:fldCharType="end"/>
      </w:r>
      <w:r>
        <w:t xml:space="preserve"> for the neonatal adjustment).</w:t>
      </w:r>
    </w:p>
    <w:p w14:paraId="54D34686" w14:textId="26BA4245" w:rsidR="001745D1" w:rsidRDefault="001745D1" w:rsidP="001745D1">
      <w:pPr>
        <w:spacing w:after="240"/>
      </w:pPr>
      <w:r>
        <w:t>Acute admitted care type 1.0 is “care in which the clinical intent or treatment goal is to: manage labour (obstetric); cure illness or provide definitive treatment of injury; perform surgery; relieve symptoms of illness or injury (excluding palliative care); reduce severity of an illness or injury; protect against exacerbation and/or complication of an illness and/or injury which could threaten life or normal function; perform diagnostic or therapeutic procedures.”</w:t>
      </w:r>
      <w:r w:rsidR="00D33479" w:rsidRPr="00D33479">
        <w:rPr>
          <w:rStyle w:val="FootnoteReference"/>
        </w:rPr>
        <w:t xml:space="preserve"> </w:t>
      </w:r>
      <w:r w:rsidR="00D33479">
        <w:rPr>
          <w:rStyle w:val="FootnoteReference"/>
        </w:rPr>
        <w:footnoteReference w:id="6"/>
      </w:r>
    </w:p>
    <w:p w14:paraId="48455F24" w14:textId="528D23B6" w:rsidR="001745D1" w:rsidRDefault="001745D1" w:rsidP="001745D1">
      <w:r>
        <w:t>Newborn care type 7.0 is “initiated when the patient is born in hospital or is nine days old or less at the time of admission. Newborn care continues until the care type changes or the patient is separated:</w:t>
      </w:r>
    </w:p>
    <w:p w14:paraId="285FC777" w14:textId="77777777" w:rsidR="001745D1" w:rsidRDefault="001745D1" w:rsidP="0058290D">
      <w:pPr>
        <w:pStyle w:val="ListBullet"/>
      </w:pPr>
      <w:r>
        <w:t>Patients who turn 10 days of age and do not require clinical care are separated and, if they remain in the hospital, are designated as boarders.</w:t>
      </w:r>
    </w:p>
    <w:p w14:paraId="7D73DC78" w14:textId="77777777" w:rsidR="001745D1" w:rsidRDefault="001745D1" w:rsidP="0058290D">
      <w:pPr>
        <w:pStyle w:val="ListBullet"/>
      </w:pPr>
      <w:r>
        <w:t>Patients who turn 10 days of age and require clinical care continue in a newborn episode of care until separated.</w:t>
      </w:r>
    </w:p>
    <w:p w14:paraId="60DDE94B" w14:textId="77777777" w:rsidR="001745D1" w:rsidRDefault="001745D1" w:rsidP="0058290D">
      <w:pPr>
        <w:pStyle w:val="ListBullet"/>
      </w:pPr>
      <w:r>
        <w:t>Patients aged less than 10 days and not admitted at birth (e.g. transferred from another hospital) are admitted with newborn care type.</w:t>
      </w:r>
    </w:p>
    <w:p w14:paraId="3C4BCC45" w14:textId="77777777" w:rsidR="001745D1" w:rsidRDefault="001745D1" w:rsidP="0058290D">
      <w:pPr>
        <w:pStyle w:val="ListBullet"/>
      </w:pPr>
      <w:r>
        <w:lastRenderedPageBreak/>
        <w:t xml:space="preserve">Patients aged greater than 9 days not previously admitted (e.g. transferred from another hospital) are either boarders or admitted with an acute care type.  </w:t>
      </w:r>
    </w:p>
    <w:p w14:paraId="42E84DBB" w14:textId="77777777" w:rsidR="001745D1" w:rsidRDefault="001745D1" w:rsidP="0058290D">
      <w:pPr>
        <w:pStyle w:val="ListBullet"/>
      </w:pPr>
      <w:r>
        <w:t>Within a newborn episode of care, until the baby turns 10 days of age, each day is either a qualified or unqualified day.</w:t>
      </w:r>
    </w:p>
    <w:p w14:paraId="64FAD087" w14:textId="77777777" w:rsidR="001745D1" w:rsidRDefault="001745D1" w:rsidP="0058290D">
      <w:pPr>
        <w:pStyle w:val="ListBullet"/>
      </w:pPr>
      <w:r>
        <w:t>A newborn is qualified when it meets at least one of the criteria detailed in Newborn qualification status.</w:t>
      </w:r>
    </w:p>
    <w:p w14:paraId="051EC3D5" w14:textId="6319F369" w:rsidR="001745D1" w:rsidRDefault="001745D1" w:rsidP="001745D1">
      <w:r>
        <w:t>Within a newborn episode of care, each day after the baby turns 10 days of age is counted as a qualified patient day. Newborn qualified days are equivalent to acute days and may be denoted as such.”</w:t>
      </w:r>
      <w:r w:rsidR="00D33479" w:rsidRPr="00D33479">
        <w:rPr>
          <w:rStyle w:val="FootnoteReference"/>
        </w:rPr>
        <w:t xml:space="preserve"> </w:t>
      </w:r>
      <w:r w:rsidR="00D33479">
        <w:rPr>
          <w:rStyle w:val="FootnoteReference"/>
        </w:rPr>
        <w:footnoteReference w:id="7"/>
      </w:r>
    </w:p>
    <w:p w14:paraId="084B6E5E" w14:textId="77777777" w:rsidR="001745D1" w:rsidRDefault="001745D1" w:rsidP="001745D1">
      <w:pPr>
        <w:pStyle w:val="Heading3"/>
      </w:pPr>
      <w:r>
        <w:t>In-scope costs</w:t>
      </w:r>
    </w:p>
    <w:p w14:paraId="63D78D58" w14:textId="2AD672AA" w:rsidR="0058290D" w:rsidRDefault="0058290D" w:rsidP="001745D1">
      <w:r>
        <w:t xml:space="preserve">Participants were requested to submit their costed data in compliance with the </w:t>
      </w:r>
      <w:r w:rsidR="007C3059">
        <w:t xml:space="preserve">AHPCS </w:t>
      </w:r>
      <w:r>
        <w:t>version 3.1</w:t>
      </w:r>
      <w:r>
        <w:rPr>
          <w:vertAlign w:val="superscript"/>
        </w:rPr>
        <w:footnoteReference w:id="8"/>
      </w:r>
      <w:r>
        <w:t xml:space="preserve"> to support consistency in output.</w:t>
      </w:r>
    </w:p>
    <w:p w14:paraId="50D5B12A" w14:textId="44DF09C5" w:rsidR="001745D1" w:rsidRDefault="001745D1" w:rsidP="001745D1">
      <w:r>
        <w:t>The AHPCS v3.1 defines product costs in scope as “all costs incurred by, or on behalf of the hospital, that are necessarily incurred in the production of patient and non-patient products, subject to the specific exclusion that the costs of time provided by medical specialists to treat private patients that are not directly met by the hospital, are not to be imputed.”</w:t>
      </w:r>
      <w:r>
        <w:rPr>
          <w:rStyle w:val="FootnoteReference"/>
        </w:rPr>
        <w:footnoteReference w:id="9"/>
      </w:r>
      <w:r>
        <w:t xml:space="preserve"> This includes non-cash expenditure items such as depreciation.</w:t>
      </w:r>
    </w:p>
    <w:p w14:paraId="5C668297" w14:textId="77777777" w:rsidR="001745D1" w:rsidRDefault="001745D1" w:rsidP="001745D1">
      <w:pPr>
        <w:pStyle w:val="Heading3"/>
      </w:pPr>
      <w:bookmarkStart w:id="104" w:name="_Ref497725718"/>
      <w:r>
        <w:t>Work in Progress Patients</w:t>
      </w:r>
      <w:bookmarkEnd w:id="104"/>
    </w:p>
    <w:p w14:paraId="22C526A5" w14:textId="27C68C78" w:rsidR="001745D1" w:rsidRDefault="001745D1" w:rsidP="001745D1">
      <w:r>
        <w:t xml:space="preserve">The AHPCS v3.1 requires that all patient activity during the year be costed according to its set of guidelines. For the purposes of the NHCDC, all patients discharged within the reference period are considered in scope. A </w:t>
      </w:r>
      <w:r w:rsidR="00135776">
        <w:t>WIP</w:t>
      </w:r>
      <w:r>
        <w:t xml:space="preserve"> patient is defined as a patient that is not admitted and discharged within the financial year 2015-16.</w:t>
      </w:r>
    </w:p>
    <w:p w14:paraId="0745E129" w14:textId="1806B72B" w:rsidR="003F7E4B" w:rsidRDefault="003F7E4B" w:rsidP="002647B1">
      <w:pPr>
        <w:pStyle w:val="Heading2"/>
      </w:pPr>
      <w:bookmarkStart w:id="105" w:name="_Toc435611222"/>
      <w:bookmarkStart w:id="106" w:name="_Toc496857563"/>
      <w:r>
        <w:t>Identifying the minimum sample size</w:t>
      </w:r>
      <w:bookmarkEnd w:id="105"/>
      <w:bookmarkEnd w:id="106"/>
      <w:r>
        <w:t xml:space="preserve"> </w:t>
      </w:r>
    </w:p>
    <w:p w14:paraId="71CD8D2A" w14:textId="6E8E64B3" w:rsidR="00E7439E" w:rsidRDefault="003F7E4B" w:rsidP="003F7E4B">
      <w:r>
        <w:t xml:space="preserve">IHPA targeted </w:t>
      </w:r>
      <w:r w:rsidR="00823692">
        <w:t>specific hospital</w:t>
      </w:r>
      <w:r>
        <w:t xml:space="preserve"> group</w:t>
      </w:r>
      <w:r w:rsidR="00823692">
        <w:t>s</w:t>
      </w:r>
      <w:r>
        <w:t xml:space="preserve"> </w:t>
      </w:r>
      <w:r w:rsidR="00315682">
        <w:t xml:space="preserve">to </w:t>
      </w:r>
      <w:r w:rsidR="00823692">
        <w:t>participate in Round 20 in order</w:t>
      </w:r>
      <w:r w:rsidR="00FA2287">
        <w:t xml:space="preserve"> to meet </w:t>
      </w:r>
      <w:r w:rsidR="00823692">
        <w:t>target</w:t>
      </w:r>
      <w:r w:rsidR="00FA2287">
        <w:t xml:space="preserve"> </w:t>
      </w:r>
      <w:r>
        <w:t xml:space="preserve">participation </w:t>
      </w:r>
      <w:r w:rsidR="005D4162">
        <w:t xml:space="preserve">as detailed in </w:t>
      </w:r>
      <w:r w:rsidR="005D4162">
        <w:rPr>
          <w:highlight w:val="yellow"/>
        </w:rPr>
        <w:fldChar w:fldCharType="begin"/>
      </w:r>
      <w:r w:rsidR="005D4162">
        <w:instrText xml:space="preserve"> REF _Ref497410571 \h </w:instrText>
      </w:r>
      <w:r w:rsidR="005D4162">
        <w:rPr>
          <w:highlight w:val="yellow"/>
        </w:rPr>
      </w:r>
      <w:r w:rsidR="005D4162">
        <w:rPr>
          <w:highlight w:val="yellow"/>
        </w:rPr>
        <w:fldChar w:fldCharType="separate"/>
      </w:r>
      <w:r w:rsidR="00681CD9">
        <w:t>Appendix A: Analysis performed to determine the minimum sample size</w:t>
      </w:r>
      <w:r w:rsidR="005D4162">
        <w:rPr>
          <w:highlight w:val="yellow"/>
        </w:rPr>
        <w:fldChar w:fldCharType="end"/>
      </w:r>
      <w:r w:rsidR="005D4162">
        <w:t>.</w:t>
      </w:r>
      <w:r>
        <w:t xml:space="preserve"> </w:t>
      </w:r>
      <w:r w:rsidR="00823692">
        <w:t xml:space="preserve">It should be noted that these criteria are based on 2012 data and no adjustments have been made to account for any significant sector or market changes for this Round 20 collection and associated reports. </w:t>
      </w:r>
    </w:p>
    <w:p w14:paraId="75AD7DF0" w14:textId="7F328504" w:rsidR="00E7439E" w:rsidRDefault="003F7E4B" w:rsidP="003F7E4B">
      <w:r>
        <w:t>For Round 20, the participation rate</w:t>
      </w:r>
      <w:r w:rsidR="00823692">
        <w:t xml:space="preserve"> achieved</w:t>
      </w:r>
      <w:r w:rsidR="00315682">
        <w:t xml:space="preserve"> </w:t>
      </w:r>
      <w:r w:rsidR="00823692">
        <w:t>was</w:t>
      </w:r>
      <w:r w:rsidR="00EE42F8" w:rsidRPr="00EE42F8">
        <w:t xml:space="preserve"> 58</w:t>
      </w:r>
      <w:r w:rsidR="00345176">
        <w:t xml:space="preserve"> per cent</w:t>
      </w:r>
      <w:r w:rsidR="00EE42F8" w:rsidRPr="00EE42F8">
        <w:t>, 91 hospitals and 9</w:t>
      </w:r>
      <w:r w:rsidRPr="00EE42F8">
        <w:t xml:space="preserve"> </w:t>
      </w:r>
      <w:r w:rsidR="005D4162">
        <w:t xml:space="preserve">hospital </w:t>
      </w:r>
      <w:r w:rsidRPr="00EE42F8">
        <w:t>groups</w:t>
      </w:r>
      <w:r>
        <w:t xml:space="preserve">. </w:t>
      </w:r>
      <w:r w:rsidR="00CC0311">
        <w:t>IHPA agreed that t</w:t>
      </w:r>
      <w:r w:rsidR="00F12D5A">
        <w:t>his drop in participation rate means that the confidence level and margin of error has moved from 95</w:t>
      </w:r>
      <w:r w:rsidR="00345176">
        <w:t xml:space="preserve"> per cent</w:t>
      </w:r>
      <w:r w:rsidR="00F12D5A">
        <w:t xml:space="preserve"> confiden</w:t>
      </w:r>
      <w:r w:rsidR="00345176">
        <w:t>ce and 4</w:t>
      </w:r>
      <w:r w:rsidR="00E359A8">
        <w:t>.0</w:t>
      </w:r>
      <w:r w:rsidR="00345176">
        <w:t xml:space="preserve"> per cent margin of error to 85 per cent</w:t>
      </w:r>
      <w:r w:rsidR="00F12D5A">
        <w:t xml:space="preserve"> confidence and 3</w:t>
      </w:r>
      <w:r w:rsidR="00E359A8">
        <w:t>.0</w:t>
      </w:r>
      <w:r w:rsidR="00345176">
        <w:t xml:space="preserve"> per cent</w:t>
      </w:r>
      <w:r w:rsidR="00440AD8">
        <w:t xml:space="preserve"> margin of error as per </w:t>
      </w:r>
      <w:r w:rsidR="00D379AF">
        <w:t>Table 3</w:t>
      </w:r>
      <w:r w:rsidR="00345176">
        <w:t xml:space="preserve"> </w:t>
      </w:r>
      <w:r w:rsidR="00F12D5A">
        <w:t>below.</w:t>
      </w:r>
      <w:r w:rsidR="00440AD8">
        <w:t xml:space="preserve"> This marginal decrease in participation rate is not expected to significantly impact the validity of the results.</w:t>
      </w:r>
    </w:p>
    <w:p w14:paraId="5A9B8D48" w14:textId="492BF606" w:rsidR="00D379AF" w:rsidRPr="00084455" w:rsidRDefault="00D379AF" w:rsidP="007570A0">
      <w:pPr>
        <w:pStyle w:val="TableHeadings3"/>
        <w:keepNext/>
        <w:keepLines/>
      </w:pPr>
      <w:bookmarkStart w:id="107" w:name="_Toc497488028"/>
      <w:bookmarkStart w:id="108" w:name="_Toc497750017"/>
      <w:bookmarkStart w:id="109" w:name="_Toc497486109"/>
      <w:proofErr w:type="gramStart"/>
      <w:r>
        <w:lastRenderedPageBreak/>
        <w:t>Table 3</w:t>
      </w:r>
      <w:r w:rsidR="004F7ECE">
        <w:t>.</w:t>
      </w:r>
      <w:proofErr w:type="gramEnd"/>
      <w:r>
        <w:t xml:space="preserve"> </w:t>
      </w:r>
      <w:r w:rsidRPr="007E26E6">
        <w:t>Round</w:t>
      </w:r>
      <w:r>
        <w:t xml:space="preserve"> 20 participation rate confidence level and margin of</w:t>
      </w:r>
      <w:bookmarkEnd w:id="107"/>
      <w:r w:rsidR="006F21D0">
        <w:t xml:space="preserve"> error</w:t>
      </w:r>
      <w:bookmarkEnd w:id="108"/>
    </w:p>
    <w:bookmarkEnd w:id="109"/>
    <w:tbl>
      <w:tblPr>
        <w:tblStyle w:val="PlainTable31"/>
        <w:tblW w:w="0" w:type="auto"/>
        <w:tblInd w:w="108" w:type="dxa"/>
        <w:tblLook w:val="04A0" w:firstRow="1" w:lastRow="0" w:firstColumn="1" w:lastColumn="0" w:noHBand="0" w:noVBand="1"/>
        <w:tblCaption w:val="Round 20 participation rate confidence level and margin of error"/>
        <w:tblDescription w:val="This table presents the confidence level and margin of error that applies depending on the participation rate based on number of separations."/>
      </w:tblPr>
      <w:tblGrid>
        <w:gridCol w:w="1524"/>
        <w:gridCol w:w="842"/>
        <w:gridCol w:w="1045"/>
        <w:gridCol w:w="909"/>
        <w:gridCol w:w="908"/>
        <w:gridCol w:w="911"/>
      </w:tblGrid>
      <w:tr w:rsidR="008B1483" w:rsidRPr="00BF794D" w14:paraId="3CF0BAED" w14:textId="77777777" w:rsidTr="005C6364">
        <w:trPr>
          <w:cnfStyle w:val="100000000000" w:firstRow="1" w:lastRow="0" w:firstColumn="0" w:lastColumn="0" w:oddVBand="0" w:evenVBand="0" w:oddHBand="0" w:evenHBand="0" w:firstRowFirstColumn="0" w:firstRowLastColumn="0" w:lastRowFirstColumn="0" w:lastRowLastColumn="0"/>
          <w:trHeight w:val="261"/>
          <w:tblHeader/>
        </w:trPr>
        <w:tc>
          <w:tcPr>
            <w:cnfStyle w:val="001000000100" w:firstRow="0" w:lastRow="0" w:firstColumn="1" w:lastColumn="0" w:oddVBand="0" w:evenVBand="0" w:oddHBand="0" w:evenHBand="0" w:firstRowFirstColumn="1" w:firstRowLastColumn="0" w:lastRowFirstColumn="0" w:lastRowLastColumn="0"/>
            <w:tcW w:w="1524" w:type="dxa"/>
            <w:tcBorders>
              <w:bottom w:val="none" w:sz="0" w:space="0" w:color="auto"/>
            </w:tcBorders>
            <w:shd w:val="clear" w:color="auto" w:fill="auto"/>
            <w:noWrap/>
            <w:hideMark/>
          </w:tcPr>
          <w:p w14:paraId="2FB53D57" w14:textId="2DC5DBBC" w:rsidR="008B1483" w:rsidRPr="00BF794D" w:rsidRDefault="008B1483" w:rsidP="005C6364">
            <w:pPr>
              <w:pStyle w:val="TableText"/>
              <w:keepNext/>
              <w:keepLines/>
              <w:spacing w:before="20" w:after="20"/>
              <w:rPr>
                <w:rFonts w:asciiTheme="minorHAnsi" w:hAnsiTheme="minorHAnsi" w:cstheme="minorHAnsi"/>
              </w:rPr>
            </w:pPr>
          </w:p>
        </w:tc>
        <w:tc>
          <w:tcPr>
            <w:tcW w:w="842" w:type="dxa"/>
            <w:tcBorders>
              <w:bottom w:val="none" w:sz="0" w:space="0" w:color="auto"/>
            </w:tcBorders>
            <w:shd w:val="clear" w:color="auto" w:fill="auto"/>
            <w:noWrap/>
            <w:hideMark/>
          </w:tcPr>
          <w:p w14:paraId="56FEFAC3" w14:textId="77777777" w:rsidR="008B1483" w:rsidRPr="00BF794D" w:rsidRDefault="008B1483" w:rsidP="005C6364">
            <w:pPr>
              <w:pStyle w:val="TableText"/>
              <w:keepNext/>
              <w:keepLines/>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 </w:t>
            </w:r>
          </w:p>
        </w:tc>
        <w:tc>
          <w:tcPr>
            <w:tcW w:w="3773" w:type="dxa"/>
            <w:gridSpan w:val="4"/>
            <w:shd w:val="clear" w:color="auto" w:fill="D9D9D9" w:themeFill="background1" w:themeFillShade="D9"/>
            <w:noWrap/>
            <w:hideMark/>
          </w:tcPr>
          <w:p w14:paraId="4A69DE2F" w14:textId="151A9A5D" w:rsidR="008B1483" w:rsidRPr="00BF794D" w:rsidRDefault="001745D1" w:rsidP="005C6364">
            <w:pPr>
              <w:pStyle w:val="TableText"/>
              <w:keepNext/>
              <w:keepLines/>
              <w:spacing w:before="20" w:after="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aps w:val="0"/>
              </w:rPr>
            </w:pPr>
            <w:r w:rsidRPr="00BF794D">
              <w:rPr>
                <w:rFonts w:asciiTheme="minorHAnsi" w:hAnsiTheme="minorHAnsi" w:cstheme="minorHAnsi"/>
                <w:caps w:val="0"/>
              </w:rPr>
              <w:t>Confidence level</w:t>
            </w:r>
          </w:p>
        </w:tc>
      </w:tr>
      <w:tr w:rsidR="00F12D5A" w:rsidRPr="00BF794D" w14:paraId="30FA3E39" w14:textId="77777777" w:rsidTr="00D33479">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524" w:type="dxa"/>
            <w:tcBorders>
              <w:right w:val="none" w:sz="0" w:space="0" w:color="auto"/>
            </w:tcBorders>
            <w:shd w:val="clear" w:color="auto" w:fill="auto"/>
            <w:noWrap/>
            <w:hideMark/>
          </w:tcPr>
          <w:p w14:paraId="7A3FF6E7" w14:textId="77777777" w:rsidR="00F12D5A" w:rsidRPr="00BF794D" w:rsidRDefault="00F12D5A" w:rsidP="005C6364">
            <w:pPr>
              <w:pStyle w:val="TableText"/>
              <w:keepNext/>
              <w:keepLines/>
              <w:spacing w:before="20" w:after="20"/>
              <w:rPr>
                <w:rFonts w:asciiTheme="minorHAnsi" w:hAnsiTheme="minorHAnsi" w:cstheme="minorHAnsi"/>
              </w:rPr>
            </w:pPr>
            <w:r w:rsidRPr="00BF794D">
              <w:rPr>
                <w:rFonts w:asciiTheme="minorHAnsi" w:hAnsiTheme="minorHAnsi" w:cstheme="minorHAnsi"/>
              </w:rPr>
              <w:t> </w:t>
            </w:r>
          </w:p>
        </w:tc>
        <w:tc>
          <w:tcPr>
            <w:tcW w:w="842" w:type="dxa"/>
            <w:shd w:val="clear" w:color="auto" w:fill="auto"/>
            <w:noWrap/>
            <w:hideMark/>
          </w:tcPr>
          <w:p w14:paraId="02EFEFD6" w14:textId="44B6C80A" w:rsidR="00F12D5A" w:rsidRPr="00BF794D" w:rsidRDefault="00F12D5A" w:rsidP="005C6364">
            <w:pPr>
              <w:pStyle w:val="TableText"/>
              <w:keepNext/>
              <w:keepLines/>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045" w:type="dxa"/>
            <w:tcBorders>
              <w:left w:val="nil"/>
              <w:bottom w:val="single" w:sz="4" w:space="0" w:color="808080" w:themeColor="background1" w:themeShade="80"/>
            </w:tcBorders>
            <w:shd w:val="clear" w:color="auto" w:fill="D9D9D9" w:themeFill="background1" w:themeFillShade="D9"/>
            <w:noWrap/>
            <w:hideMark/>
          </w:tcPr>
          <w:p w14:paraId="49D09838" w14:textId="77777777" w:rsidR="00F12D5A" w:rsidRPr="00BF794D" w:rsidRDefault="00F12D5A" w:rsidP="005C6364">
            <w:pPr>
              <w:pStyle w:val="TableText"/>
              <w:keepNext/>
              <w:keepLines/>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85%</w:t>
            </w:r>
          </w:p>
        </w:tc>
        <w:tc>
          <w:tcPr>
            <w:tcW w:w="909" w:type="dxa"/>
            <w:tcBorders>
              <w:bottom w:val="single" w:sz="4" w:space="0" w:color="808080" w:themeColor="background1" w:themeShade="80"/>
            </w:tcBorders>
            <w:shd w:val="clear" w:color="auto" w:fill="D9D9D9" w:themeFill="background1" w:themeFillShade="D9"/>
            <w:noWrap/>
            <w:hideMark/>
          </w:tcPr>
          <w:p w14:paraId="626C6E04" w14:textId="77777777" w:rsidR="00F12D5A" w:rsidRPr="00BF794D" w:rsidRDefault="00F12D5A" w:rsidP="005C6364">
            <w:pPr>
              <w:pStyle w:val="TableText"/>
              <w:keepNext/>
              <w:keepLines/>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90%</w:t>
            </w:r>
          </w:p>
        </w:tc>
        <w:tc>
          <w:tcPr>
            <w:tcW w:w="908" w:type="dxa"/>
            <w:tcBorders>
              <w:bottom w:val="single" w:sz="4" w:space="0" w:color="808080" w:themeColor="background1" w:themeShade="80"/>
            </w:tcBorders>
            <w:shd w:val="clear" w:color="auto" w:fill="D9D9D9" w:themeFill="background1" w:themeFillShade="D9"/>
            <w:noWrap/>
            <w:hideMark/>
          </w:tcPr>
          <w:p w14:paraId="74C57FD8" w14:textId="77777777" w:rsidR="00F12D5A" w:rsidRPr="00BF794D" w:rsidRDefault="00F12D5A" w:rsidP="005C6364">
            <w:pPr>
              <w:pStyle w:val="TableText"/>
              <w:keepNext/>
              <w:keepLines/>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95%</w:t>
            </w:r>
          </w:p>
        </w:tc>
        <w:tc>
          <w:tcPr>
            <w:tcW w:w="911" w:type="dxa"/>
            <w:tcBorders>
              <w:bottom w:val="single" w:sz="4" w:space="0" w:color="808080" w:themeColor="background1" w:themeShade="80"/>
            </w:tcBorders>
            <w:shd w:val="clear" w:color="auto" w:fill="D9D9D9" w:themeFill="background1" w:themeFillShade="D9"/>
            <w:noWrap/>
            <w:hideMark/>
          </w:tcPr>
          <w:p w14:paraId="57C66CFD" w14:textId="77777777" w:rsidR="00F12D5A" w:rsidRPr="00BF794D" w:rsidRDefault="00F12D5A" w:rsidP="005C6364">
            <w:pPr>
              <w:pStyle w:val="TableText"/>
              <w:keepNext/>
              <w:keepLines/>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99%</w:t>
            </w:r>
          </w:p>
        </w:tc>
      </w:tr>
      <w:tr w:rsidR="00F12D5A" w:rsidRPr="00BF794D" w14:paraId="36E914C1" w14:textId="77777777" w:rsidTr="00D33479">
        <w:trPr>
          <w:trHeight w:val="261"/>
        </w:trPr>
        <w:tc>
          <w:tcPr>
            <w:cnfStyle w:val="001000000000" w:firstRow="0" w:lastRow="0" w:firstColumn="1" w:lastColumn="0" w:oddVBand="0" w:evenVBand="0" w:oddHBand="0" w:evenHBand="0" w:firstRowFirstColumn="0" w:firstRowLastColumn="0" w:lastRowFirstColumn="0" w:lastRowLastColumn="0"/>
            <w:tcW w:w="1524" w:type="dxa"/>
            <w:shd w:val="clear" w:color="auto" w:fill="D9D9D9" w:themeFill="background1" w:themeFillShade="D9"/>
            <w:noWrap/>
            <w:hideMark/>
          </w:tcPr>
          <w:p w14:paraId="0B31DA5D" w14:textId="77777777" w:rsidR="00F12D5A" w:rsidRPr="00BF794D" w:rsidRDefault="00F12D5A" w:rsidP="005C6364">
            <w:pPr>
              <w:pStyle w:val="TableText"/>
              <w:keepNext/>
              <w:keepLines/>
              <w:spacing w:before="20" w:after="20"/>
              <w:rPr>
                <w:rFonts w:asciiTheme="minorHAnsi" w:hAnsiTheme="minorHAnsi" w:cstheme="minorHAnsi"/>
              </w:rPr>
            </w:pPr>
            <w:r w:rsidRPr="00BF794D">
              <w:rPr>
                <w:rFonts w:asciiTheme="minorHAnsi" w:hAnsiTheme="minorHAnsi" w:cstheme="minorHAnsi"/>
              </w:rPr>
              <w:t> </w:t>
            </w:r>
          </w:p>
        </w:tc>
        <w:tc>
          <w:tcPr>
            <w:tcW w:w="842" w:type="dxa"/>
            <w:tcBorders>
              <w:right w:val="single" w:sz="4" w:space="0" w:color="808080" w:themeColor="background1" w:themeShade="80"/>
            </w:tcBorders>
            <w:shd w:val="clear" w:color="auto" w:fill="D9D9D9" w:themeFill="background1" w:themeFillShade="D9"/>
            <w:noWrap/>
            <w:hideMark/>
          </w:tcPr>
          <w:p w14:paraId="1292EA78" w14:textId="77777777" w:rsidR="00F12D5A" w:rsidRPr="00BF794D" w:rsidRDefault="00F12D5A" w:rsidP="005C6364">
            <w:pPr>
              <w:pStyle w:val="TableText"/>
              <w:keepNext/>
              <w:keepLines/>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1%</w:t>
            </w:r>
          </w:p>
        </w:tc>
        <w:tc>
          <w:tcPr>
            <w:tcW w:w="1045" w:type="dxa"/>
            <w:tcBorders>
              <w:top w:val="single" w:sz="4" w:space="0" w:color="808080" w:themeColor="background1" w:themeShade="80"/>
              <w:left w:val="single" w:sz="4" w:space="0" w:color="808080" w:themeColor="background1" w:themeShade="80"/>
            </w:tcBorders>
            <w:noWrap/>
            <w:hideMark/>
          </w:tcPr>
          <w:p w14:paraId="2939B86A" w14:textId="77777777" w:rsidR="00F12D5A" w:rsidRPr="00BF794D" w:rsidRDefault="00F12D5A" w:rsidP="005C6364">
            <w:pPr>
              <w:pStyle w:val="TableText"/>
              <w:keepNext/>
              <w:keepLines/>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87%</w:t>
            </w:r>
          </w:p>
        </w:tc>
        <w:tc>
          <w:tcPr>
            <w:tcW w:w="909" w:type="dxa"/>
            <w:tcBorders>
              <w:top w:val="single" w:sz="4" w:space="0" w:color="808080" w:themeColor="background1" w:themeShade="80"/>
            </w:tcBorders>
            <w:noWrap/>
            <w:hideMark/>
          </w:tcPr>
          <w:p w14:paraId="2664848A" w14:textId="77777777" w:rsidR="00F12D5A" w:rsidRPr="00BF794D" w:rsidRDefault="00F12D5A" w:rsidP="005C6364">
            <w:pPr>
              <w:pStyle w:val="TableText"/>
              <w:keepNext/>
              <w:keepLines/>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88%</w:t>
            </w:r>
          </w:p>
        </w:tc>
        <w:tc>
          <w:tcPr>
            <w:tcW w:w="908" w:type="dxa"/>
            <w:tcBorders>
              <w:top w:val="single" w:sz="4" w:space="0" w:color="808080" w:themeColor="background1" w:themeShade="80"/>
            </w:tcBorders>
            <w:noWrap/>
            <w:hideMark/>
          </w:tcPr>
          <w:p w14:paraId="793D674A" w14:textId="77777777" w:rsidR="00F12D5A" w:rsidRPr="00BF794D" w:rsidRDefault="00F12D5A" w:rsidP="005C6364">
            <w:pPr>
              <w:pStyle w:val="TableText"/>
              <w:keepNext/>
              <w:keepLines/>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90%</w:t>
            </w:r>
          </w:p>
        </w:tc>
        <w:tc>
          <w:tcPr>
            <w:tcW w:w="911" w:type="dxa"/>
            <w:tcBorders>
              <w:top w:val="single" w:sz="4" w:space="0" w:color="808080" w:themeColor="background1" w:themeShade="80"/>
            </w:tcBorders>
            <w:noWrap/>
            <w:hideMark/>
          </w:tcPr>
          <w:p w14:paraId="43B074D3" w14:textId="77777777" w:rsidR="00F12D5A" w:rsidRPr="00BF794D" w:rsidRDefault="00F12D5A" w:rsidP="005C6364">
            <w:pPr>
              <w:pStyle w:val="TableText"/>
              <w:keepNext/>
              <w:keepLines/>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92%</w:t>
            </w:r>
          </w:p>
        </w:tc>
      </w:tr>
      <w:tr w:rsidR="00F12D5A" w:rsidRPr="00BF794D" w14:paraId="3CB6780F" w14:textId="77777777" w:rsidTr="00D33479">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524" w:type="dxa"/>
            <w:vMerge w:val="restart"/>
            <w:shd w:val="clear" w:color="auto" w:fill="D9D9D9" w:themeFill="background1" w:themeFillShade="D9"/>
            <w:vAlign w:val="center"/>
            <w:hideMark/>
          </w:tcPr>
          <w:p w14:paraId="26CDF7AC" w14:textId="56C2BB67" w:rsidR="00F12D5A" w:rsidRPr="00BF794D" w:rsidRDefault="001745D1" w:rsidP="005C6364">
            <w:pPr>
              <w:pStyle w:val="TableText"/>
              <w:keepNext/>
              <w:keepLines/>
              <w:spacing w:before="20" w:after="20"/>
              <w:rPr>
                <w:rFonts w:asciiTheme="minorHAnsi" w:hAnsiTheme="minorHAnsi" w:cstheme="minorHAnsi"/>
              </w:rPr>
            </w:pPr>
            <w:r w:rsidRPr="00BF794D">
              <w:rPr>
                <w:rFonts w:asciiTheme="minorHAnsi" w:hAnsiTheme="minorHAnsi" w:cstheme="minorHAnsi"/>
                <w:caps w:val="0"/>
              </w:rPr>
              <w:t>Margin of error per DRG class</w:t>
            </w:r>
            <w:r w:rsidR="00D33479">
              <w:rPr>
                <w:rFonts w:asciiTheme="minorHAnsi" w:hAnsiTheme="minorHAnsi" w:cstheme="minorHAnsi"/>
                <w:caps w:val="0"/>
              </w:rPr>
              <w:t xml:space="preserve"> (%)</w:t>
            </w:r>
          </w:p>
        </w:tc>
        <w:tc>
          <w:tcPr>
            <w:tcW w:w="842" w:type="dxa"/>
            <w:tcBorders>
              <w:right w:val="single" w:sz="4" w:space="0" w:color="808080" w:themeColor="background1" w:themeShade="80"/>
            </w:tcBorders>
            <w:shd w:val="clear" w:color="auto" w:fill="D9D9D9" w:themeFill="background1" w:themeFillShade="D9"/>
            <w:noWrap/>
            <w:hideMark/>
          </w:tcPr>
          <w:p w14:paraId="46A346DE" w14:textId="77777777" w:rsidR="00F12D5A" w:rsidRPr="00BF794D" w:rsidRDefault="00F12D5A" w:rsidP="005C6364">
            <w:pPr>
              <w:pStyle w:val="TableText"/>
              <w:keepNext/>
              <w:keepLines/>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2%</w:t>
            </w:r>
          </w:p>
        </w:tc>
        <w:tc>
          <w:tcPr>
            <w:tcW w:w="1045" w:type="dxa"/>
            <w:tcBorders>
              <w:left w:val="single" w:sz="4" w:space="0" w:color="808080" w:themeColor="background1" w:themeShade="80"/>
            </w:tcBorders>
            <w:noWrap/>
            <w:hideMark/>
          </w:tcPr>
          <w:p w14:paraId="00E29422" w14:textId="77777777" w:rsidR="00F12D5A" w:rsidRPr="00BF794D" w:rsidRDefault="00F12D5A" w:rsidP="005C6364">
            <w:pPr>
              <w:pStyle w:val="TableText"/>
              <w:keepNext/>
              <w:keepLines/>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72%</w:t>
            </w:r>
          </w:p>
        </w:tc>
        <w:tc>
          <w:tcPr>
            <w:tcW w:w="909" w:type="dxa"/>
            <w:noWrap/>
            <w:hideMark/>
          </w:tcPr>
          <w:p w14:paraId="0F599BE5" w14:textId="77777777" w:rsidR="00F12D5A" w:rsidRPr="00BF794D" w:rsidRDefault="00F12D5A" w:rsidP="005C6364">
            <w:pPr>
              <w:pStyle w:val="TableText"/>
              <w:keepNext/>
              <w:keepLines/>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75%</w:t>
            </w:r>
          </w:p>
        </w:tc>
        <w:tc>
          <w:tcPr>
            <w:tcW w:w="908" w:type="dxa"/>
            <w:noWrap/>
            <w:hideMark/>
          </w:tcPr>
          <w:p w14:paraId="7BBE54DD" w14:textId="77777777" w:rsidR="00F12D5A" w:rsidRPr="00BF794D" w:rsidRDefault="00F12D5A" w:rsidP="005C6364">
            <w:pPr>
              <w:pStyle w:val="TableText"/>
              <w:keepNext/>
              <w:keepLines/>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80%</w:t>
            </w:r>
          </w:p>
        </w:tc>
        <w:tc>
          <w:tcPr>
            <w:tcW w:w="911" w:type="dxa"/>
            <w:noWrap/>
            <w:hideMark/>
          </w:tcPr>
          <w:p w14:paraId="4FCAA239" w14:textId="77777777" w:rsidR="00F12D5A" w:rsidRPr="00BF794D" w:rsidRDefault="00F12D5A" w:rsidP="005C6364">
            <w:pPr>
              <w:pStyle w:val="TableText"/>
              <w:keepNext/>
              <w:keepLines/>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85%</w:t>
            </w:r>
          </w:p>
        </w:tc>
      </w:tr>
      <w:tr w:rsidR="00F12D5A" w:rsidRPr="00BF794D" w14:paraId="47E9A73A" w14:textId="77777777" w:rsidTr="00D33479">
        <w:trPr>
          <w:trHeight w:val="261"/>
        </w:trPr>
        <w:tc>
          <w:tcPr>
            <w:cnfStyle w:val="001000000000" w:firstRow="0" w:lastRow="0" w:firstColumn="1" w:lastColumn="0" w:oddVBand="0" w:evenVBand="0" w:oddHBand="0" w:evenHBand="0" w:firstRowFirstColumn="0" w:firstRowLastColumn="0" w:lastRowFirstColumn="0" w:lastRowLastColumn="0"/>
            <w:tcW w:w="1524" w:type="dxa"/>
            <w:vMerge/>
            <w:shd w:val="clear" w:color="auto" w:fill="D9D9D9" w:themeFill="background1" w:themeFillShade="D9"/>
            <w:hideMark/>
          </w:tcPr>
          <w:p w14:paraId="3F28B03D" w14:textId="77777777" w:rsidR="00F12D5A" w:rsidRPr="00BF794D" w:rsidRDefault="00F12D5A" w:rsidP="005C6364">
            <w:pPr>
              <w:pStyle w:val="TableText"/>
              <w:keepNext/>
              <w:keepLines/>
              <w:spacing w:before="20" w:after="20"/>
              <w:rPr>
                <w:rFonts w:asciiTheme="minorHAnsi" w:hAnsiTheme="minorHAnsi" w:cstheme="minorHAnsi"/>
              </w:rPr>
            </w:pPr>
          </w:p>
        </w:tc>
        <w:tc>
          <w:tcPr>
            <w:tcW w:w="842" w:type="dxa"/>
            <w:tcBorders>
              <w:right w:val="single" w:sz="4" w:space="0" w:color="808080" w:themeColor="background1" w:themeShade="80"/>
            </w:tcBorders>
            <w:shd w:val="clear" w:color="auto" w:fill="D9D9D9" w:themeFill="background1" w:themeFillShade="D9"/>
            <w:noWrap/>
            <w:hideMark/>
          </w:tcPr>
          <w:p w14:paraId="16FDF75E" w14:textId="77777777" w:rsidR="00F12D5A" w:rsidRPr="00BF794D" w:rsidRDefault="00F12D5A" w:rsidP="005C6364">
            <w:pPr>
              <w:pStyle w:val="TableText"/>
              <w:keepNext/>
              <w:keepLines/>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3%</w:t>
            </w:r>
          </w:p>
        </w:tc>
        <w:tc>
          <w:tcPr>
            <w:tcW w:w="1045" w:type="dxa"/>
            <w:tcBorders>
              <w:left w:val="single" w:sz="4" w:space="0" w:color="808080" w:themeColor="background1" w:themeShade="80"/>
            </w:tcBorders>
            <w:shd w:val="clear" w:color="auto" w:fill="006700" w:themeFill="accent2" w:themeFillShade="BF"/>
            <w:noWrap/>
            <w:hideMark/>
          </w:tcPr>
          <w:p w14:paraId="28079782" w14:textId="77777777" w:rsidR="00F12D5A" w:rsidRPr="00BF794D" w:rsidRDefault="00F12D5A" w:rsidP="005C6364">
            <w:pPr>
              <w:pStyle w:val="TableText"/>
              <w:keepNext/>
              <w:keepLines/>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59%</w:t>
            </w:r>
          </w:p>
        </w:tc>
        <w:tc>
          <w:tcPr>
            <w:tcW w:w="909" w:type="dxa"/>
            <w:noWrap/>
            <w:hideMark/>
          </w:tcPr>
          <w:p w14:paraId="464C1F35" w14:textId="77777777" w:rsidR="00F12D5A" w:rsidRPr="00BF794D" w:rsidRDefault="00F12D5A" w:rsidP="005C6364">
            <w:pPr>
              <w:pStyle w:val="TableText"/>
              <w:keepNext/>
              <w:keepLines/>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63%</w:t>
            </w:r>
          </w:p>
        </w:tc>
        <w:tc>
          <w:tcPr>
            <w:tcW w:w="908" w:type="dxa"/>
            <w:noWrap/>
            <w:hideMark/>
          </w:tcPr>
          <w:p w14:paraId="71560AF1" w14:textId="77777777" w:rsidR="00F12D5A" w:rsidRPr="00BF794D" w:rsidRDefault="00F12D5A" w:rsidP="005C6364">
            <w:pPr>
              <w:pStyle w:val="TableText"/>
              <w:keepNext/>
              <w:keepLines/>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69%</w:t>
            </w:r>
          </w:p>
        </w:tc>
        <w:tc>
          <w:tcPr>
            <w:tcW w:w="911" w:type="dxa"/>
            <w:noWrap/>
            <w:hideMark/>
          </w:tcPr>
          <w:p w14:paraId="0CEEC5D3" w14:textId="77777777" w:rsidR="00F12D5A" w:rsidRPr="00BF794D" w:rsidRDefault="00F12D5A" w:rsidP="005C6364">
            <w:pPr>
              <w:pStyle w:val="TableText"/>
              <w:keepNext/>
              <w:keepLines/>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77%</w:t>
            </w:r>
          </w:p>
        </w:tc>
      </w:tr>
      <w:tr w:rsidR="00F12D5A" w:rsidRPr="00BF794D" w14:paraId="14036BC5" w14:textId="77777777" w:rsidTr="00D33479">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524" w:type="dxa"/>
            <w:vMerge/>
            <w:shd w:val="clear" w:color="auto" w:fill="D9D9D9" w:themeFill="background1" w:themeFillShade="D9"/>
            <w:hideMark/>
          </w:tcPr>
          <w:p w14:paraId="69C141F8" w14:textId="77777777" w:rsidR="00F12D5A" w:rsidRPr="00BF794D" w:rsidRDefault="00F12D5A" w:rsidP="005C6364">
            <w:pPr>
              <w:pStyle w:val="TableText"/>
              <w:keepNext/>
              <w:keepLines/>
              <w:spacing w:before="20" w:after="20"/>
              <w:rPr>
                <w:rFonts w:asciiTheme="minorHAnsi" w:hAnsiTheme="minorHAnsi" w:cstheme="minorHAnsi"/>
              </w:rPr>
            </w:pPr>
          </w:p>
        </w:tc>
        <w:tc>
          <w:tcPr>
            <w:tcW w:w="842" w:type="dxa"/>
            <w:tcBorders>
              <w:right w:val="single" w:sz="4" w:space="0" w:color="808080" w:themeColor="background1" w:themeShade="80"/>
            </w:tcBorders>
            <w:shd w:val="clear" w:color="auto" w:fill="D9D9D9" w:themeFill="background1" w:themeFillShade="D9"/>
            <w:noWrap/>
            <w:hideMark/>
          </w:tcPr>
          <w:p w14:paraId="360CC87F" w14:textId="77777777" w:rsidR="00F12D5A" w:rsidRPr="00BF794D" w:rsidRDefault="00F12D5A" w:rsidP="005C6364">
            <w:pPr>
              <w:pStyle w:val="TableText"/>
              <w:keepNext/>
              <w:keepLines/>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4%</w:t>
            </w:r>
          </w:p>
        </w:tc>
        <w:tc>
          <w:tcPr>
            <w:tcW w:w="1045" w:type="dxa"/>
            <w:tcBorders>
              <w:left w:val="single" w:sz="4" w:space="0" w:color="808080" w:themeColor="background1" w:themeShade="80"/>
            </w:tcBorders>
            <w:noWrap/>
            <w:hideMark/>
          </w:tcPr>
          <w:p w14:paraId="23747E37" w14:textId="77777777" w:rsidR="00F12D5A" w:rsidRPr="00BF794D" w:rsidRDefault="00F12D5A" w:rsidP="005C6364">
            <w:pPr>
              <w:pStyle w:val="TableText"/>
              <w:keepNext/>
              <w:keepLines/>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49%</w:t>
            </w:r>
          </w:p>
        </w:tc>
        <w:tc>
          <w:tcPr>
            <w:tcW w:w="909" w:type="dxa"/>
            <w:noWrap/>
            <w:hideMark/>
          </w:tcPr>
          <w:p w14:paraId="471AC1CC" w14:textId="77777777" w:rsidR="00F12D5A" w:rsidRPr="00BF794D" w:rsidRDefault="00F12D5A" w:rsidP="005C6364">
            <w:pPr>
              <w:pStyle w:val="TableText"/>
              <w:keepNext/>
              <w:keepLines/>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53%</w:t>
            </w:r>
          </w:p>
        </w:tc>
        <w:tc>
          <w:tcPr>
            <w:tcW w:w="908" w:type="dxa"/>
            <w:shd w:val="clear" w:color="auto" w:fill="006700" w:themeFill="accent2" w:themeFillShade="BF"/>
            <w:noWrap/>
            <w:hideMark/>
          </w:tcPr>
          <w:p w14:paraId="68898354" w14:textId="77777777" w:rsidR="00F12D5A" w:rsidRPr="00BF794D" w:rsidRDefault="00F12D5A" w:rsidP="005C6364">
            <w:pPr>
              <w:pStyle w:val="TableText"/>
              <w:keepNext/>
              <w:keepLines/>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60%</w:t>
            </w:r>
          </w:p>
        </w:tc>
        <w:tc>
          <w:tcPr>
            <w:tcW w:w="911" w:type="dxa"/>
            <w:noWrap/>
            <w:hideMark/>
          </w:tcPr>
          <w:p w14:paraId="7E800DA5" w14:textId="77777777" w:rsidR="00F12D5A" w:rsidRPr="00BF794D" w:rsidRDefault="00F12D5A" w:rsidP="005C6364">
            <w:pPr>
              <w:pStyle w:val="TableText"/>
              <w:keepNext/>
              <w:keepLines/>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69%</w:t>
            </w:r>
          </w:p>
        </w:tc>
      </w:tr>
      <w:tr w:rsidR="00F12D5A" w:rsidRPr="00BF794D" w14:paraId="7B1FD9BB" w14:textId="77777777" w:rsidTr="00D33479">
        <w:trPr>
          <w:trHeight w:val="261"/>
        </w:trPr>
        <w:tc>
          <w:tcPr>
            <w:cnfStyle w:val="001000000000" w:firstRow="0" w:lastRow="0" w:firstColumn="1" w:lastColumn="0" w:oddVBand="0" w:evenVBand="0" w:oddHBand="0" w:evenHBand="0" w:firstRowFirstColumn="0" w:firstRowLastColumn="0" w:lastRowFirstColumn="0" w:lastRowLastColumn="0"/>
            <w:tcW w:w="1524" w:type="dxa"/>
            <w:vMerge/>
            <w:shd w:val="clear" w:color="auto" w:fill="D9D9D9" w:themeFill="background1" w:themeFillShade="D9"/>
            <w:hideMark/>
          </w:tcPr>
          <w:p w14:paraId="624A2CCC" w14:textId="77777777" w:rsidR="00F12D5A" w:rsidRPr="00BF794D" w:rsidRDefault="00F12D5A" w:rsidP="005C6364">
            <w:pPr>
              <w:pStyle w:val="TableText"/>
              <w:keepNext/>
              <w:keepLines/>
              <w:spacing w:before="20" w:after="20"/>
              <w:rPr>
                <w:rFonts w:asciiTheme="minorHAnsi" w:hAnsiTheme="minorHAnsi" w:cstheme="minorHAnsi"/>
              </w:rPr>
            </w:pPr>
          </w:p>
        </w:tc>
        <w:tc>
          <w:tcPr>
            <w:tcW w:w="842" w:type="dxa"/>
            <w:tcBorders>
              <w:right w:val="single" w:sz="4" w:space="0" w:color="808080" w:themeColor="background1" w:themeShade="80"/>
            </w:tcBorders>
            <w:shd w:val="clear" w:color="auto" w:fill="D9D9D9" w:themeFill="background1" w:themeFillShade="D9"/>
            <w:noWrap/>
            <w:hideMark/>
          </w:tcPr>
          <w:p w14:paraId="52A56BD8" w14:textId="77777777" w:rsidR="00F12D5A" w:rsidRPr="00BF794D" w:rsidRDefault="00F12D5A" w:rsidP="005C6364">
            <w:pPr>
              <w:pStyle w:val="TableText"/>
              <w:keepNext/>
              <w:keepLines/>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5%</w:t>
            </w:r>
          </w:p>
        </w:tc>
        <w:tc>
          <w:tcPr>
            <w:tcW w:w="1045" w:type="dxa"/>
            <w:tcBorders>
              <w:left w:val="single" w:sz="4" w:space="0" w:color="808080" w:themeColor="background1" w:themeShade="80"/>
            </w:tcBorders>
            <w:noWrap/>
            <w:hideMark/>
          </w:tcPr>
          <w:p w14:paraId="2F27203A" w14:textId="77777777" w:rsidR="00F12D5A" w:rsidRPr="00BF794D" w:rsidRDefault="00F12D5A" w:rsidP="005C6364">
            <w:pPr>
              <w:pStyle w:val="TableText"/>
              <w:keepNext/>
              <w:keepLines/>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40%</w:t>
            </w:r>
          </w:p>
        </w:tc>
        <w:tc>
          <w:tcPr>
            <w:tcW w:w="909" w:type="dxa"/>
            <w:noWrap/>
            <w:hideMark/>
          </w:tcPr>
          <w:p w14:paraId="0B0C13FC" w14:textId="77777777" w:rsidR="00F12D5A" w:rsidRPr="00BF794D" w:rsidRDefault="00F12D5A" w:rsidP="005C6364">
            <w:pPr>
              <w:pStyle w:val="TableText"/>
              <w:keepNext/>
              <w:keepLines/>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45%</w:t>
            </w:r>
          </w:p>
        </w:tc>
        <w:tc>
          <w:tcPr>
            <w:tcW w:w="908" w:type="dxa"/>
            <w:noWrap/>
            <w:hideMark/>
          </w:tcPr>
          <w:p w14:paraId="696765E3" w14:textId="77777777" w:rsidR="00F12D5A" w:rsidRPr="00BF794D" w:rsidRDefault="00F12D5A" w:rsidP="005C6364">
            <w:pPr>
              <w:pStyle w:val="TableText"/>
              <w:keepNext/>
              <w:keepLines/>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52%</w:t>
            </w:r>
          </w:p>
        </w:tc>
        <w:tc>
          <w:tcPr>
            <w:tcW w:w="911" w:type="dxa"/>
            <w:noWrap/>
            <w:hideMark/>
          </w:tcPr>
          <w:p w14:paraId="3EBCB046" w14:textId="77777777" w:rsidR="00F12D5A" w:rsidRPr="00BF794D" w:rsidRDefault="00F12D5A" w:rsidP="005C6364">
            <w:pPr>
              <w:pStyle w:val="TableText"/>
              <w:keepNext/>
              <w:keepLines/>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61%</w:t>
            </w:r>
          </w:p>
        </w:tc>
      </w:tr>
      <w:tr w:rsidR="00F12D5A" w:rsidRPr="00BF794D" w14:paraId="02213829" w14:textId="77777777" w:rsidTr="00D33479">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524" w:type="dxa"/>
            <w:vMerge/>
            <w:shd w:val="clear" w:color="auto" w:fill="D9D9D9" w:themeFill="background1" w:themeFillShade="D9"/>
            <w:hideMark/>
          </w:tcPr>
          <w:p w14:paraId="0FF0E70E" w14:textId="77777777" w:rsidR="00F12D5A" w:rsidRPr="00BF794D" w:rsidRDefault="00F12D5A" w:rsidP="005C6364">
            <w:pPr>
              <w:pStyle w:val="TableText"/>
              <w:keepNext/>
              <w:keepLines/>
              <w:spacing w:before="20" w:after="20"/>
              <w:rPr>
                <w:rFonts w:asciiTheme="minorHAnsi" w:hAnsiTheme="minorHAnsi" w:cstheme="minorHAnsi"/>
              </w:rPr>
            </w:pPr>
          </w:p>
        </w:tc>
        <w:tc>
          <w:tcPr>
            <w:tcW w:w="842" w:type="dxa"/>
            <w:tcBorders>
              <w:right w:val="single" w:sz="4" w:space="0" w:color="808080" w:themeColor="background1" w:themeShade="80"/>
            </w:tcBorders>
            <w:shd w:val="clear" w:color="auto" w:fill="D9D9D9" w:themeFill="background1" w:themeFillShade="D9"/>
            <w:noWrap/>
            <w:hideMark/>
          </w:tcPr>
          <w:p w14:paraId="27DCAAFA" w14:textId="77777777" w:rsidR="00F12D5A" w:rsidRPr="00BF794D" w:rsidRDefault="00F12D5A" w:rsidP="005C6364">
            <w:pPr>
              <w:pStyle w:val="TableText"/>
              <w:keepNext/>
              <w:keepLines/>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6%</w:t>
            </w:r>
          </w:p>
        </w:tc>
        <w:tc>
          <w:tcPr>
            <w:tcW w:w="1045" w:type="dxa"/>
            <w:tcBorders>
              <w:left w:val="single" w:sz="4" w:space="0" w:color="808080" w:themeColor="background1" w:themeShade="80"/>
            </w:tcBorders>
            <w:shd w:val="clear" w:color="auto" w:fill="808080" w:themeFill="background1" w:themeFillShade="80"/>
            <w:noWrap/>
            <w:hideMark/>
          </w:tcPr>
          <w:p w14:paraId="5797F6B6" w14:textId="77777777" w:rsidR="00F12D5A" w:rsidRPr="00BF794D" w:rsidRDefault="00F12D5A" w:rsidP="005C6364">
            <w:pPr>
              <w:pStyle w:val="TableText"/>
              <w:keepNext/>
              <w:keepLines/>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34%</w:t>
            </w:r>
          </w:p>
        </w:tc>
        <w:tc>
          <w:tcPr>
            <w:tcW w:w="909" w:type="dxa"/>
            <w:noWrap/>
            <w:hideMark/>
          </w:tcPr>
          <w:p w14:paraId="7BE07F4D" w14:textId="77777777" w:rsidR="00F12D5A" w:rsidRPr="00BF794D" w:rsidRDefault="00F12D5A" w:rsidP="005C6364">
            <w:pPr>
              <w:pStyle w:val="TableText"/>
              <w:keepNext/>
              <w:keepLines/>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39%</w:t>
            </w:r>
          </w:p>
        </w:tc>
        <w:tc>
          <w:tcPr>
            <w:tcW w:w="908" w:type="dxa"/>
            <w:noWrap/>
            <w:hideMark/>
          </w:tcPr>
          <w:p w14:paraId="6E80AF58" w14:textId="77777777" w:rsidR="00F12D5A" w:rsidRPr="00BF794D" w:rsidRDefault="00F12D5A" w:rsidP="005C6364">
            <w:pPr>
              <w:pStyle w:val="TableText"/>
              <w:keepNext/>
              <w:keepLines/>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45%</w:t>
            </w:r>
          </w:p>
        </w:tc>
        <w:tc>
          <w:tcPr>
            <w:tcW w:w="911" w:type="dxa"/>
            <w:noWrap/>
            <w:hideMark/>
          </w:tcPr>
          <w:p w14:paraId="59D3C545" w14:textId="77777777" w:rsidR="00F12D5A" w:rsidRPr="00BF794D" w:rsidRDefault="00F12D5A" w:rsidP="005C6364">
            <w:pPr>
              <w:pStyle w:val="TableText"/>
              <w:keepNext/>
              <w:keepLines/>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55%</w:t>
            </w:r>
          </w:p>
        </w:tc>
      </w:tr>
      <w:tr w:rsidR="00F12D5A" w:rsidRPr="00BF794D" w14:paraId="30595286" w14:textId="77777777" w:rsidTr="00D33479">
        <w:trPr>
          <w:trHeight w:val="261"/>
        </w:trPr>
        <w:tc>
          <w:tcPr>
            <w:cnfStyle w:val="001000000000" w:firstRow="0" w:lastRow="0" w:firstColumn="1" w:lastColumn="0" w:oddVBand="0" w:evenVBand="0" w:oddHBand="0" w:evenHBand="0" w:firstRowFirstColumn="0" w:firstRowLastColumn="0" w:lastRowFirstColumn="0" w:lastRowLastColumn="0"/>
            <w:tcW w:w="1524" w:type="dxa"/>
            <w:vMerge/>
            <w:shd w:val="clear" w:color="auto" w:fill="D9D9D9" w:themeFill="background1" w:themeFillShade="D9"/>
            <w:hideMark/>
          </w:tcPr>
          <w:p w14:paraId="4F741D7D" w14:textId="77777777" w:rsidR="00F12D5A" w:rsidRPr="00BF794D" w:rsidRDefault="00F12D5A" w:rsidP="005C6364">
            <w:pPr>
              <w:pStyle w:val="TableText"/>
              <w:keepNext/>
              <w:keepLines/>
              <w:spacing w:before="20" w:after="20"/>
              <w:rPr>
                <w:rFonts w:asciiTheme="minorHAnsi" w:hAnsiTheme="minorHAnsi" w:cstheme="minorHAnsi"/>
              </w:rPr>
            </w:pPr>
          </w:p>
        </w:tc>
        <w:tc>
          <w:tcPr>
            <w:tcW w:w="842" w:type="dxa"/>
            <w:tcBorders>
              <w:right w:val="single" w:sz="4" w:space="0" w:color="808080" w:themeColor="background1" w:themeShade="80"/>
            </w:tcBorders>
            <w:shd w:val="clear" w:color="auto" w:fill="D9D9D9" w:themeFill="background1" w:themeFillShade="D9"/>
            <w:noWrap/>
            <w:hideMark/>
          </w:tcPr>
          <w:p w14:paraId="349C1EC7" w14:textId="77777777" w:rsidR="00F12D5A" w:rsidRPr="00BF794D" w:rsidRDefault="00F12D5A" w:rsidP="005C6364">
            <w:pPr>
              <w:pStyle w:val="TableText"/>
              <w:keepNext/>
              <w:keepLines/>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7%</w:t>
            </w:r>
          </w:p>
        </w:tc>
        <w:tc>
          <w:tcPr>
            <w:tcW w:w="1045" w:type="dxa"/>
            <w:tcBorders>
              <w:left w:val="single" w:sz="4" w:space="0" w:color="808080" w:themeColor="background1" w:themeShade="80"/>
            </w:tcBorders>
            <w:shd w:val="clear" w:color="auto" w:fill="808080" w:themeFill="background1" w:themeFillShade="80"/>
            <w:noWrap/>
            <w:hideMark/>
          </w:tcPr>
          <w:p w14:paraId="64558505" w14:textId="77777777" w:rsidR="00F12D5A" w:rsidRPr="00BF794D" w:rsidRDefault="00F12D5A" w:rsidP="005C6364">
            <w:pPr>
              <w:pStyle w:val="TableText"/>
              <w:keepNext/>
              <w:keepLines/>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29%</w:t>
            </w:r>
          </w:p>
        </w:tc>
        <w:tc>
          <w:tcPr>
            <w:tcW w:w="909" w:type="dxa"/>
            <w:shd w:val="clear" w:color="auto" w:fill="808080" w:themeFill="background1" w:themeFillShade="80"/>
            <w:noWrap/>
            <w:hideMark/>
          </w:tcPr>
          <w:p w14:paraId="3FDCEAA8" w14:textId="77777777" w:rsidR="00F12D5A" w:rsidRPr="00BF794D" w:rsidRDefault="00F12D5A" w:rsidP="005C6364">
            <w:pPr>
              <w:pStyle w:val="TableText"/>
              <w:keepNext/>
              <w:keepLines/>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33%</w:t>
            </w:r>
          </w:p>
        </w:tc>
        <w:tc>
          <w:tcPr>
            <w:tcW w:w="908" w:type="dxa"/>
            <w:noWrap/>
            <w:hideMark/>
          </w:tcPr>
          <w:p w14:paraId="192300B5" w14:textId="77777777" w:rsidR="00F12D5A" w:rsidRPr="00BF794D" w:rsidRDefault="00F12D5A" w:rsidP="005C6364">
            <w:pPr>
              <w:pStyle w:val="TableText"/>
              <w:keepNext/>
              <w:keepLines/>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39%</w:t>
            </w:r>
          </w:p>
        </w:tc>
        <w:tc>
          <w:tcPr>
            <w:tcW w:w="911" w:type="dxa"/>
            <w:noWrap/>
            <w:hideMark/>
          </w:tcPr>
          <w:p w14:paraId="6EDED2C7" w14:textId="77777777" w:rsidR="00F12D5A" w:rsidRPr="00BF794D" w:rsidRDefault="00F12D5A" w:rsidP="005C6364">
            <w:pPr>
              <w:pStyle w:val="TableText"/>
              <w:keepNext/>
              <w:keepLines/>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49%</w:t>
            </w:r>
          </w:p>
        </w:tc>
      </w:tr>
      <w:tr w:rsidR="00F12D5A" w:rsidRPr="00BF794D" w14:paraId="6AEC107A" w14:textId="77777777" w:rsidTr="00D33479">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524" w:type="dxa"/>
            <w:vMerge/>
            <w:shd w:val="clear" w:color="auto" w:fill="D9D9D9" w:themeFill="background1" w:themeFillShade="D9"/>
            <w:hideMark/>
          </w:tcPr>
          <w:p w14:paraId="6DBFAF13" w14:textId="77777777" w:rsidR="00F12D5A" w:rsidRPr="00BF794D" w:rsidRDefault="00F12D5A" w:rsidP="005C6364">
            <w:pPr>
              <w:pStyle w:val="TableText"/>
              <w:keepNext/>
              <w:keepLines/>
              <w:spacing w:before="20" w:after="20"/>
              <w:rPr>
                <w:rFonts w:asciiTheme="minorHAnsi" w:hAnsiTheme="minorHAnsi" w:cstheme="minorHAnsi"/>
              </w:rPr>
            </w:pPr>
          </w:p>
        </w:tc>
        <w:tc>
          <w:tcPr>
            <w:tcW w:w="842" w:type="dxa"/>
            <w:tcBorders>
              <w:right w:val="single" w:sz="4" w:space="0" w:color="808080" w:themeColor="background1" w:themeShade="80"/>
            </w:tcBorders>
            <w:shd w:val="clear" w:color="auto" w:fill="D9D9D9" w:themeFill="background1" w:themeFillShade="D9"/>
            <w:noWrap/>
            <w:hideMark/>
          </w:tcPr>
          <w:p w14:paraId="6DAC6848" w14:textId="77777777" w:rsidR="00F12D5A" w:rsidRPr="00BF794D" w:rsidRDefault="00F12D5A" w:rsidP="005C6364">
            <w:pPr>
              <w:pStyle w:val="TableText"/>
              <w:keepNext/>
              <w:keepLines/>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8%</w:t>
            </w:r>
          </w:p>
        </w:tc>
        <w:tc>
          <w:tcPr>
            <w:tcW w:w="1045" w:type="dxa"/>
            <w:tcBorders>
              <w:left w:val="single" w:sz="4" w:space="0" w:color="808080" w:themeColor="background1" w:themeShade="80"/>
            </w:tcBorders>
            <w:shd w:val="clear" w:color="auto" w:fill="808080" w:themeFill="background1" w:themeFillShade="80"/>
            <w:noWrap/>
            <w:hideMark/>
          </w:tcPr>
          <w:p w14:paraId="0A298014" w14:textId="77777777" w:rsidR="00F12D5A" w:rsidRPr="00BF794D" w:rsidRDefault="00F12D5A" w:rsidP="005C6364">
            <w:pPr>
              <w:pStyle w:val="TableText"/>
              <w:keepNext/>
              <w:keepLines/>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25%</w:t>
            </w:r>
          </w:p>
        </w:tc>
        <w:tc>
          <w:tcPr>
            <w:tcW w:w="909" w:type="dxa"/>
            <w:shd w:val="clear" w:color="auto" w:fill="808080" w:themeFill="background1" w:themeFillShade="80"/>
            <w:noWrap/>
            <w:hideMark/>
          </w:tcPr>
          <w:p w14:paraId="752344B9" w14:textId="77777777" w:rsidR="00F12D5A" w:rsidRPr="00BF794D" w:rsidRDefault="00F12D5A" w:rsidP="005C6364">
            <w:pPr>
              <w:pStyle w:val="TableText"/>
              <w:keepNext/>
              <w:keepLines/>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29%</w:t>
            </w:r>
          </w:p>
        </w:tc>
        <w:tc>
          <w:tcPr>
            <w:tcW w:w="908" w:type="dxa"/>
            <w:shd w:val="clear" w:color="auto" w:fill="808080" w:themeFill="background1" w:themeFillShade="80"/>
            <w:noWrap/>
            <w:hideMark/>
          </w:tcPr>
          <w:p w14:paraId="651055A8" w14:textId="77777777" w:rsidR="00F12D5A" w:rsidRPr="00BF794D" w:rsidRDefault="00F12D5A" w:rsidP="005C6364">
            <w:pPr>
              <w:pStyle w:val="TableText"/>
              <w:keepNext/>
              <w:keepLines/>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35%</w:t>
            </w:r>
          </w:p>
        </w:tc>
        <w:tc>
          <w:tcPr>
            <w:tcW w:w="911" w:type="dxa"/>
            <w:noWrap/>
            <w:hideMark/>
          </w:tcPr>
          <w:p w14:paraId="3EB2EFF7" w14:textId="77777777" w:rsidR="00F12D5A" w:rsidRPr="00BF794D" w:rsidRDefault="00F12D5A" w:rsidP="005C6364">
            <w:pPr>
              <w:pStyle w:val="TableText"/>
              <w:keepNext/>
              <w:keepLines/>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44%</w:t>
            </w:r>
          </w:p>
        </w:tc>
      </w:tr>
      <w:tr w:rsidR="00F12D5A" w:rsidRPr="00BF794D" w14:paraId="02476433" w14:textId="77777777" w:rsidTr="00D33479">
        <w:trPr>
          <w:trHeight w:val="261"/>
        </w:trPr>
        <w:tc>
          <w:tcPr>
            <w:cnfStyle w:val="001000000000" w:firstRow="0" w:lastRow="0" w:firstColumn="1" w:lastColumn="0" w:oddVBand="0" w:evenVBand="0" w:oddHBand="0" w:evenHBand="0" w:firstRowFirstColumn="0" w:firstRowLastColumn="0" w:lastRowFirstColumn="0" w:lastRowLastColumn="0"/>
            <w:tcW w:w="1524" w:type="dxa"/>
            <w:vMerge/>
            <w:shd w:val="clear" w:color="auto" w:fill="D9D9D9" w:themeFill="background1" w:themeFillShade="D9"/>
            <w:hideMark/>
          </w:tcPr>
          <w:p w14:paraId="7D41063D" w14:textId="77777777" w:rsidR="00F12D5A" w:rsidRPr="00BF794D" w:rsidRDefault="00F12D5A" w:rsidP="005C6364">
            <w:pPr>
              <w:pStyle w:val="TableText"/>
              <w:keepNext/>
              <w:keepLines/>
              <w:spacing w:before="20" w:after="20"/>
              <w:rPr>
                <w:rFonts w:asciiTheme="minorHAnsi" w:hAnsiTheme="minorHAnsi" w:cstheme="minorHAnsi"/>
              </w:rPr>
            </w:pPr>
          </w:p>
        </w:tc>
        <w:tc>
          <w:tcPr>
            <w:tcW w:w="842" w:type="dxa"/>
            <w:tcBorders>
              <w:right w:val="single" w:sz="4" w:space="0" w:color="808080" w:themeColor="background1" w:themeShade="80"/>
            </w:tcBorders>
            <w:shd w:val="clear" w:color="auto" w:fill="D9D9D9" w:themeFill="background1" w:themeFillShade="D9"/>
            <w:noWrap/>
            <w:hideMark/>
          </w:tcPr>
          <w:p w14:paraId="42993DFB" w14:textId="77777777" w:rsidR="00F12D5A" w:rsidRPr="00BF794D" w:rsidRDefault="00F12D5A" w:rsidP="005C6364">
            <w:pPr>
              <w:pStyle w:val="TableText"/>
              <w:keepNext/>
              <w:keepLines/>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9%</w:t>
            </w:r>
          </w:p>
        </w:tc>
        <w:tc>
          <w:tcPr>
            <w:tcW w:w="1045" w:type="dxa"/>
            <w:tcBorders>
              <w:left w:val="single" w:sz="4" w:space="0" w:color="808080" w:themeColor="background1" w:themeShade="80"/>
            </w:tcBorders>
            <w:shd w:val="clear" w:color="auto" w:fill="808080" w:themeFill="background1" w:themeFillShade="80"/>
            <w:noWrap/>
            <w:hideMark/>
          </w:tcPr>
          <w:p w14:paraId="0BEBAEB6" w14:textId="77777777" w:rsidR="00F12D5A" w:rsidRPr="00BF794D" w:rsidRDefault="00F12D5A" w:rsidP="005C6364">
            <w:pPr>
              <w:pStyle w:val="TableText"/>
              <w:keepNext/>
              <w:keepLines/>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21%</w:t>
            </w:r>
          </w:p>
        </w:tc>
        <w:tc>
          <w:tcPr>
            <w:tcW w:w="909" w:type="dxa"/>
            <w:shd w:val="clear" w:color="auto" w:fill="808080" w:themeFill="background1" w:themeFillShade="80"/>
            <w:noWrap/>
            <w:hideMark/>
          </w:tcPr>
          <w:p w14:paraId="6B9A3E80" w14:textId="77777777" w:rsidR="00F12D5A" w:rsidRPr="00BF794D" w:rsidRDefault="00F12D5A" w:rsidP="005C6364">
            <w:pPr>
              <w:pStyle w:val="TableText"/>
              <w:keepNext/>
              <w:keepLines/>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25%</w:t>
            </w:r>
          </w:p>
        </w:tc>
        <w:tc>
          <w:tcPr>
            <w:tcW w:w="908" w:type="dxa"/>
            <w:shd w:val="clear" w:color="auto" w:fill="808080" w:themeFill="background1" w:themeFillShade="80"/>
            <w:noWrap/>
            <w:hideMark/>
          </w:tcPr>
          <w:p w14:paraId="175CB228" w14:textId="77777777" w:rsidR="00F12D5A" w:rsidRPr="00BF794D" w:rsidRDefault="00F12D5A" w:rsidP="005C6364">
            <w:pPr>
              <w:pStyle w:val="TableText"/>
              <w:keepNext/>
              <w:keepLines/>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31%</w:t>
            </w:r>
          </w:p>
        </w:tc>
        <w:tc>
          <w:tcPr>
            <w:tcW w:w="911" w:type="dxa"/>
            <w:noWrap/>
            <w:hideMark/>
          </w:tcPr>
          <w:p w14:paraId="5A2B7388" w14:textId="77777777" w:rsidR="00F12D5A" w:rsidRPr="00BF794D" w:rsidRDefault="00F12D5A" w:rsidP="005C6364">
            <w:pPr>
              <w:pStyle w:val="TableText"/>
              <w:keepNext/>
              <w:keepLines/>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40%</w:t>
            </w:r>
          </w:p>
        </w:tc>
      </w:tr>
      <w:tr w:rsidR="00F12D5A" w:rsidRPr="00BF794D" w14:paraId="372641A3" w14:textId="77777777" w:rsidTr="00D33479">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524" w:type="dxa"/>
            <w:shd w:val="clear" w:color="auto" w:fill="D9D9D9" w:themeFill="background1" w:themeFillShade="D9"/>
            <w:noWrap/>
            <w:hideMark/>
          </w:tcPr>
          <w:p w14:paraId="07DBAB8F" w14:textId="77777777" w:rsidR="00F12D5A" w:rsidRPr="00BF794D" w:rsidRDefault="00F12D5A" w:rsidP="005C6364">
            <w:pPr>
              <w:pStyle w:val="TableText"/>
              <w:keepNext/>
              <w:keepLines/>
              <w:spacing w:before="20" w:after="20"/>
              <w:rPr>
                <w:rFonts w:asciiTheme="minorHAnsi" w:hAnsiTheme="minorHAnsi" w:cstheme="minorHAnsi"/>
              </w:rPr>
            </w:pPr>
            <w:r w:rsidRPr="00BF794D">
              <w:rPr>
                <w:rFonts w:asciiTheme="minorHAnsi" w:hAnsiTheme="minorHAnsi" w:cstheme="minorHAnsi"/>
              </w:rPr>
              <w:t> </w:t>
            </w:r>
          </w:p>
        </w:tc>
        <w:tc>
          <w:tcPr>
            <w:tcW w:w="842" w:type="dxa"/>
            <w:tcBorders>
              <w:right w:val="single" w:sz="4" w:space="0" w:color="808080" w:themeColor="background1" w:themeShade="80"/>
            </w:tcBorders>
            <w:shd w:val="clear" w:color="auto" w:fill="D9D9D9" w:themeFill="background1" w:themeFillShade="D9"/>
            <w:noWrap/>
            <w:hideMark/>
          </w:tcPr>
          <w:p w14:paraId="115134D1" w14:textId="77777777" w:rsidR="00F12D5A" w:rsidRPr="00BF794D" w:rsidRDefault="00F12D5A" w:rsidP="005C6364">
            <w:pPr>
              <w:pStyle w:val="TableText"/>
              <w:keepNext/>
              <w:keepLines/>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10%</w:t>
            </w:r>
          </w:p>
        </w:tc>
        <w:tc>
          <w:tcPr>
            <w:tcW w:w="1045" w:type="dxa"/>
            <w:tcBorders>
              <w:left w:val="single" w:sz="4" w:space="0" w:color="808080" w:themeColor="background1" w:themeShade="80"/>
            </w:tcBorders>
            <w:shd w:val="clear" w:color="auto" w:fill="808080" w:themeFill="background1" w:themeFillShade="80"/>
            <w:noWrap/>
            <w:hideMark/>
          </w:tcPr>
          <w:p w14:paraId="7363F24E" w14:textId="77777777" w:rsidR="00F12D5A" w:rsidRPr="00BF794D" w:rsidRDefault="00F12D5A" w:rsidP="005C6364">
            <w:pPr>
              <w:pStyle w:val="TableText"/>
              <w:keepNext/>
              <w:keepLines/>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19%</w:t>
            </w:r>
          </w:p>
        </w:tc>
        <w:tc>
          <w:tcPr>
            <w:tcW w:w="909" w:type="dxa"/>
            <w:shd w:val="clear" w:color="auto" w:fill="808080" w:themeFill="background1" w:themeFillShade="80"/>
            <w:noWrap/>
            <w:hideMark/>
          </w:tcPr>
          <w:p w14:paraId="5C539AB9" w14:textId="77777777" w:rsidR="00F12D5A" w:rsidRPr="00BF794D" w:rsidRDefault="00F12D5A" w:rsidP="005C6364">
            <w:pPr>
              <w:pStyle w:val="TableText"/>
              <w:keepNext/>
              <w:keepLines/>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22%</w:t>
            </w:r>
          </w:p>
        </w:tc>
        <w:tc>
          <w:tcPr>
            <w:tcW w:w="908" w:type="dxa"/>
            <w:shd w:val="clear" w:color="auto" w:fill="808080" w:themeFill="background1" w:themeFillShade="80"/>
            <w:noWrap/>
            <w:hideMark/>
          </w:tcPr>
          <w:p w14:paraId="0E63A186" w14:textId="77777777" w:rsidR="00F12D5A" w:rsidRPr="00BF794D" w:rsidRDefault="00F12D5A" w:rsidP="005C6364">
            <w:pPr>
              <w:pStyle w:val="TableText"/>
              <w:keepNext/>
              <w:keepLines/>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27%</w:t>
            </w:r>
          </w:p>
        </w:tc>
        <w:tc>
          <w:tcPr>
            <w:tcW w:w="911" w:type="dxa"/>
            <w:shd w:val="clear" w:color="auto" w:fill="808080" w:themeFill="background1" w:themeFillShade="80"/>
            <w:noWrap/>
            <w:hideMark/>
          </w:tcPr>
          <w:p w14:paraId="1F383DE4" w14:textId="77777777" w:rsidR="00F12D5A" w:rsidRPr="00BF794D" w:rsidRDefault="00F12D5A" w:rsidP="005C6364">
            <w:pPr>
              <w:pStyle w:val="TableText"/>
              <w:keepNext/>
              <w:keepLines/>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36%</w:t>
            </w:r>
          </w:p>
        </w:tc>
      </w:tr>
    </w:tbl>
    <w:p w14:paraId="3ABB545E" w14:textId="2AC2C52C" w:rsidR="00964500" w:rsidRDefault="00964500" w:rsidP="00964500">
      <w:pPr>
        <w:pStyle w:val="Heading2"/>
      </w:pPr>
      <w:bookmarkStart w:id="110" w:name="_Toc497200451"/>
      <w:bookmarkStart w:id="111" w:name="_Toc497200456"/>
      <w:bookmarkStart w:id="112" w:name="_Toc496857571"/>
      <w:bookmarkStart w:id="113" w:name="_Toc435611225"/>
      <w:bookmarkEnd w:id="110"/>
      <w:bookmarkEnd w:id="111"/>
      <w:r>
        <w:t>Stages of the Collection</w:t>
      </w:r>
      <w:bookmarkEnd w:id="112"/>
    </w:p>
    <w:p w14:paraId="2704858F" w14:textId="7B3419F7" w:rsidR="0032225B" w:rsidRDefault="00FA2287">
      <w:r>
        <w:t xml:space="preserve">While the stages of the collection for Round 20 are similar to that of Round 18, the methodology adopted in Round 20 was different to previous Rounds. </w:t>
      </w:r>
      <w:r w:rsidR="00964500" w:rsidRPr="009A6D02">
        <w:t xml:space="preserve">There were eight stages of the </w:t>
      </w:r>
      <w:r w:rsidR="0032225B">
        <w:t>private sector NHCDC, which are:</w:t>
      </w:r>
    </w:p>
    <w:p w14:paraId="5B963130" w14:textId="047E8202" w:rsidR="0032225B" w:rsidRDefault="0032225B" w:rsidP="00823692">
      <w:pPr>
        <w:spacing w:after="60"/>
      </w:pPr>
      <w:r>
        <w:t xml:space="preserve">Stage 1: </w:t>
      </w:r>
      <w:r w:rsidR="00D33479">
        <w:t>Stakeholder engagement</w:t>
      </w:r>
    </w:p>
    <w:p w14:paraId="33EBAD32" w14:textId="5A4D1E74" w:rsidR="0032225B" w:rsidRDefault="0032225B" w:rsidP="00823692">
      <w:pPr>
        <w:spacing w:after="60"/>
      </w:pPr>
      <w:r>
        <w:t>Stage 2: Data collection</w:t>
      </w:r>
    </w:p>
    <w:p w14:paraId="6AE71A7B" w14:textId="43E04ED6" w:rsidR="0032225B" w:rsidRDefault="0032225B" w:rsidP="00823692">
      <w:pPr>
        <w:spacing w:after="60"/>
      </w:pPr>
      <w:r>
        <w:t xml:space="preserve">Stage 3: Data </w:t>
      </w:r>
      <w:r w:rsidR="00D33479">
        <w:t>preparation</w:t>
      </w:r>
    </w:p>
    <w:p w14:paraId="22B068FB" w14:textId="418BB4DF" w:rsidR="0032225B" w:rsidRDefault="0032225B" w:rsidP="00823692">
      <w:pPr>
        <w:spacing w:after="60"/>
      </w:pPr>
      <w:r>
        <w:t>Stage 4: Costing</w:t>
      </w:r>
    </w:p>
    <w:p w14:paraId="743E4584" w14:textId="044E351C" w:rsidR="0032225B" w:rsidRDefault="0032225B" w:rsidP="00823692">
      <w:pPr>
        <w:spacing w:after="60"/>
      </w:pPr>
      <w:r>
        <w:t xml:space="preserve">Stage 5: Data </w:t>
      </w:r>
      <w:r w:rsidR="00D33479">
        <w:t>submission</w:t>
      </w:r>
    </w:p>
    <w:p w14:paraId="425C883C" w14:textId="273AEE8C" w:rsidR="0032225B" w:rsidRDefault="0032225B" w:rsidP="00823692">
      <w:pPr>
        <w:spacing w:after="60"/>
      </w:pPr>
      <w:r>
        <w:t xml:space="preserve">Stage 6: Data </w:t>
      </w:r>
      <w:r w:rsidR="00D33479">
        <w:t xml:space="preserve">validation </w:t>
      </w:r>
      <w:r>
        <w:t>and Quality Assurance (QA)</w:t>
      </w:r>
    </w:p>
    <w:p w14:paraId="2D45619F" w14:textId="1E508324" w:rsidR="0032225B" w:rsidRDefault="0032225B" w:rsidP="00823692">
      <w:pPr>
        <w:spacing w:after="60"/>
      </w:pPr>
      <w:r>
        <w:t xml:space="preserve">Stage 7: </w:t>
      </w:r>
      <w:r w:rsidR="00D33479">
        <w:t>Data analysis (including adjustments)</w:t>
      </w:r>
    </w:p>
    <w:p w14:paraId="46670E97" w14:textId="69099ACB" w:rsidR="0032225B" w:rsidRDefault="0032225B" w:rsidP="00823692">
      <w:pPr>
        <w:spacing w:after="60"/>
      </w:pPr>
      <w:r>
        <w:t>Stage 8: Reporting</w:t>
      </w:r>
    </w:p>
    <w:p w14:paraId="7DF8AF1B" w14:textId="11C3B0D5" w:rsidR="005068A3" w:rsidRDefault="00964500" w:rsidP="00823692">
      <w:pPr>
        <w:spacing w:before="240"/>
      </w:pPr>
      <w:r w:rsidRPr="009A6D02">
        <w:t xml:space="preserve">For more details please </w:t>
      </w:r>
      <w:r>
        <w:t xml:space="preserve">refer to </w:t>
      </w:r>
      <w:r>
        <w:fldChar w:fldCharType="begin"/>
      </w:r>
      <w:r>
        <w:instrText xml:space="preserve"> REF _Ref433966171 \h  \* MERGEFORMAT </w:instrText>
      </w:r>
      <w:r>
        <w:fldChar w:fldCharType="separate"/>
      </w:r>
      <w:r w:rsidR="00681CD9" w:rsidRPr="00681CD9">
        <w:rPr>
          <w:rFonts w:asciiTheme="majorHAnsi" w:hAnsiTheme="majorHAnsi"/>
        </w:rPr>
        <w:t>Appendix B: Detailed methodology</w:t>
      </w:r>
      <w:r>
        <w:fldChar w:fldCharType="end"/>
      </w:r>
      <w:r>
        <w:t>.</w:t>
      </w:r>
    </w:p>
    <w:p w14:paraId="48D311E4" w14:textId="77777777" w:rsidR="005068A3" w:rsidRDefault="005068A3">
      <w:pPr>
        <w:spacing w:after="0"/>
      </w:pPr>
      <w:r>
        <w:br w:type="page"/>
      </w:r>
    </w:p>
    <w:p w14:paraId="1B3FE8AA" w14:textId="2241ECD3" w:rsidR="005D7320" w:rsidRPr="00A80860" w:rsidRDefault="005068A3" w:rsidP="00F40C87">
      <w:pPr>
        <w:pStyle w:val="Heading1"/>
      </w:pPr>
      <w:bookmarkStart w:id="114" w:name="_Toc497732628"/>
      <w:bookmarkStart w:id="115" w:name="_Toc497736259"/>
      <w:bookmarkStart w:id="116" w:name="_Toc497736447"/>
      <w:bookmarkStart w:id="117" w:name="_Toc497200460"/>
      <w:bookmarkStart w:id="118" w:name="_Toc497200461"/>
      <w:bookmarkStart w:id="119" w:name="_Toc497750212"/>
      <w:bookmarkEnd w:id="114"/>
      <w:bookmarkEnd w:id="115"/>
      <w:bookmarkEnd w:id="116"/>
      <w:bookmarkEnd w:id="117"/>
      <w:bookmarkEnd w:id="118"/>
      <w:r>
        <w:lastRenderedPageBreak/>
        <w:t>R</w:t>
      </w:r>
      <w:r w:rsidR="005D7320">
        <w:t>esults</w:t>
      </w:r>
      <w:bookmarkEnd w:id="119"/>
    </w:p>
    <w:p w14:paraId="7DCD8A82" w14:textId="3334E1C0" w:rsidR="005D7320" w:rsidRPr="000C4242" w:rsidRDefault="00D90FEE" w:rsidP="005D7320">
      <w:pPr>
        <w:pStyle w:val="Heading2"/>
      </w:pPr>
      <w:bookmarkStart w:id="120" w:name="_Toc435611227"/>
      <w:bookmarkStart w:id="121" w:name="_Ref433272082"/>
      <w:bookmarkStart w:id="122" w:name="_Ref433272076"/>
      <w:bookmarkStart w:id="123" w:name="_Toc496857573"/>
      <w:r>
        <w:t xml:space="preserve">Participation </w:t>
      </w:r>
      <w:bookmarkEnd w:id="120"/>
      <w:bookmarkEnd w:id="121"/>
      <w:bookmarkEnd w:id="122"/>
      <w:bookmarkEnd w:id="123"/>
    </w:p>
    <w:p w14:paraId="797C6762" w14:textId="7AC241AD" w:rsidR="005D7320" w:rsidRPr="000C4242" w:rsidRDefault="005068A3" w:rsidP="005068A3">
      <w:r w:rsidRPr="000C4242">
        <w:t xml:space="preserve">The population of separations </w:t>
      </w:r>
      <w:r>
        <w:t xml:space="preserve">in Round 20 </w:t>
      </w:r>
      <w:r w:rsidRPr="000C4242">
        <w:t xml:space="preserve">is defined as all acute admitted separations performed at </w:t>
      </w:r>
      <w:r w:rsidRPr="00082B35">
        <w:t xml:space="preserve">246 </w:t>
      </w:r>
      <w:r>
        <w:t xml:space="preserve">in scope </w:t>
      </w:r>
      <w:r w:rsidR="001F788D">
        <w:t xml:space="preserve">overnight private </w:t>
      </w:r>
      <w:r w:rsidRPr="00082B35">
        <w:t>h</w:t>
      </w:r>
      <w:r w:rsidRPr="000C4242">
        <w:t>ospitals in 2015</w:t>
      </w:r>
      <w:r>
        <w:t>-</w:t>
      </w:r>
      <w:r w:rsidRPr="000C4242">
        <w:t xml:space="preserve">16, which </w:t>
      </w:r>
      <w:proofErr w:type="gramStart"/>
      <w:r>
        <w:t>is</w:t>
      </w:r>
      <w:proofErr w:type="gramEnd"/>
      <w:r w:rsidRPr="000C4242">
        <w:t xml:space="preserve"> </w:t>
      </w:r>
      <w:r>
        <w:t>3,051,681 separations</w:t>
      </w:r>
      <w:r w:rsidRPr="000C4242">
        <w:t>.</w:t>
      </w:r>
      <w:r>
        <w:t xml:space="preserve">  </w:t>
      </w:r>
    </w:p>
    <w:p w14:paraId="2328AB61" w14:textId="47D0BED0" w:rsidR="005D7320" w:rsidRPr="000C4242" w:rsidRDefault="005D7320" w:rsidP="005068A3">
      <w:r w:rsidRPr="000C4242">
        <w:t xml:space="preserve">The number of sample separations in Round 20 was </w:t>
      </w:r>
      <w:r w:rsidR="00CA084B">
        <w:t>1,781,699</w:t>
      </w:r>
      <w:r w:rsidRPr="000C4242">
        <w:t xml:space="preserve"> which </w:t>
      </w:r>
      <w:proofErr w:type="gramStart"/>
      <w:r w:rsidRPr="000C4242">
        <w:t>represent</w:t>
      </w:r>
      <w:r w:rsidR="001A21FD">
        <w:t>s</w:t>
      </w:r>
      <w:proofErr w:type="gramEnd"/>
      <w:r w:rsidRPr="000C4242">
        <w:t xml:space="preserve"> </w:t>
      </w:r>
      <w:r w:rsidR="00E52A05">
        <w:t xml:space="preserve">a </w:t>
      </w:r>
      <w:r w:rsidR="00E359A8">
        <w:t xml:space="preserve">5.0 </w:t>
      </w:r>
      <w:r w:rsidR="00E52A05">
        <w:t>per</w:t>
      </w:r>
      <w:r w:rsidR="005068A3">
        <w:t> </w:t>
      </w:r>
      <w:r w:rsidR="00E52A05">
        <w:t>cent</w:t>
      </w:r>
      <w:r w:rsidR="00BF2A9E">
        <w:t xml:space="preserve"> increase in the </w:t>
      </w:r>
      <w:r w:rsidR="001A21FD">
        <w:t>sample</w:t>
      </w:r>
      <w:r w:rsidRPr="000C4242">
        <w:t xml:space="preserve"> separations compar</w:t>
      </w:r>
      <w:r w:rsidR="00D379AF">
        <w:t>ed to Round 18 (shown in Table 4</w:t>
      </w:r>
      <w:r w:rsidRPr="000C4242">
        <w:t>).</w:t>
      </w:r>
      <w:r w:rsidR="001F788D" w:rsidRPr="001F788D">
        <w:t xml:space="preserve"> </w:t>
      </w:r>
      <w:r w:rsidR="001F788D">
        <w:t xml:space="preserve">In Round 20 the participation rate is 58 per cent of separations, which is a small decrease of </w:t>
      </w:r>
      <w:r w:rsidR="00E359A8">
        <w:t xml:space="preserve">2.0 </w:t>
      </w:r>
      <w:r w:rsidR="001F788D">
        <w:t>per cent compared to Round 18.</w:t>
      </w:r>
    </w:p>
    <w:p w14:paraId="6A436DEB" w14:textId="317A0634" w:rsidR="005D7320" w:rsidRDefault="005D7320" w:rsidP="005068A3">
      <w:r w:rsidRPr="000C4242">
        <w:t xml:space="preserve">The average number of </w:t>
      </w:r>
      <w:r w:rsidR="0022779A">
        <w:t xml:space="preserve">sample </w:t>
      </w:r>
      <w:r w:rsidRPr="000C4242">
        <w:t xml:space="preserve">separations </w:t>
      </w:r>
      <w:r w:rsidR="0022779A">
        <w:t xml:space="preserve">submitted </w:t>
      </w:r>
      <w:r w:rsidRPr="000C4242">
        <w:t xml:space="preserve">per participant increased by </w:t>
      </w:r>
      <w:r w:rsidR="00BF2A9E">
        <w:t>1,899</w:t>
      </w:r>
      <w:r w:rsidRPr="000C4242">
        <w:t xml:space="preserve"> separations (from </w:t>
      </w:r>
      <w:r w:rsidR="00BF2A9E">
        <w:t>17,68</w:t>
      </w:r>
      <w:r w:rsidR="0053227C">
        <w:t>0</w:t>
      </w:r>
      <w:r w:rsidRPr="000C4242">
        <w:t xml:space="preserve"> to </w:t>
      </w:r>
      <w:r w:rsidR="00BF2A9E">
        <w:t>19,579</w:t>
      </w:r>
      <w:r w:rsidR="006212A3">
        <w:t>) between R</w:t>
      </w:r>
      <w:r w:rsidRPr="000C4242">
        <w:t xml:space="preserve">ound 18 and </w:t>
      </w:r>
      <w:r w:rsidR="001F788D">
        <w:t xml:space="preserve">Round </w:t>
      </w:r>
      <w:r w:rsidRPr="000C4242">
        <w:t>20.</w:t>
      </w:r>
      <w:r w:rsidR="00BF2A9E">
        <w:t xml:space="preserve"> </w:t>
      </w:r>
      <w:proofErr w:type="gramStart"/>
      <w:r w:rsidR="00BF2A9E">
        <w:t>The a</w:t>
      </w:r>
      <w:r w:rsidR="00BF2A9E" w:rsidRPr="00BF2A9E">
        <w:t>verage numbe</w:t>
      </w:r>
      <w:r w:rsidR="00BF2A9E">
        <w:t xml:space="preserve">r of separations per population </w:t>
      </w:r>
      <w:r w:rsidR="00BF2A9E" w:rsidRPr="00BF2A9E">
        <w:t>hospital</w:t>
      </w:r>
      <w:r w:rsidR="00BF2A9E">
        <w:t xml:space="preserve"> increased by 371 separations (from 12,034 to 12,405) between </w:t>
      </w:r>
      <w:r w:rsidR="0022779A">
        <w:t xml:space="preserve">Round </w:t>
      </w:r>
      <w:r w:rsidR="0022779A" w:rsidRPr="000C4242">
        <w:t xml:space="preserve">18 and </w:t>
      </w:r>
      <w:r w:rsidR="001F788D">
        <w:t xml:space="preserve">Round </w:t>
      </w:r>
      <w:r w:rsidR="0022779A" w:rsidRPr="000C4242">
        <w:t>20</w:t>
      </w:r>
      <w:r w:rsidR="00BF2A9E">
        <w:t>.</w:t>
      </w:r>
      <w:proofErr w:type="gramEnd"/>
    </w:p>
    <w:p w14:paraId="2CCD2DFD" w14:textId="73E9A348" w:rsidR="005D7320" w:rsidRDefault="005D7320" w:rsidP="006F21D0">
      <w:pPr>
        <w:pStyle w:val="TableHeadings3"/>
      </w:pPr>
      <w:bookmarkStart w:id="124" w:name="_Ref353931865"/>
      <w:bookmarkStart w:id="125" w:name="_Toc432078942"/>
      <w:bookmarkStart w:id="126" w:name="_Toc497488029"/>
      <w:bookmarkStart w:id="127" w:name="_Toc497750018"/>
      <w:proofErr w:type="gramStart"/>
      <w:r w:rsidRPr="001119EE">
        <w:t xml:space="preserve">Table </w:t>
      </w:r>
      <w:bookmarkEnd w:id="124"/>
      <w:r w:rsidR="00D379AF">
        <w:t>4</w:t>
      </w:r>
      <w:r w:rsidR="004F7ECE">
        <w:t>.</w:t>
      </w:r>
      <w:proofErr w:type="gramEnd"/>
      <w:r w:rsidR="005068A3">
        <w:t xml:space="preserve"> </w:t>
      </w:r>
      <w:r w:rsidRPr="001119EE">
        <w:t>Comparison</w:t>
      </w:r>
      <w:r w:rsidR="005068A3">
        <w:t xml:space="preserve"> </w:t>
      </w:r>
      <w:r w:rsidRPr="001119EE">
        <w:t xml:space="preserve">of separations and hospitals, Round </w:t>
      </w:r>
      <w:r w:rsidR="00571D9D">
        <w:t>11</w:t>
      </w:r>
      <w:r w:rsidRPr="001119EE">
        <w:t xml:space="preserve"> (200</w:t>
      </w:r>
      <w:r w:rsidR="00571D9D">
        <w:t>6-07</w:t>
      </w:r>
      <w:r w:rsidRPr="001119EE">
        <w:t xml:space="preserve">) to Round </w:t>
      </w:r>
      <w:bookmarkStart w:id="128" w:name="_Toc496794481"/>
      <w:bookmarkStart w:id="129" w:name="_Toc497332904"/>
      <w:r w:rsidR="00CA084B">
        <w:t>20 (2015-16</w:t>
      </w:r>
      <w:r w:rsidRPr="001119EE">
        <w:t>)</w:t>
      </w:r>
      <w:bookmarkEnd w:id="125"/>
      <w:bookmarkEnd w:id="126"/>
      <w:bookmarkEnd w:id="127"/>
      <w:bookmarkEnd w:id="128"/>
      <w:bookmarkEnd w:id="129"/>
    </w:p>
    <w:tbl>
      <w:tblPr>
        <w:tblW w:w="9498" w:type="dxa"/>
        <w:tblInd w:w="108" w:type="dxa"/>
        <w:tblLayout w:type="fixed"/>
        <w:tblLook w:val="04A0" w:firstRow="1" w:lastRow="0" w:firstColumn="1" w:lastColumn="0" w:noHBand="0" w:noVBand="1"/>
      </w:tblPr>
      <w:tblGrid>
        <w:gridCol w:w="2518"/>
        <w:gridCol w:w="997"/>
        <w:gridCol w:w="997"/>
        <w:gridCol w:w="997"/>
        <w:gridCol w:w="997"/>
        <w:gridCol w:w="997"/>
        <w:gridCol w:w="997"/>
        <w:gridCol w:w="998"/>
      </w:tblGrid>
      <w:tr w:rsidR="00571D9D" w:rsidRPr="00823692" w14:paraId="538FC0BA" w14:textId="77777777" w:rsidTr="004A249A">
        <w:trPr>
          <w:trHeight w:val="320"/>
        </w:trPr>
        <w:tc>
          <w:tcPr>
            <w:tcW w:w="2518" w:type="dxa"/>
            <w:vMerge w:val="restart"/>
            <w:tcBorders>
              <w:top w:val="single" w:sz="4" w:space="0" w:color="auto"/>
              <w:left w:val="nil"/>
              <w:bottom w:val="single" w:sz="4" w:space="0" w:color="000000"/>
              <w:right w:val="nil"/>
            </w:tcBorders>
            <w:shd w:val="clear" w:color="auto" w:fill="auto"/>
            <w:noWrap/>
            <w:hideMark/>
          </w:tcPr>
          <w:p w14:paraId="0D1A4A41" w14:textId="77777777" w:rsidR="00571D9D" w:rsidRPr="00823692" w:rsidRDefault="00571D9D" w:rsidP="00823692">
            <w:pPr>
              <w:pStyle w:val="TableText"/>
              <w:spacing w:before="40" w:after="40"/>
              <w:rPr>
                <w:b/>
                <w:sz w:val="16"/>
                <w:szCs w:val="16"/>
                <w:lang w:val="en-US" w:eastAsia="en-US"/>
              </w:rPr>
            </w:pPr>
            <w:r w:rsidRPr="00823692">
              <w:rPr>
                <w:b/>
                <w:sz w:val="16"/>
                <w:szCs w:val="16"/>
                <w:lang w:val="en-US" w:eastAsia="en-US"/>
              </w:rPr>
              <w:t>Key Statistic</w:t>
            </w:r>
          </w:p>
        </w:tc>
        <w:tc>
          <w:tcPr>
            <w:tcW w:w="997" w:type="dxa"/>
            <w:vMerge w:val="restart"/>
            <w:tcBorders>
              <w:top w:val="single" w:sz="4" w:space="0" w:color="auto"/>
              <w:left w:val="nil"/>
              <w:bottom w:val="single" w:sz="4" w:space="0" w:color="000000"/>
              <w:right w:val="nil"/>
            </w:tcBorders>
            <w:shd w:val="clear" w:color="auto" w:fill="auto"/>
            <w:hideMark/>
          </w:tcPr>
          <w:p w14:paraId="301B0154" w14:textId="77777777" w:rsidR="00571D9D" w:rsidRPr="00823692" w:rsidRDefault="00571D9D" w:rsidP="00823692">
            <w:pPr>
              <w:pStyle w:val="TableText"/>
              <w:spacing w:before="40" w:after="40"/>
              <w:rPr>
                <w:b/>
                <w:sz w:val="16"/>
                <w:szCs w:val="16"/>
                <w:lang w:val="en-US" w:eastAsia="en-US"/>
              </w:rPr>
            </w:pPr>
            <w:r w:rsidRPr="00823692">
              <w:rPr>
                <w:b/>
                <w:sz w:val="16"/>
                <w:szCs w:val="16"/>
                <w:lang w:val="en-US" w:eastAsia="en-US"/>
              </w:rPr>
              <w:t>Round 11 2006-07</w:t>
            </w:r>
          </w:p>
        </w:tc>
        <w:tc>
          <w:tcPr>
            <w:tcW w:w="997" w:type="dxa"/>
            <w:vMerge w:val="restart"/>
            <w:tcBorders>
              <w:top w:val="single" w:sz="4" w:space="0" w:color="auto"/>
              <w:left w:val="nil"/>
              <w:bottom w:val="single" w:sz="4" w:space="0" w:color="000000"/>
              <w:right w:val="nil"/>
            </w:tcBorders>
            <w:shd w:val="clear" w:color="auto" w:fill="auto"/>
            <w:hideMark/>
          </w:tcPr>
          <w:p w14:paraId="170ECABC" w14:textId="77777777" w:rsidR="00571D9D" w:rsidRPr="00823692" w:rsidRDefault="00571D9D" w:rsidP="00823692">
            <w:pPr>
              <w:pStyle w:val="TableText"/>
              <w:spacing w:before="40" w:after="40"/>
              <w:rPr>
                <w:b/>
                <w:sz w:val="16"/>
                <w:szCs w:val="16"/>
                <w:lang w:val="en-US" w:eastAsia="en-US"/>
              </w:rPr>
            </w:pPr>
            <w:r w:rsidRPr="00823692">
              <w:rPr>
                <w:b/>
                <w:sz w:val="16"/>
                <w:szCs w:val="16"/>
                <w:lang w:val="en-US" w:eastAsia="en-US"/>
              </w:rPr>
              <w:t>Round 12 2007-08</w:t>
            </w:r>
          </w:p>
        </w:tc>
        <w:tc>
          <w:tcPr>
            <w:tcW w:w="997" w:type="dxa"/>
            <w:vMerge w:val="restart"/>
            <w:tcBorders>
              <w:top w:val="single" w:sz="4" w:space="0" w:color="auto"/>
              <w:left w:val="nil"/>
              <w:bottom w:val="single" w:sz="4" w:space="0" w:color="000000"/>
              <w:right w:val="nil"/>
            </w:tcBorders>
            <w:shd w:val="clear" w:color="auto" w:fill="auto"/>
            <w:hideMark/>
          </w:tcPr>
          <w:p w14:paraId="2D845242" w14:textId="77777777" w:rsidR="00571D9D" w:rsidRPr="00823692" w:rsidRDefault="00571D9D" w:rsidP="00823692">
            <w:pPr>
              <w:pStyle w:val="TableText"/>
              <w:spacing w:before="40" w:after="40"/>
              <w:rPr>
                <w:b/>
                <w:sz w:val="16"/>
                <w:szCs w:val="16"/>
                <w:lang w:val="en-US" w:eastAsia="en-US"/>
              </w:rPr>
            </w:pPr>
            <w:r w:rsidRPr="00823692">
              <w:rPr>
                <w:b/>
                <w:sz w:val="16"/>
                <w:szCs w:val="16"/>
                <w:lang w:val="en-US" w:eastAsia="en-US"/>
              </w:rPr>
              <w:t>Round 13 2008-09</w:t>
            </w:r>
          </w:p>
        </w:tc>
        <w:tc>
          <w:tcPr>
            <w:tcW w:w="997" w:type="dxa"/>
            <w:vMerge w:val="restart"/>
            <w:tcBorders>
              <w:top w:val="single" w:sz="4" w:space="0" w:color="auto"/>
              <w:left w:val="nil"/>
              <w:bottom w:val="single" w:sz="4" w:space="0" w:color="000000"/>
              <w:right w:val="nil"/>
            </w:tcBorders>
            <w:shd w:val="clear" w:color="auto" w:fill="auto"/>
            <w:hideMark/>
          </w:tcPr>
          <w:p w14:paraId="48547E26" w14:textId="77777777" w:rsidR="00571D9D" w:rsidRPr="00823692" w:rsidRDefault="00571D9D" w:rsidP="00823692">
            <w:pPr>
              <w:pStyle w:val="TableText"/>
              <w:spacing w:before="40" w:after="40"/>
              <w:rPr>
                <w:b/>
                <w:sz w:val="16"/>
                <w:szCs w:val="16"/>
                <w:lang w:val="en-US" w:eastAsia="en-US"/>
              </w:rPr>
            </w:pPr>
            <w:r w:rsidRPr="00823692">
              <w:rPr>
                <w:b/>
                <w:sz w:val="16"/>
                <w:szCs w:val="16"/>
                <w:lang w:val="en-US" w:eastAsia="en-US"/>
              </w:rPr>
              <w:t>Round 16 2011-12</w:t>
            </w:r>
          </w:p>
        </w:tc>
        <w:tc>
          <w:tcPr>
            <w:tcW w:w="997" w:type="dxa"/>
            <w:vMerge w:val="restart"/>
            <w:tcBorders>
              <w:top w:val="single" w:sz="4" w:space="0" w:color="auto"/>
              <w:left w:val="nil"/>
              <w:bottom w:val="single" w:sz="4" w:space="0" w:color="000000"/>
              <w:right w:val="nil"/>
            </w:tcBorders>
            <w:shd w:val="clear" w:color="auto" w:fill="auto"/>
            <w:hideMark/>
          </w:tcPr>
          <w:p w14:paraId="6C785F47" w14:textId="77777777" w:rsidR="00571D9D" w:rsidRPr="00823692" w:rsidRDefault="00571D9D" w:rsidP="00823692">
            <w:pPr>
              <w:pStyle w:val="TableText"/>
              <w:spacing w:before="40" w:after="40"/>
              <w:rPr>
                <w:b/>
                <w:sz w:val="16"/>
                <w:szCs w:val="16"/>
                <w:lang w:val="en-US" w:eastAsia="en-US"/>
              </w:rPr>
            </w:pPr>
            <w:r w:rsidRPr="00823692">
              <w:rPr>
                <w:b/>
                <w:sz w:val="16"/>
                <w:szCs w:val="16"/>
                <w:lang w:val="en-US" w:eastAsia="en-US"/>
              </w:rPr>
              <w:t>Round 17 2012-13</w:t>
            </w:r>
          </w:p>
        </w:tc>
        <w:tc>
          <w:tcPr>
            <w:tcW w:w="997" w:type="dxa"/>
            <w:vMerge w:val="restart"/>
            <w:tcBorders>
              <w:top w:val="single" w:sz="4" w:space="0" w:color="auto"/>
              <w:left w:val="nil"/>
              <w:bottom w:val="single" w:sz="4" w:space="0" w:color="000000"/>
              <w:right w:val="nil"/>
            </w:tcBorders>
            <w:shd w:val="clear" w:color="auto" w:fill="auto"/>
            <w:hideMark/>
          </w:tcPr>
          <w:p w14:paraId="60EC2113" w14:textId="77777777" w:rsidR="00571D9D" w:rsidRPr="00823692" w:rsidRDefault="00571D9D" w:rsidP="00823692">
            <w:pPr>
              <w:pStyle w:val="TableText"/>
              <w:spacing w:before="40" w:after="40"/>
              <w:rPr>
                <w:b/>
                <w:sz w:val="16"/>
                <w:szCs w:val="16"/>
                <w:lang w:val="en-US" w:eastAsia="en-US"/>
              </w:rPr>
            </w:pPr>
            <w:r w:rsidRPr="00823692">
              <w:rPr>
                <w:b/>
                <w:sz w:val="16"/>
                <w:szCs w:val="16"/>
                <w:lang w:val="en-US" w:eastAsia="en-US"/>
              </w:rPr>
              <w:t>Round 18 2013-14</w:t>
            </w:r>
          </w:p>
        </w:tc>
        <w:tc>
          <w:tcPr>
            <w:tcW w:w="998" w:type="dxa"/>
            <w:vMerge w:val="restart"/>
            <w:tcBorders>
              <w:top w:val="single" w:sz="4" w:space="0" w:color="auto"/>
              <w:left w:val="nil"/>
              <w:bottom w:val="single" w:sz="4" w:space="0" w:color="000000"/>
              <w:right w:val="nil"/>
            </w:tcBorders>
            <w:shd w:val="clear" w:color="auto" w:fill="D9D9D9" w:themeFill="background1" w:themeFillShade="D9"/>
            <w:hideMark/>
          </w:tcPr>
          <w:p w14:paraId="5DBDC086" w14:textId="77777777" w:rsidR="00571D9D" w:rsidRPr="00823692" w:rsidRDefault="00571D9D" w:rsidP="00823692">
            <w:pPr>
              <w:pStyle w:val="TableText"/>
              <w:spacing w:before="40" w:after="40"/>
              <w:rPr>
                <w:b/>
                <w:sz w:val="16"/>
                <w:szCs w:val="16"/>
                <w:lang w:val="en-US" w:eastAsia="en-US"/>
              </w:rPr>
            </w:pPr>
            <w:r w:rsidRPr="00823692">
              <w:rPr>
                <w:b/>
                <w:sz w:val="16"/>
                <w:szCs w:val="16"/>
                <w:lang w:val="en-US" w:eastAsia="en-US"/>
              </w:rPr>
              <w:t>Round 20 2015-16</w:t>
            </w:r>
          </w:p>
        </w:tc>
      </w:tr>
      <w:tr w:rsidR="00571D9D" w:rsidRPr="00571D9D" w14:paraId="0114B1D8" w14:textId="77777777" w:rsidTr="004A249A">
        <w:trPr>
          <w:trHeight w:val="320"/>
        </w:trPr>
        <w:tc>
          <w:tcPr>
            <w:tcW w:w="2518" w:type="dxa"/>
            <w:vMerge/>
            <w:tcBorders>
              <w:top w:val="single" w:sz="4" w:space="0" w:color="auto"/>
              <w:left w:val="nil"/>
              <w:bottom w:val="single" w:sz="4" w:space="0" w:color="000000"/>
              <w:right w:val="nil"/>
            </w:tcBorders>
            <w:vAlign w:val="center"/>
            <w:hideMark/>
          </w:tcPr>
          <w:p w14:paraId="4CE17690" w14:textId="77777777" w:rsidR="00571D9D" w:rsidRPr="00571D9D" w:rsidRDefault="00571D9D" w:rsidP="00823692">
            <w:pPr>
              <w:pStyle w:val="TableText"/>
              <w:spacing w:before="40" w:after="40"/>
              <w:rPr>
                <w:sz w:val="16"/>
                <w:szCs w:val="16"/>
                <w:lang w:val="en-US" w:eastAsia="en-US"/>
              </w:rPr>
            </w:pPr>
          </w:p>
        </w:tc>
        <w:tc>
          <w:tcPr>
            <w:tcW w:w="997" w:type="dxa"/>
            <w:vMerge/>
            <w:tcBorders>
              <w:top w:val="single" w:sz="4" w:space="0" w:color="auto"/>
              <w:left w:val="nil"/>
              <w:bottom w:val="single" w:sz="4" w:space="0" w:color="000000"/>
              <w:right w:val="nil"/>
            </w:tcBorders>
            <w:vAlign w:val="center"/>
            <w:hideMark/>
          </w:tcPr>
          <w:p w14:paraId="6D62AD78" w14:textId="77777777" w:rsidR="00571D9D" w:rsidRPr="00571D9D" w:rsidRDefault="00571D9D" w:rsidP="00823692">
            <w:pPr>
              <w:pStyle w:val="TableText"/>
              <w:spacing w:before="40" w:after="40"/>
              <w:rPr>
                <w:sz w:val="16"/>
                <w:szCs w:val="16"/>
                <w:lang w:val="en-US" w:eastAsia="en-US"/>
              </w:rPr>
            </w:pPr>
          </w:p>
        </w:tc>
        <w:tc>
          <w:tcPr>
            <w:tcW w:w="997" w:type="dxa"/>
            <w:vMerge/>
            <w:tcBorders>
              <w:top w:val="single" w:sz="4" w:space="0" w:color="auto"/>
              <w:left w:val="nil"/>
              <w:bottom w:val="single" w:sz="4" w:space="0" w:color="000000"/>
              <w:right w:val="nil"/>
            </w:tcBorders>
            <w:vAlign w:val="center"/>
            <w:hideMark/>
          </w:tcPr>
          <w:p w14:paraId="7DA5BAF2" w14:textId="77777777" w:rsidR="00571D9D" w:rsidRPr="00571D9D" w:rsidRDefault="00571D9D" w:rsidP="00823692">
            <w:pPr>
              <w:pStyle w:val="TableText"/>
              <w:spacing w:before="40" w:after="40"/>
              <w:rPr>
                <w:sz w:val="16"/>
                <w:szCs w:val="16"/>
                <w:lang w:val="en-US" w:eastAsia="en-US"/>
              </w:rPr>
            </w:pPr>
          </w:p>
        </w:tc>
        <w:tc>
          <w:tcPr>
            <w:tcW w:w="997" w:type="dxa"/>
            <w:vMerge/>
            <w:tcBorders>
              <w:top w:val="single" w:sz="4" w:space="0" w:color="auto"/>
              <w:left w:val="nil"/>
              <w:bottom w:val="single" w:sz="4" w:space="0" w:color="000000"/>
              <w:right w:val="nil"/>
            </w:tcBorders>
            <w:vAlign w:val="center"/>
            <w:hideMark/>
          </w:tcPr>
          <w:p w14:paraId="5A01BFF0" w14:textId="77777777" w:rsidR="00571D9D" w:rsidRPr="00571D9D" w:rsidRDefault="00571D9D" w:rsidP="00823692">
            <w:pPr>
              <w:pStyle w:val="TableText"/>
              <w:spacing w:before="40" w:after="40"/>
              <w:rPr>
                <w:sz w:val="16"/>
                <w:szCs w:val="16"/>
                <w:lang w:val="en-US" w:eastAsia="en-US"/>
              </w:rPr>
            </w:pPr>
          </w:p>
        </w:tc>
        <w:tc>
          <w:tcPr>
            <w:tcW w:w="997" w:type="dxa"/>
            <w:vMerge/>
            <w:tcBorders>
              <w:top w:val="single" w:sz="4" w:space="0" w:color="auto"/>
              <w:left w:val="nil"/>
              <w:bottom w:val="single" w:sz="4" w:space="0" w:color="000000"/>
              <w:right w:val="nil"/>
            </w:tcBorders>
            <w:vAlign w:val="center"/>
            <w:hideMark/>
          </w:tcPr>
          <w:p w14:paraId="102D34EE" w14:textId="77777777" w:rsidR="00571D9D" w:rsidRPr="00571D9D" w:rsidRDefault="00571D9D" w:rsidP="00823692">
            <w:pPr>
              <w:pStyle w:val="TableText"/>
              <w:spacing w:before="40" w:after="40"/>
              <w:rPr>
                <w:sz w:val="16"/>
                <w:szCs w:val="16"/>
                <w:lang w:val="en-US" w:eastAsia="en-US"/>
              </w:rPr>
            </w:pPr>
          </w:p>
        </w:tc>
        <w:tc>
          <w:tcPr>
            <w:tcW w:w="997" w:type="dxa"/>
            <w:vMerge/>
            <w:tcBorders>
              <w:top w:val="single" w:sz="4" w:space="0" w:color="auto"/>
              <w:left w:val="nil"/>
              <w:bottom w:val="single" w:sz="4" w:space="0" w:color="000000"/>
              <w:right w:val="nil"/>
            </w:tcBorders>
            <w:vAlign w:val="center"/>
            <w:hideMark/>
          </w:tcPr>
          <w:p w14:paraId="315440AA" w14:textId="77777777" w:rsidR="00571D9D" w:rsidRPr="00571D9D" w:rsidRDefault="00571D9D" w:rsidP="00823692">
            <w:pPr>
              <w:pStyle w:val="TableText"/>
              <w:spacing w:before="40" w:after="40"/>
              <w:rPr>
                <w:sz w:val="16"/>
                <w:szCs w:val="16"/>
                <w:lang w:val="en-US" w:eastAsia="en-US"/>
              </w:rPr>
            </w:pPr>
          </w:p>
        </w:tc>
        <w:tc>
          <w:tcPr>
            <w:tcW w:w="997" w:type="dxa"/>
            <w:vMerge/>
            <w:tcBorders>
              <w:top w:val="single" w:sz="4" w:space="0" w:color="auto"/>
              <w:left w:val="nil"/>
              <w:bottom w:val="single" w:sz="4" w:space="0" w:color="000000"/>
              <w:right w:val="nil"/>
            </w:tcBorders>
            <w:vAlign w:val="center"/>
            <w:hideMark/>
          </w:tcPr>
          <w:p w14:paraId="08418810" w14:textId="77777777" w:rsidR="00571D9D" w:rsidRPr="00571D9D" w:rsidRDefault="00571D9D" w:rsidP="00823692">
            <w:pPr>
              <w:pStyle w:val="TableText"/>
              <w:spacing w:before="40" w:after="40"/>
              <w:rPr>
                <w:sz w:val="16"/>
                <w:szCs w:val="16"/>
                <w:lang w:val="en-US" w:eastAsia="en-US"/>
              </w:rPr>
            </w:pPr>
          </w:p>
        </w:tc>
        <w:tc>
          <w:tcPr>
            <w:tcW w:w="998" w:type="dxa"/>
            <w:vMerge/>
            <w:tcBorders>
              <w:top w:val="single" w:sz="4" w:space="0" w:color="auto"/>
              <w:left w:val="nil"/>
              <w:bottom w:val="single" w:sz="4" w:space="0" w:color="000000"/>
              <w:right w:val="nil"/>
            </w:tcBorders>
            <w:shd w:val="clear" w:color="auto" w:fill="D9D9D9" w:themeFill="background1" w:themeFillShade="D9"/>
            <w:vAlign w:val="center"/>
            <w:hideMark/>
          </w:tcPr>
          <w:p w14:paraId="550D7A2B" w14:textId="77777777" w:rsidR="00571D9D" w:rsidRPr="00571D9D" w:rsidRDefault="00571D9D" w:rsidP="00823692">
            <w:pPr>
              <w:pStyle w:val="TableText"/>
              <w:spacing w:before="40" w:after="40"/>
              <w:rPr>
                <w:sz w:val="16"/>
                <w:szCs w:val="16"/>
                <w:lang w:val="en-US" w:eastAsia="en-US"/>
              </w:rPr>
            </w:pPr>
          </w:p>
        </w:tc>
      </w:tr>
      <w:tr w:rsidR="00571D9D" w:rsidRPr="00571D9D" w14:paraId="62894386" w14:textId="77777777" w:rsidTr="004A249A">
        <w:trPr>
          <w:trHeight w:val="20"/>
        </w:trPr>
        <w:tc>
          <w:tcPr>
            <w:tcW w:w="2518" w:type="dxa"/>
            <w:tcBorders>
              <w:top w:val="nil"/>
              <w:left w:val="nil"/>
              <w:bottom w:val="nil"/>
              <w:right w:val="nil"/>
            </w:tcBorders>
            <w:shd w:val="clear" w:color="auto" w:fill="auto"/>
            <w:hideMark/>
          </w:tcPr>
          <w:p w14:paraId="11F7665E" w14:textId="77777777" w:rsidR="00571D9D" w:rsidRPr="00571D9D" w:rsidRDefault="00571D9D" w:rsidP="00823692">
            <w:pPr>
              <w:pStyle w:val="TableText"/>
              <w:spacing w:before="40" w:after="40"/>
              <w:rPr>
                <w:sz w:val="16"/>
                <w:szCs w:val="16"/>
                <w:lang w:val="en-US" w:eastAsia="en-US"/>
              </w:rPr>
            </w:pPr>
            <w:r w:rsidRPr="00571D9D">
              <w:rPr>
                <w:sz w:val="16"/>
                <w:szCs w:val="16"/>
                <w:lang w:val="en-US" w:eastAsia="en-US"/>
              </w:rPr>
              <w:t>Sample separations</w:t>
            </w:r>
          </w:p>
        </w:tc>
        <w:tc>
          <w:tcPr>
            <w:tcW w:w="997" w:type="dxa"/>
            <w:tcBorders>
              <w:top w:val="nil"/>
              <w:left w:val="nil"/>
              <w:bottom w:val="nil"/>
              <w:right w:val="nil"/>
            </w:tcBorders>
            <w:shd w:val="clear" w:color="auto" w:fill="auto"/>
            <w:noWrap/>
            <w:hideMark/>
          </w:tcPr>
          <w:p w14:paraId="47EFC18F"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1,297,147</w:t>
            </w:r>
          </w:p>
        </w:tc>
        <w:tc>
          <w:tcPr>
            <w:tcW w:w="997" w:type="dxa"/>
            <w:tcBorders>
              <w:top w:val="nil"/>
              <w:left w:val="nil"/>
              <w:bottom w:val="nil"/>
              <w:right w:val="nil"/>
            </w:tcBorders>
            <w:shd w:val="clear" w:color="auto" w:fill="auto"/>
            <w:noWrap/>
            <w:hideMark/>
          </w:tcPr>
          <w:p w14:paraId="53E16683"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1,607,678</w:t>
            </w:r>
          </w:p>
        </w:tc>
        <w:tc>
          <w:tcPr>
            <w:tcW w:w="997" w:type="dxa"/>
            <w:tcBorders>
              <w:top w:val="nil"/>
              <w:left w:val="nil"/>
              <w:bottom w:val="nil"/>
              <w:right w:val="nil"/>
            </w:tcBorders>
            <w:shd w:val="clear" w:color="auto" w:fill="auto"/>
            <w:noWrap/>
            <w:hideMark/>
          </w:tcPr>
          <w:p w14:paraId="09268815"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1,648,989</w:t>
            </w:r>
          </w:p>
        </w:tc>
        <w:tc>
          <w:tcPr>
            <w:tcW w:w="997" w:type="dxa"/>
            <w:tcBorders>
              <w:top w:val="nil"/>
              <w:left w:val="nil"/>
              <w:bottom w:val="nil"/>
              <w:right w:val="nil"/>
            </w:tcBorders>
            <w:shd w:val="clear" w:color="auto" w:fill="auto"/>
            <w:noWrap/>
            <w:hideMark/>
          </w:tcPr>
          <w:p w14:paraId="263F54F6"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1,775,059</w:t>
            </w:r>
          </w:p>
        </w:tc>
        <w:tc>
          <w:tcPr>
            <w:tcW w:w="997" w:type="dxa"/>
            <w:tcBorders>
              <w:top w:val="nil"/>
              <w:left w:val="nil"/>
              <w:bottom w:val="nil"/>
              <w:right w:val="nil"/>
            </w:tcBorders>
            <w:shd w:val="clear" w:color="auto" w:fill="auto"/>
            <w:noWrap/>
            <w:hideMark/>
          </w:tcPr>
          <w:p w14:paraId="66AB3835"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1,650,816</w:t>
            </w:r>
          </w:p>
        </w:tc>
        <w:tc>
          <w:tcPr>
            <w:tcW w:w="997" w:type="dxa"/>
            <w:tcBorders>
              <w:top w:val="nil"/>
              <w:left w:val="nil"/>
              <w:bottom w:val="nil"/>
              <w:right w:val="nil"/>
            </w:tcBorders>
            <w:shd w:val="clear" w:color="auto" w:fill="auto"/>
            <w:noWrap/>
            <w:hideMark/>
          </w:tcPr>
          <w:p w14:paraId="51983719"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1,697,311</w:t>
            </w:r>
          </w:p>
        </w:tc>
        <w:tc>
          <w:tcPr>
            <w:tcW w:w="998" w:type="dxa"/>
            <w:tcBorders>
              <w:top w:val="nil"/>
              <w:left w:val="nil"/>
              <w:bottom w:val="nil"/>
              <w:right w:val="nil"/>
            </w:tcBorders>
            <w:shd w:val="clear" w:color="auto" w:fill="D9D9D9" w:themeFill="background1" w:themeFillShade="D9"/>
            <w:noWrap/>
            <w:hideMark/>
          </w:tcPr>
          <w:p w14:paraId="57869EDC"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1,781,699</w:t>
            </w:r>
          </w:p>
        </w:tc>
      </w:tr>
      <w:tr w:rsidR="00571D9D" w:rsidRPr="00571D9D" w14:paraId="18C29006" w14:textId="77777777" w:rsidTr="004A249A">
        <w:trPr>
          <w:trHeight w:val="20"/>
        </w:trPr>
        <w:tc>
          <w:tcPr>
            <w:tcW w:w="2518" w:type="dxa"/>
            <w:tcBorders>
              <w:top w:val="nil"/>
              <w:left w:val="nil"/>
              <w:bottom w:val="nil"/>
              <w:right w:val="nil"/>
            </w:tcBorders>
            <w:shd w:val="clear" w:color="auto" w:fill="auto"/>
            <w:hideMark/>
          </w:tcPr>
          <w:p w14:paraId="46F05135" w14:textId="703A437C" w:rsidR="00571D9D" w:rsidRPr="00571D9D" w:rsidRDefault="001F788D" w:rsidP="00823692">
            <w:pPr>
              <w:pStyle w:val="TableText"/>
              <w:spacing w:before="40" w:after="40"/>
              <w:rPr>
                <w:sz w:val="16"/>
                <w:szCs w:val="16"/>
                <w:lang w:val="en-US" w:eastAsia="en-US"/>
              </w:rPr>
            </w:pPr>
            <w:r>
              <w:rPr>
                <w:sz w:val="16"/>
                <w:szCs w:val="16"/>
                <w:lang w:val="en-US" w:eastAsia="en-US"/>
              </w:rPr>
              <w:t>Change</w:t>
            </w:r>
            <w:r w:rsidR="004A249A">
              <w:rPr>
                <w:sz w:val="16"/>
                <w:szCs w:val="16"/>
                <w:lang w:val="en-US" w:eastAsia="en-US"/>
              </w:rPr>
              <w:t xml:space="preserve"> in separations</w:t>
            </w:r>
            <w:r w:rsidR="00571D9D">
              <w:rPr>
                <w:sz w:val="16"/>
                <w:szCs w:val="16"/>
                <w:lang w:val="en-US" w:eastAsia="en-US"/>
              </w:rPr>
              <w:t xml:space="preserve"> (%)</w:t>
            </w:r>
          </w:p>
        </w:tc>
        <w:tc>
          <w:tcPr>
            <w:tcW w:w="997" w:type="dxa"/>
            <w:tcBorders>
              <w:top w:val="nil"/>
              <w:left w:val="nil"/>
              <w:bottom w:val="nil"/>
              <w:right w:val="nil"/>
            </w:tcBorders>
            <w:shd w:val="clear" w:color="auto" w:fill="auto"/>
            <w:noWrap/>
            <w:hideMark/>
          </w:tcPr>
          <w:p w14:paraId="15F1DA3F" w14:textId="62F9C63E"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5</w:t>
            </w:r>
          </w:p>
        </w:tc>
        <w:tc>
          <w:tcPr>
            <w:tcW w:w="997" w:type="dxa"/>
            <w:tcBorders>
              <w:top w:val="nil"/>
              <w:left w:val="nil"/>
              <w:bottom w:val="nil"/>
              <w:right w:val="nil"/>
            </w:tcBorders>
            <w:shd w:val="clear" w:color="auto" w:fill="auto"/>
            <w:noWrap/>
            <w:hideMark/>
          </w:tcPr>
          <w:p w14:paraId="7A4E5ED3" w14:textId="2337344F"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24</w:t>
            </w:r>
          </w:p>
        </w:tc>
        <w:tc>
          <w:tcPr>
            <w:tcW w:w="997" w:type="dxa"/>
            <w:tcBorders>
              <w:top w:val="nil"/>
              <w:left w:val="nil"/>
              <w:bottom w:val="nil"/>
              <w:right w:val="nil"/>
            </w:tcBorders>
            <w:shd w:val="clear" w:color="auto" w:fill="auto"/>
            <w:noWrap/>
            <w:hideMark/>
          </w:tcPr>
          <w:p w14:paraId="2B98D0D8" w14:textId="17DE70E0"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3</w:t>
            </w:r>
          </w:p>
        </w:tc>
        <w:tc>
          <w:tcPr>
            <w:tcW w:w="997" w:type="dxa"/>
            <w:tcBorders>
              <w:top w:val="nil"/>
              <w:left w:val="nil"/>
              <w:bottom w:val="nil"/>
              <w:right w:val="nil"/>
            </w:tcBorders>
            <w:shd w:val="clear" w:color="auto" w:fill="auto"/>
            <w:noWrap/>
            <w:hideMark/>
          </w:tcPr>
          <w:p w14:paraId="2090C29E" w14:textId="4B9D015D"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8</w:t>
            </w:r>
          </w:p>
        </w:tc>
        <w:tc>
          <w:tcPr>
            <w:tcW w:w="997" w:type="dxa"/>
            <w:tcBorders>
              <w:top w:val="nil"/>
              <w:left w:val="nil"/>
              <w:bottom w:val="nil"/>
              <w:right w:val="nil"/>
            </w:tcBorders>
            <w:shd w:val="clear" w:color="auto" w:fill="auto"/>
            <w:noWrap/>
            <w:hideMark/>
          </w:tcPr>
          <w:p w14:paraId="6C86DA33" w14:textId="614A2B45"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-7</w:t>
            </w:r>
          </w:p>
        </w:tc>
        <w:tc>
          <w:tcPr>
            <w:tcW w:w="997" w:type="dxa"/>
            <w:tcBorders>
              <w:top w:val="nil"/>
              <w:left w:val="nil"/>
              <w:bottom w:val="nil"/>
              <w:right w:val="nil"/>
            </w:tcBorders>
            <w:shd w:val="clear" w:color="auto" w:fill="auto"/>
            <w:noWrap/>
            <w:hideMark/>
          </w:tcPr>
          <w:p w14:paraId="0C6DB637" w14:textId="756AD1C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3</w:t>
            </w:r>
          </w:p>
        </w:tc>
        <w:tc>
          <w:tcPr>
            <w:tcW w:w="998" w:type="dxa"/>
            <w:tcBorders>
              <w:top w:val="nil"/>
              <w:left w:val="nil"/>
              <w:bottom w:val="nil"/>
              <w:right w:val="nil"/>
            </w:tcBorders>
            <w:shd w:val="clear" w:color="auto" w:fill="D9D9D9" w:themeFill="background1" w:themeFillShade="D9"/>
            <w:noWrap/>
            <w:hideMark/>
          </w:tcPr>
          <w:p w14:paraId="67F40DCE" w14:textId="1DFEA5B9"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5</w:t>
            </w:r>
          </w:p>
        </w:tc>
      </w:tr>
      <w:tr w:rsidR="00571D9D" w:rsidRPr="00571D9D" w14:paraId="55730B48" w14:textId="77777777" w:rsidTr="004A249A">
        <w:trPr>
          <w:trHeight w:val="20"/>
        </w:trPr>
        <w:tc>
          <w:tcPr>
            <w:tcW w:w="2518" w:type="dxa"/>
            <w:tcBorders>
              <w:top w:val="nil"/>
              <w:left w:val="nil"/>
              <w:bottom w:val="nil"/>
              <w:right w:val="nil"/>
            </w:tcBorders>
            <w:shd w:val="clear" w:color="auto" w:fill="auto"/>
            <w:hideMark/>
          </w:tcPr>
          <w:p w14:paraId="7B1BF724" w14:textId="77777777" w:rsidR="00571D9D" w:rsidRPr="00571D9D" w:rsidRDefault="00571D9D" w:rsidP="00823692">
            <w:pPr>
              <w:pStyle w:val="TableText"/>
              <w:spacing w:before="40" w:after="40"/>
              <w:rPr>
                <w:sz w:val="16"/>
                <w:szCs w:val="16"/>
                <w:lang w:val="en-US" w:eastAsia="en-US"/>
              </w:rPr>
            </w:pPr>
            <w:r w:rsidRPr="00571D9D">
              <w:rPr>
                <w:sz w:val="16"/>
                <w:szCs w:val="16"/>
                <w:lang w:val="en-US" w:eastAsia="en-US"/>
              </w:rPr>
              <w:t>Population separations</w:t>
            </w:r>
          </w:p>
        </w:tc>
        <w:tc>
          <w:tcPr>
            <w:tcW w:w="997" w:type="dxa"/>
            <w:tcBorders>
              <w:top w:val="nil"/>
              <w:left w:val="nil"/>
              <w:bottom w:val="nil"/>
              <w:right w:val="nil"/>
            </w:tcBorders>
            <w:shd w:val="clear" w:color="auto" w:fill="auto"/>
            <w:noWrap/>
            <w:hideMark/>
          </w:tcPr>
          <w:p w14:paraId="401A7E40"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2,192,314</w:t>
            </w:r>
          </w:p>
        </w:tc>
        <w:tc>
          <w:tcPr>
            <w:tcW w:w="997" w:type="dxa"/>
            <w:tcBorders>
              <w:top w:val="nil"/>
              <w:left w:val="nil"/>
              <w:bottom w:val="nil"/>
              <w:right w:val="nil"/>
            </w:tcBorders>
            <w:shd w:val="clear" w:color="auto" w:fill="auto"/>
            <w:noWrap/>
            <w:hideMark/>
          </w:tcPr>
          <w:p w14:paraId="536A3032"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2,248,324</w:t>
            </w:r>
          </w:p>
        </w:tc>
        <w:tc>
          <w:tcPr>
            <w:tcW w:w="997" w:type="dxa"/>
            <w:tcBorders>
              <w:top w:val="nil"/>
              <w:left w:val="nil"/>
              <w:bottom w:val="nil"/>
              <w:right w:val="nil"/>
            </w:tcBorders>
            <w:shd w:val="clear" w:color="auto" w:fill="auto"/>
            <w:noWrap/>
            <w:hideMark/>
          </w:tcPr>
          <w:p w14:paraId="2BC7CAED"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2,328,814</w:t>
            </w:r>
          </w:p>
        </w:tc>
        <w:tc>
          <w:tcPr>
            <w:tcW w:w="997" w:type="dxa"/>
            <w:tcBorders>
              <w:top w:val="nil"/>
              <w:left w:val="nil"/>
              <w:bottom w:val="nil"/>
              <w:right w:val="nil"/>
            </w:tcBorders>
            <w:shd w:val="clear" w:color="auto" w:fill="auto"/>
            <w:noWrap/>
            <w:hideMark/>
          </w:tcPr>
          <w:p w14:paraId="2AC0BAFE"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2,703,667</w:t>
            </w:r>
          </w:p>
        </w:tc>
        <w:tc>
          <w:tcPr>
            <w:tcW w:w="997" w:type="dxa"/>
            <w:tcBorders>
              <w:top w:val="nil"/>
              <w:left w:val="nil"/>
              <w:bottom w:val="nil"/>
              <w:right w:val="nil"/>
            </w:tcBorders>
            <w:shd w:val="clear" w:color="auto" w:fill="auto"/>
            <w:noWrap/>
            <w:hideMark/>
          </w:tcPr>
          <w:p w14:paraId="3ED27465"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2,753,670</w:t>
            </w:r>
          </w:p>
        </w:tc>
        <w:tc>
          <w:tcPr>
            <w:tcW w:w="997" w:type="dxa"/>
            <w:tcBorders>
              <w:top w:val="nil"/>
              <w:left w:val="nil"/>
              <w:bottom w:val="nil"/>
              <w:right w:val="nil"/>
            </w:tcBorders>
            <w:shd w:val="clear" w:color="auto" w:fill="auto"/>
            <w:noWrap/>
            <w:hideMark/>
          </w:tcPr>
          <w:p w14:paraId="2AC82387"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2,827,996</w:t>
            </w:r>
          </w:p>
        </w:tc>
        <w:tc>
          <w:tcPr>
            <w:tcW w:w="998" w:type="dxa"/>
            <w:tcBorders>
              <w:top w:val="nil"/>
              <w:left w:val="nil"/>
              <w:bottom w:val="nil"/>
              <w:right w:val="nil"/>
            </w:tcBorders>
            <w:shd w:val="clear" w:color="auto" w:fill="D9D9D9" w:themeFill="background1" w:themeFillShade="D9"/>
            <w:noWrap/>
            <w:hideMark/>
          </w:tcPr>
          <w:p w14:paraId="5B07CDE7"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3,051,681</w:t>
            </w:r>
          </w:p>
        </w:tc>
      </w:tr>
      <w:tr w:rsidR="00571D9D" w:rsidRPr="00571D9D" w14:paraId="59814494" w14:textId="77777777" w:rsidTr="004A249A">
        <w:trPr>
          <w:trHeight w:val="20"/>
        </w:trPr>
        <w:tc>
          <w:tcPr>
            <w:tcW w:w="2518" w:type="dxa"/>
            <w:tcBorders>
              <w:top w:val="nil"/>
              <w:left w:val="nil"/>
              <w:bottom w:val="nil"/>
              <w:right w:val="nil"/>
            </w:tcBorders>
            <w:shd w:val="clear" w:color="auto" w:fill="auto"/>
            <w:hideMark/>
          </w:tcPr>
          <w:p w14:paraId="3984A65E" w14:textId="4D28695F" w:rsidR="00571D9D" w:rsidRPr="00571D9D" w:rsidRDefault="00571D9D" w:rsidP="00823692">
            <w:pPr>
              <w:pStyle w:val="TableText"/>
              <w:spacing w:before="40" w:after="40"/>
              <w:rPr>
                <w:sz w:val="16"/>
                <w:szCs w:val="16"/>
                <w:lang w:val="en-US" w:eastAsia="en-US"/>
              </w:rPr>
            </w:pPr>
            <w:r>
              <w:rPr>
                <w:sz w:val="16"/>
                <w:szCs w:val="16"/>
                <w:lang w:val="en-US" w:eastAsia="en-US"/>
              </w:rPr>
              <w:t>Participation rate (%)</w:t>
            </w:r>
          </w:p>
        </w:tc>
        <w:tc>
          <w:tcPr>
            <w:tcW w:w="997" w:type="dxa"/>
            <w:tcBorders>
              <w:top w:val="nil"/>
              <w:left w:val="nil"/>
              <w:bottom w:val="nil"/>
              <w:right w:val="nil"/>
            </w:tcBorders>
            <w:shd w:val="clear" w:color="auto" w:fill="auto"/>
            <w:noWrap/>
            <w:hideMark/>
          </w:tcPr>
          <w:p w14:paraId="64F0672B" w14:textId="225F4013"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59</w:t>
            </w:r>
          </w:p>
        </w:tc>
        <w:tc>
          <w:tcPr>
            <w:tcW w:w="997" w:type="dxa"/>
            <w:tcBorders>
              <w:top w:val="nil"/>
              <w:left w:val="nil"/>
              <w:bottom w:val="nil"/>
              <w:right w:val="nil"/>
            </w:tcBorders>
            <w:shd w:val="clear" w:color="auto" w:fill="auto"/>
            <w:noWrap/>
            <w:hideMark/>
          </w:tcPr>
          <w:p w14:paraId="75B2BBB4" w14:textId="3B29D538"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72</w:t>
            </w:r>
          </w:p>
        </w:tc>
        <w:tc>
          <w:tcPr>
            <w:tcW w:w="997" w:type="dxa"/>
            <w:tcBorders>
              <w:top w:val="nil"/>
              <w:left w:val="nil"/>
              <w:bottom w:val="nil"/>
              <w:right w:val="nil"/>
            </w:tcBorders>
            <w:shd w:val="clear" w:color="auto" w:fill="auto"/>
            <w:noWrap/>
            <w:hideMark/>
          </w:tcPr>
          <w:p w14:paraId="64D7D57C" w14:textId="4EE5A7A6"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71</w:t>
            </w:r>
          </w:p>
        </w:tc>
        <w:tc>
          <w:tcPr>
            <w:tcW w:w="997" w:type="dxa"/>
            <w:tcBorders>
              <w:top w:val="nil"/>
              <w:left w:val="nil"/>
              <w:bottom w:val="nil"/>
              <w:right w:val="nil"/>
            </w:tcBorders>
            <w:shd w:val="clear" w:color="auto" w:fill="auto"/>
            <w:noWrap/>
            <w:hideMark/>
          </w:tcPr>
          <w:p w14:paraId="4725E1DE" w14:textId="5B5D7122"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66</w:t>
            </w:r>
          </w:p>
        </w:tc>
        <w:tc>
          <w:tcPr>
            <w:tcW w:w="997" w:type="dxa"/>
            <w:tcBorders>
              <w:top w:val="nil"/>
              <w:left w:val="nil"/>
              <w:bottom w:val="nil"/>
              <w:right w:val="nil"/>
            </w:tcBorders>
            <w:shd w:val="clear" w:color="auto" w:fill="auto"/>
            <w:noWrap/>
            <w:hideMark/>
          </w:tcPr>
          <w:p w14:paraId="1356EA1A" w14:textId="2AC9F96C"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60</w:t>
            </w:r>
          </w:p>
        </w:tc>
        <w:tc>
          <w:tcPr>
            <w:tcW w:w="997" w:type="dxa"/>
            <w:tcBorders>
              <w:top w:val="nil"/>
              <w:left w:val="nil"/>
              <w:bottom w:val="nil"/>
              <w:right w:val="nil"/>
            </w:tcBorders>
            <w:shd w:val="clear" w:color="auto" w:fill="auto"/>
            <w:noWrap/>
            <w:hideMark/>
          </w:tcPr>
          <w:p w14:paraId="085FA2DE" w14:textId="2172766F"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60</w:t>
            </w:r>
          </w:p>
        </w:tc>
        <w:tc>
          <w:tcPr>
            <w:tcW w:w="998" w:type="dxa"/>
            <w:tcBorders>
              <w:top w:val="nil"/>
              <w:left w:val="nil"/>
              <w:bottom w:val="nil"/>
              <w:right w:val="nil"/>
            </w:tcBorders>
            <w:shd w:val="clear" w:color="auto" w:fill="D9D9D9" w:themeFill="background1" w:themeFillShade="D9"/>
            <w:noWrap/>
            <w:hideMark/>
          </w:tcPr>
          <w:p w14:paraId="57F7D3B2" w14:textId="3F363DC4"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58</w:t>
            </w:r>
          </w:p>
        </w:tc>
      </w:tr>
      <w:tr w:rsidR="00571D9D" w:rsidRPr="00571D9D" w14:paraId="162F7DCB" w14:textId="77777777" w:rsidTr="004A249A">
        <w:trPr>
          <w:trHeight w:val="20"/>
        </w:trPr>
        <w:tc>
          <w:tcPr>
            <w:tcW w:w="2518" w:type="dxa"/>
            <w:tcBorders>
              <w:top w:val="nil"/>
              <w:left w:val="nil"/>
              <w:bottom w:val="nil"/>
              <w:right w:val="nil"/>
            </w:tcBorders>
            <w:shd w:val="clear" w:color="auto" w:fill="auto"/>
            <w:hideMark/>
          </w:tcPr>
          <w:p w14:paraId="4F30D7B4" w14:textId="77777777" w:rsidR="00571D9D" w:rsidRPr="00571D9D" w:rsidRDefault="00571D9D" w:rsidP="00823692">
            <w:pPr>
              <w:pStyle w:val="TableText"/>
              <w:spacing w:before="40" w:after="40"/>
              <w:rPr>
                <w:sz w:val="16"/>
                <w:szCs w:val="16"/>
                <w:lang w:val="en-US" w:eastAsia="en-US"/>
              </w:rPr>
            </w:pPr>
            <w:r w:rsidRPr="00571D9D">
              <w:rPr>
                <w:sz w:val="16"/>
                <w:szCs w:val="16"/>
                <w:lang w:val="en-US" w:eastAsia="en-US"/>
              </w:rPr>
              <w:t>Sample hospitals</w:t>
            </w:r>
          </w:p>
        </w:tc>
        <w:tc>
          <w:tcPr>
            <w:tcW w:w="997" w:type="dxa"/>
            <w:tcBorders>
              <w:top w:val="nil"/>
              <w:left w:val="nil"/>
              <w:bottom w:val="nil"/>
              <w:right w:val="nil"/>
            </w:tcBorders>
            <w:shd w:val="clear" w:color="auto" w:fill="auto"/>
            <w:noWrap/>
            <w:hideMark/>
          </w:tcPr>
          <w:p w14:paraId="06636593"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82</w:t>
            </w:r>
          </w:p>
        </w:tc>
        <w:tc>
          <w:tcPr>
            <w:tcW w:w="997" w:type="dxa"/>
            <w:tcBorders>
              <w:top w:val="nil"/>
              <w:left w:val="nil"/>
              <w:bottom w:val="nil"/>
              <w:right w:val="nil"/>
            </w:tcBorders>
            <w:shd w:val="clear" w:color="auto" w:fill="auto"/>
            <w:noWrap/>
            <w:hideMark/>
          </w:tcPr>
          <w:p w14:paraId="2E3C79AB"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109</w:t>
            </w:r>
          </w:p>
        </w:tc>
        <w:tc>
          <w:tcPr>
            <w:tcW w:w="997" w:type="dxa"/>
            <w:tcBorders>
              <w:top w:val="nil"/>
              <w:left w:val="nil"/>
              <w:bottom w:val="nil"/>
              <w:right w:val="nil"/>
            </w:tcBorders>
            <w:shd w:val="clear" w:color="auto" w:fill="auto"/>
            <w:noWrap/>
            <w:hideMark/>
          </w:tcPr>
          <w:p w14:paraId="6114509D"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110</w:t>
            </w:r>
          </w:p>
        </w:tc>
        <w:tc>
          <w:tcPr>
            <w:tcW w:w="997" w:type="dxa"/>
            <w:tcBorders>
              <w:top w:val="nil"/>
              <w:left w:val="nil"/>
              <w:bottom w:val="nil"/>
              <w:right w:val="nil"/>
            </w:tcBorders>
            <w:shd w:val="clear" w:color="auto" w:fill="auto"/>
            <w:noWrap/>
            <w:hideMark/>
          </w:tcPr>
          <w:p w14:paraId="6365796A"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105</w:t>
            </w:r>
          </w:p>
        </w:tc>
        <w:tc>
          <w:tcPr>
            <w:tcW w:w="997" w:type="dxa"/>
            <w:tcBorders>
              <w:top w:val="nil"/>
              <w:left w:val="nil"/>
              <w:bottom w:val="nil"/>
              <w:right w:val="nil"/>
            </w:tcBorders>
            <w:shd w:val="clear" w:color="auto" w:fill="auto"/>
            <w:noWrap/>
            <w:hideMark/>
          </w:tcPr>
          <w:p w14:paraId="46EFC44E"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95</w:t>
            </w:r>
          </w:p>
        </w:tc>
        <w:tc>
          <w:tcPr>
            <w:tcW w:w="997" w:type="dxa"/>
            <w:tcBorders>
              <w:top w:val="nil"/>
              <w:left w:val="nil"/>
              <w:bottom w:val="nil"/>
              <w:right w:val="nil"/>
            </w:tcBorders>
            <w:shd w:val="clear" w:color="auto" w:fill="auto"/>
            <w:noWrap/>
            <w:hideMark/>
          </w:tcPr>
          <w:p w14:paraId="774AB448"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96</w:t>
            </w:r>
          </w:p>
        </w:tc>
        <w:tc>
          <w:tcPr>
            <w:tcW w:w="998" w:type="dxa"/>
            <w:tcBorders>
              <w:top w:val="nil"/>
              <w:left w:val="nil"/>
              <w:bottom w:val="nil"/>
              <w:right w:val="nil"/>
            </w:tcBorders>
            <w:shd w:val="clear" w:color="auto" w:fill="D9D9D9" w:themeFill="background1" w:themeFillShade="D9"/>
            <w:noWrap/>
            <w:hideMark/>
          </w:tcPr>
          <w:p w14:paraId="07F32718"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91</w:t>
            </w:r>
          </w:p>
        </w:tc>
      </w:tr>
      <w:tr w:rsidR="00571D9D" w:rsidRPr="00571D9D" w14:paraId="01963CE4" w14:textId="77777777" w:rsidTr="004A249A">
        <w:trPr>
          <w:trHeight w:val="20"/>
        </w:trPr>
        <w:tc>
          <w:tcPr>
            <w:tcW w:w="2518" w:type="dxa"/>
            <w:tcBorders>
              <w:top w:val="nil"/>
              <w:left w:val="nil"/>
              <w:bottom w:val="nil"/>
              <w:right w:val="nil"/>
            </w:tcBorders>
            <w:shd w:val="clear" w:color="auto" w:fill="auto"/>
            <w:hideMark/>
          </w:tcPr>
          <w:p w14:paraId="36F97F75" w14:textId="063BD9E5" w:rsidR="00571D9D" w:rsidRPr="00571D9D" w:rsidRDefault="001F788D" w:rsidP="00823692">
            <w:pPr>
              <w:pStyle w:val="TableText"/>
              <w:spacing w:before="40" w:after="40"/>
              <w:rPr>
                <w:sz w:val="16"/>
                <w:szCs w:val="16"/>
                <w:lang w:val="en-US" w:eastAsia="en-US"/>
              </w:rPr>
            </w:pPr>
            <w:r>
              <w:rPr>
                <w:sz w:val="16"/>
                <w:szCs w:val="16"/>
                <w:lang w:val="en-US" w:eastAsia="en-US"/>
              </w:rPr>
              <w:t>Change</w:t>
            </w:r>
            <w:r w:rsidR="00571D9D">
              <w:rPr>
                <w:sz w:val="16"/>
                <w:szCs w:val="16"/>
                <w:lang w:val="en-US" w:eastAsia="en-US"/>
              </w:rPr>
              <w:t xml:space="preserve"> </w:t>
            </w:r>
            <w:r w:rsidR="004A249A">
              <w:rPr>
                <w:sz w:val="16"/>
                <w:szCs w:val="16"/>
                <w:lang w:val="en-US" w:eastAsia="en-US"/>
              </w:rPr>
              <w:t xml:space="preserve">in sample hospitals </w:t>
            </w:r>
            <w:r w:rsidR="00571D9D">
              <w:rPr>
                <w:sz w:val="16"/>
                <w:szCs w:val="16"/>
                <w:lang w:val="en-US" w:eastAsia="en-US"/>
              </w:rPr>
              <w:t>(%)</w:t>
            </w:r>
          </w:p>
        </w:tc>
        <w:tc>
          <w:tcPr>
            <w:tcW w:w="997" w:type="dxa"/>
            <w:tcBorders>
              <w:top w:val="nil"/>
              <w:left w:val="nil"/>
              <w:bottom w:val="nil"/>
              <w:right w:val="nil"/>
            </w:tcBorders>
            <w:shd w:val="clear" w:color="auto" w:fill="auto"/>
            <w:noWrap/>
            <w:hideMark/>
          </w:tcPr>
          <w:p w14:paraId="12AB316C" w14:textId="6D299549"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-27</w:t>
            </w:r>
          </w:p>
        </w:tc>
        <w:tc>
          <w:tcPr>
            <w:tcW w:w="997" w:type="dxa"/>
            <w:tcBorders>
              <w:top w:val="nil"/>
              <w:left w:val="nil"/>
              <w:bottom w:val="nil"/>
              <w:right w:val="nil"/>
            </w:tcBorders>
            <w:shd w:val="clear" w:color="auto" w:fill="auto"/>
            <w:noWrap/>
            <w:hideMark/>
          </w:tcPr>
          <w:p w14:paraId="4C93C4FD" w14:textId="6F511192"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33</w:t>
            </w:r>
          </w:p>
        </w:tc>
        <w:tc>
          <w:tcPr>
            <w:tcW w:w="997" w:type="dxa"/>
            <w:tcBorders>
              <w:top w:val="nil"/>
              <w:left w:val="nil"/>
              <w:bottom w:val="nil"/>
              <w:right w:val="nil"/>
            </w:tcBorders>
            <w:shd w:val="clear" w:color="auto" w:fill="auto"/>
            <w:noWrap/>
            <w:hideMark/>
          </w:tcPr>
          <w:p w14:paraId="5BF9060F" w14:textId="141BF83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1</w:t>
            </w:r>
          </w:p>
        </w:tc>
        <w:tc>
          <w:tcPr>
            <w:tcW w:w="997" w:type="dxa"/>
            <w:tcBorders>
              <w:top w:val="nil"/>
              <w:left w:val="nil"/>
              <w:bottom w:val="nil"/>
              <w:right w:val="nil"/>
            </w:tcBorders>
            <w:shd w:val="clear" w:color="auto" w:fill="auto"/>
            <w:noWrap/>
            <w:hideMark/>
          </w:tcPr>
          <w:p w14:paraId="7B6A59B8" w14:textId="100E184C"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-5</w:t>
            </w:r>
          </w:p>
        </w:tc>
        <w:tc>
          <w:tcPr>
            <w:tcW w:w="997" w:type="dxa"/>
            <w:tcBorders>
              <w:top w:val="nil"/>
              <w:left w:val="nil"/>
              <w:bottom w:val="nil"/>
              <w:right w:val="nil"/>
            </w:tcBorders>
            <w:shd w:val="clear" w:color="auto" w:fill="auto"/>
            <w:noWrap/>
            <w:hideMark/>
          </w:tcPr>
          <w:p w14:paraId="3A00D3BE" w14:textId="07C6C593"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-10</w:t>
            </w:r>
          </w:p>
        </w:tc>
        <w:tc>
          <w:tcPr>
            <w:tcW w:w="997" w:type="dxa"/>
            <w:tcBorders>
              <w:top w:val="nil"/>
              <w:left w:val="nil"/>
              <w:bottom w:val="nil"/>
              <w:right w:val="nil"/>
            </w:tcBorders>
            <w:shd w:val="clear" w:color="auto" w:fill="auto"/>
            <w:noWrap/>
            <w:hideMark/>
          </w:tcPr>
          <w:p w14:paraId="4CC7E914" w14:textId="6F964116"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1</w:t>
            </w:r>
          </w:p>
        </w:tc>
        <w:tc>
          <w:tcPr>
            <w:tcW w:w="998" w:type="dxa"/>
            <w:tcBorders>
              <w:top w:val="nil"/>
              <w:left w:val="nil"/>
              <w:bottom w:val="nil"/>
              <w:right w:val="nil"/>
            </w:tcBorders>
            <w:shd w:val="clear" w:color="auto" w:fill="D9D9D9" w:themeFill="background1" w:themeFillShade="D9"/>
            <w:noWrap/>
            <w:hideMark/>
          </w:tcPr>
          <w:p w14:paraId="2C4581ED" w14:textId="724BDB08"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-5</w:t>
            </w:r>
          </w:p>
        </w:tc>
      </w:tr>
      <w:tr w:rsidR="00571D9D" w:rsidRPr="00571D9D" w14:paraId="19680484" w14:textId="77777777" w:rsidTr="004A249A">
        <w:trPr>
          <w:trHeight w:val="20"/>
        </w:trPr>
        <w:tc>
          <w:tcPr>
            <w:tcW w:w="2518" w:type="dxa"/>
            <w:tcBorders>
              <w:top w:val="nil"/>
              <w:left w:val="nil"/>
              <w:bottom w:val="nil"/>
              <w:right w:val="nil"/>
            </w:tcBorders>
            <w:shd w:val="clear" w:color="auto" w:fill="auto"/>
            <w:hideMark/>
          </w:tcPr>
          <w:p w14:paraId="7BAA977E" w14:textId="77777777" w:rsidR="00571D9D" w:rsidRPr="00571D9D" w:rsidRDefault="00571D9D" w:rsidP="00823692">
            <w:pPr>
              <w:pStyle w:val="TableText"/>
              <w:spacing w:before="40" w:after="40"/>
              <w:rPr>
                <w:sz w:val="16"/>
                <w:szCs w:val="16"/>
                <w:lang w:val="en-US" w:eastAsia="en-US"/>
              </w:rPr>
            </w:pPr>
            <w:r w:rsidRPr="00571D9D">
              <w:rPr>
                <w:sz w:val="16"/>
                <w:szCs w:val="16"/>
                <w:lang w:val="en-US" w:eastAsia="en-US"/>
              </w:rPr>
              <w:t>Population hospitals</w:t>
            </w:r>
          </w:p>
        </w:tc>
        <w:tc>
          <w:tcPr>
            <w:tcW w:w="997" w:type="dxa"/>
            <w:tcBorders>
              <w:top w:val="nil"/>
              <w:left w:val="nil"/>
              <w:bottom w:val="nil"/>
              <w:right w:val="nil"/>
            </w:tcBorders>
            <w:shd w:val="clear" w:color="auto" w:fill="auto"/>
            <w:noWrap/>
            <w:hideMark/>
          </w:tcPr>
          <w:p w14:paraId="65B8132C"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229</w:t>
            </w:r>
          </w:p>
        </w:tc>
        <w:tc>
          <w:tcPr>
            <w:tcW w:w="997" w:type="dxa"/>
            <w:tcBorders>
              <w:top w:val="nil"/>
              <w:left w:val="nil"/>
              <w:bottom w:val="nil"/>
              <w:right w:val="nil"/>
            </w:tcBorders>
            <w:shd w:val="clear" w:color="auto" w:fill="auto"/>
            <w:noWrap/>
            <w:hideMark/>
          </w:tcPr>
          <w:p w14:paraId="61C4682F"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229</w:t>
            </w:r>
          </w:p>
        </w:tc>
        <w:tc>
          <w:tcPr>
            <w:tcW w:w="997" w:type="dxa"/>
            <w:tcBorders>
              <w:top w:val="nil"/>
              <w:left w:val="nil"/>
              <w:bottom w:val="nil"/>
              <w:right w:val="nil"/>
            </w:tcBorders>
            <w:shd w:val="clear" w:color="auto" w:fill="auto"/>
            <w:noWrap/>
            <w:hideMark/>
          </w:tcPr>
          <w:p w14:paraId="46DDADD0"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226</w:t>
            </w:r>
          </w:p>
        </w:tc>
        <w:tc>
          <w:tcPr>
            <w:tcW w:w="997" w:type="dxa"/>
            <w:tcBorders>
              <w:top w:val="nil"/>
              <w:left w:val="nil"/>
              <w:bottom w:val="nil"/>
              <w:right w:val="nil"/>
            </w:tcBorders>
            <w:shd w:val="clear" w:color="auto" w:fill="auto"/>
            <w:noWrap/>
            <w:hideMark/>
          </w:tcPr>
          <w:p w14:paraId="4161DD21"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248</w:t>
            </w:r>
          </w:p>
        </w:tc>
        <w:tc>
          <w:tcPr>
            <w:tcW w:w="997" w:type="dxa"/>
            <w:tcBorders>
              <w:top w:val="nil"/>
              <w:left w:val="nil"/>
              <w:bottom w:val="nil"/>
              <w:right w:val="nil"/>
            </w:tcBorders>
            <w:shd w:val="clear" w:color="auto" w:fill="auto"/>
            <w:noWrap/>
            <w:hideMark/>
          </w:tcPr>
          <w:p w14:paraId="626D0949"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244</w:t>
            </w:r>
          </w:p>
        </w:tc>
        <w:tc>
          <w:tcPr>
            <w:tcW w:w="997" w:type="dxa"/>
            <w:tcBorders>
              <w:top w:val="nil"/>
              <w:left w:val="nil"/>
              <w:bottom w:val="nil"/>
              <w:right w:val="nil"/>
            </w:tcBorders>
            <w:shd w:val="clear" w:color="auto" w:fill="auto"/>
            <w:noWrap/>
            <w:hideMark/>
          </w:tcPr>
          <w:p w14:paraId="0C0A2E9B"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235</w:t>
            </w:r>
          </w:p>
        </w:tc>
        <w:tc>
          <w:tcPr>
            <w:tcW w:w="998" w:type="dxa"/>
            <w:tcBorders>
              <w:top w:val="nil"/>
              <w:left w:val="nil"/>
              <w:bottom w:val="nil"/>
              <w:right w:val="nil"/>
            </w:tcBorders>
            <w:shd w:val="clear" w:color="auto" w:fill="D9D9D9" w:themeFill="background1" w:themeFillShade="D9"/>
            <w:noWrap/>
            <w:hideMark/>
          </w:tcPr>
          <w:p w14:paraId="7DAAB829"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246</w:t>
            </w:r>
          </w:p>
        </w:tc>
      </w:tr>
      <w:tr w:rsidR="00571D9D" w:rsidRPr="00571D9D" w14:paraId="13F3D9A7" w14:textId="77777777" w:rsidTr="004A249A">
        <w:trPr>
          <w:trHeight w:val="20"/>
        </w:trPr>
        <w:tc>
          <w:tcPr>
            <w:tcW w:w="2518" w:type="dxa"/>
            <w:tcBorders>
              <w:top w:val="nil"/>
              <w:left w:val="nil"/>
              <w:bottom w:val="single" w:sz="4" w:space="0" w:color="auto"/>
              <w:right w:val="nil"/>
            </w:tcBorders>
            <w:shd w:val="clear" w:color="auto" w:fill="auto"/>
            <w:hideMark/>
          </w:tcPr>
          <w:p w14:paraId="46820D1A" w14:textId="19EA13B5" w:rsidR="00571D9D" w:rsidRPr="00571D9D" w:rsidRDefault="001F788D" w:rsidP="00823692">
            <w:pPr>
              <w:pStyle w:val="TableText"/>
              <w:spacing w:before="40" w:after="40"/>
              <w:rPr>
                <w:sz w:val="16"/>
                <w:szCs w:val="16"/>
                <w:lang w:val="en-US" w:eastAsia="en-US"/>
              </w:rPr>
            </w:pPr>
            <w:r w:rsidRPr="00571D9D">
              <w:rPr>
                <w:sz w:val="16"/>
                <w:szCs w:val="16"/>
                <w:lang w:val="en-US" w:eastAsia="en-US"/>
              </w:rPr>
              <w:t>S</w:t>
            </w:r>
            <w:r w:rsidR="00571D9D" w:rsidRPr="00571D9D">
              <w:rPr>
                <w:sz w:val="16"/>
                <w:szCs w:val="16"/>
                <w:lang w:val="en-US" w:eastAsia="en-US"/>
              </w:rPr>
              <w:t>ample</w:t>
            </w:r>
            <w:r>
              <w:rPr>
                <w:sz w:val="16"/>
                <w:szCs w:val="16"/>
                <w:lang w:val="en-US" w:eastAsia="en-US"/>
              </w:rPr>
              <w:t xml:space="preserve"> hospitals</w:t>
            </w:r>
            <w:r w:rsidR="00571D9D" w:rsidRPr="00571D9D">
              <w:rPr>
                <w:sz w:val="16"/>
                <w:szCs w:val="16"/>
                <w:lang w:val="en-US" w:eastAsia="en-US"/>
              </w:rPr>
              <w:t xml:space="preserve"> to population</w:t>
            </w:r>
            <w:r>
              <w:rPr>
                <w:sz w:val="16"/>
                <w:szCs w:val="16"/>
                <w:lang w:val="en-US" w:eastAsia="en-US"/>
              </w:rPr>
              <w:t xml:space="preserve"> hospitals (%)</w:t>
            </w:r>
          </w:p>
        </w:tc>
        <w:tc>
          <w:tcPr>
            <w:tcW w:w="997" w:type="dxa"/>
            <w:tcBorders>
              <w:top w:val="nil"/>
              <w:left w:val="nil"/>
              <w:bottom w:val="single" w:sz="4" w:space="0" w:color="auto"/>
              <w:right w:val="nil"/>
            </w:tcBorders>
            <w:shd w:val="clear" w:color="auto" w:fill="auto"/>
            <w:noWrap/>
            <w:hideMark/>
          </w:tcPr>
          <w:p w14:paraId="7D9B8CF1" w14:textId="3950085B" w:rsidR="00571D9D" w:rsidRPr="00571D9D" w:rsidRDefault="001F788D" w:rsidP="00823692">
            <w:pPr>
              <w:pStyle w:val="TableText"/>
              <w:spacing w:before="40" w:after="40"/>
              <w:jc w:val="right"/>
              <w:rPr>
                <w:sz w:val="16"/>
                <w:szCs w:val="16"/>
                <w:lang w:val="en-US" w:eastAsia="en-US"/>
              </w:rPr>
            </w:pPr>
            <w:r>
              <w:rPr>
                <w:sz w:val="16"/>
                <w:szCs w:val="16"/>
                <w:lang w:val="en-US" w:eastAsia="en-US"/>
              </w:rPr>
              <w:t>36</w:t>
            </w:r>
          </w:p>
        </w:tc>
        <w:tc>
          <w:tcPr>
            <w:tcW w:w="997" w:type="dxa"/>
            <w:tcBorders>
              <w:top w:val="nil"/>
              <w:left w:val="nil"/>
              <w:bottom w:val="single" w:sz="4" w:space="0" w:color="auto"/>
              <w:right w:val="nil"/>
            </w:tcBorders>
            <w:shd w:val="clear" w:color="auto" w:fill="auto"/>
            <w:noWrap/>
            <w:hideMark/>
          </w:tcPr>
          <w:p w14:paraId="537AE90B" w14:textId="4E5D4E58" w:rsidR="00571D9D" w:rsidRPr="00571D9D" w:rsidRDefault="00571D9D" w:rsidP="001F788D">
            <w:pPr>
              <w:pStyle w:val="TableText"/>
              <w:spacing w:before="40" w:after="40"/>
              <w:jc w:val="right"/>
              <w:rPr>
                <w:sz w:val="16"/>
                <w:szCs w:val="16"/>
                <w:lang w:val="en-US" w:eastAsia="en-US"/>
              </w:rPr>
            </w:pPr>
            <w:r w:rsidRPr="00571D9D">
              <w:rPr>
                <w:sz w:val="16"/>
                <w:szCs w:val="16"/>
                <w:lang w:val="en-US" w:eastAsia="en-US"/>
              </w:rPr>
              <w:t>48</w:t>
            </w:r>
          </w:p>
        </w:tc>
        <w:tc>
          <w:tcPr>
            <w:tcW w:w="997" w:type="dxa"/>
            <w:tcBorders>
              <w:top w:val="nil"/>
              <w:left w:val="nil"/>
              <w:bottom w:val="single" w:sz="4" w:space="0" w:color="auto"/>
              <w:right w:val="nil"/>
            </w:tcBorders>
            <w:shd w:val="clear" w:color="auto" w:fill="auto"/>
            <w:noWrap/>
            <w:hideMark/>
          </w:tcPr>
          <w:p w14:paraId="2D4B2FA0" w14:textId="6C936427" w:rsidR="00571D9D" w:rsidRPr="00571D9D" w:rsidRDefault="00571D9D" w:rsidP="001F788D">
            <w:pPr>
              <w:pStyle w:val="TableText"/>
              <w:spacing w:before="40" w:after="40"/>
              <w:jc w:val="right"/>
              <w:rPr>
                <w:sz w:val="16"/>
                <w:szCs w:val="16"/>
                <w:lang w:val="en-US" w:eastAsia="en-US"/>
              </w:rPr>
            </w:pPr>
            <w:r w:rsidRPr="00571D9D">
              <w:rPr>
                <w:sz w:val="16"/>
                <w:szCs w:val="16"/>
                <w:lang w:val="en-US" w:eastAsia="en-US"/>
              </w:rPr>
              <w:t>49</w:t>
            </w:r>
          </w:p>
        </w:tc>
        <w:tc>
          <w:tcPr>
            <w:tcW w:w="997" w:type="dxa"/>
            <w:tcBorders>
              <w:top w:val="nil"/>
              <w:left w:val="nil"/>
              <w:bottom w:val="single" w:sz="4" w:space="0" w:color="auto"/>
              <w:right w:val="nil"/>
            </w:tcBorders>
            <w:shd w:val="clear" w:color="auto" w:fill="auto"/>
            <w:noWrap/>
            <w:hideMark/>
          </w:tcPr>
          <w:p w14:paraId="386EE4CB" w14:textId="6D76125E" w:rsidR="00571D9D" w:rsidRPr="00571D9D" w:rsidRDefault="00571D9D" w:rsidP="001F788D">
            <w:pPr>
              <w:pStyle w:val="TableText"/>
              <w:spacing w:before="40" w:after="40"/>
              <w:jc w:val="right"/>
              <w:rPr>
                <w:sz w:val="16"/>
                <w:szCs w:val="16"/>
                <w:lang w:val="en-US" w:eastAsia="en-US"/>
              </w:rPr>
            </w:pPr>
            <w:r w:rsidRPr="00571D9D">
              <w:rPr>
                <w:sz w:val="16"/>
                <w:szCs w:val="16"/>
                <w:lang w:val="en-US" w:eastAsia="en-US"/>
              </w:rPr>
              <w:t>42</w:t>
            </w:r>
          </w:p>
        </w:tc>
        <w:tc>
          <w:tcPr>
            <w:tcW w:w="997" w:type="dxa"/>
            <w:tcBorders>
              <w:top w:val="nil"/>
              <w:left w:val="nil"/>
              <w:bottom w:val="single" w:sz="4" w:space="0" w:color="auto"/>
              <w:right w:val="nil"/>
            </w:tcBorders>
            <w:shd w:val="clear" w:color="auto" w:fill="auto"/>
            <w:noWrap/>
            <w:hideMark/>
          </w:tcPr>
          <w:p w14:paraId="114C0728" w14:textId="65AB970F" w:rsidR="00571D9D" w:rsidRPr="00571D9D" w:rsidRDefault="00571D9D" w:rsidP="001F788D">
            <w:pPr>
              <w:pStyle w:val="TableText"/>
              <w:spacing w:before="40" w:after="40"/>
              <w:jc w:val="right"/>
              <w:rPr>
                <w:sz w:val="16"/>
                <w:szCs w:val="16"/>
                <w:lang w:val="en-US" w:eastAsia="en-US"/>
              </w:rPr>
            </w:pPr>
            <w:r w:rsidRPr="00571D9D">
              <w:rPr>
                <w:sz w:val="16"/>
                <w:szCs w:val="16"/>
                <w:lang w:val="en-US" w:eastAsia="en-US"/>
              </w:rPr>
              <w:t>39</w:t>
            </w:r>
          </w:p>
        </w:tc>
        <w:tc>
          <w:tcPr>
            <w:tcW w:w="997" w:type="dxa"/>
            <w:tcBorders>
              <w:top w:val="nil"/>
              <w:left w:val="nil"/>
              <w:bottom w:val="single" w:sz="4" w:space="0" w:color="auto"/>
              <w:right w:val="nil"/>
            </w:tcBorders>
            <w:shd w:val="clear" w:color="auto" w:fill="auto"/>
            <w:noWrap/>
            <w:hideMark/>
          </w:tcPr>
          <w:p w14:paraId="2CBB40FB" w14:textId="02CEFE7C" w:rsidR="00571D9D" w:rsidRPr="00571D9D" w:rsidRDefault="00571D9D" w:rsidP="001F788D">
            <w:pPr>
              <w:pStyle w:val="TableText"/>
              <w:spacing w:before="40" w:after="40"/>
              <w:jc w:val="right"/>
              <w:rPr>
                <w:sz w:val="16"/>
                <w:szCs w:val="16"/>
                <w:lang w:val="en-US" w:eastAsia="en-US"/>
              </w:rPr>
            </w:pPr>
            <w:r w:rsidRPr="00571D9D">
              <w:rPr>
                <w:sz w:val="16"/>
                <w:szCs w:val="16"/>
                <w:lang w:val="en-US" w:eastAsia="en-US"/>
              </w:rPr>
              <w:t>41</w:t>
            </w:r>
          </w:p>
        </w:tc>
        <w:tc>
          <w:tcPr>
            <w:tcW w:w="998" w:type="dxa"/>
            <w:tcBorders>
              <w:top w:val="nil"/>
              <w:left w:val="nil"/>
              <w:bottom w:val="single" w:sz="4" w:space="0" w:color="auto"/>
              <w:right w:val="nil"/>
            </w:tcBorders>
            <w:shd w:val="clear" w:color="auto" w:fill="D9D9D9" w:themeFill="background1" w:themeFillShade="D9"/>
            <w:noWrap/>
            <w:hideMark/>
          </w:tcPr>
          <w:p w14:paraId="26B8A08C" w14:textId="5A057AF7" w:rsidR="00571D9D" w:rsidRPr="00571D9D" w:rsidRDefault="00571D9D" w:rsidP="001F788D">
            <w:pPr>
              <w:pStyle w:val="TableText"/>
              <w:spacing w:before="40" w:after="40"/>
              <w:jc w:val="right"/>
              <w:rPr>
                <w:sz w:val="16"/>
                <w:szCs w:val="16"/>
                <w:lang w:val="en-US" w:eastAsia="en-US"/>
              </w:rPr>
            </w:pPr>
            <w:r w:rsidRPr="00571D9D">
              <w:rPr>
                <w:sz w:val="16"/>
                <w:szCs w:val="16"/>
                <w:lang w:val="en-US" w:eastAsia="en-US"/>
              </w:rPr>
              <w:t>37</w:t>
            </w:r>
          </w:p>
        </w:tc>
      </w:tr>
      <w:tr w:rsidR="00571D9D" w:rsidRPr="00571D9D" w14:paraId="1B7BC548" w14:textId="77777777" w:rsidTr="004A249A">
        <w:trPr>
          <w:trHeight w:val="20"/>
        </w:trPr>
        <w:tc>
          <w:tcPr>
            <w:tcW w:w="2518" w:type="dxa"/>
            <w:tcBorders>
              <w:top w:val="nil"/>
              <w:left w:val="nil"/>
              <w:bottom w:val="nil"/>
              <w:right w:val="nil"/>
            </w:tcBorders>
            <w:shd w:val="clear" w:color="auto" w:fill="auto"/>
            <w:hideMark/>
          </w:tcPr>
          <w:p w14:paraId="0CF19764" w14:textId="631EAD47" w:rsidR="00571D9D" w:rsidRPr="00571D9D" w:rsidRDefault="00571D9D" w:rsidP="00823692">
            <w:pPr>
              <w:pStyle w:val="TableText"/>
              <w:spacing w:before="40" w:after="40"/>
              <w:rPr>
                <w:sz w:val="16"/>
                <w:szCs w:val="16"/>
                <w:lang w:val="en-US" w:eastAsia="en-US"/>
              </w:rPr>
            </w:pPr>
            <w:r w:rsidRPr="00571D9D">
              <w:rPr>
                <w:sz w:val="16"/>
                <w:szCs w:val="16"/>
                <w:lang w:val="en-US" w:eastAsia="en-US"/>
              </w:rPr>
              <w:t>Average separations per participant</w:t>
            </w:r>
          </w:p>
        </w:tc>
        <w:tc>
          <w:tcPr>
            <w:tcW w:w="997" w:type="dxa"/>
            <w:tcBorders>
              <w:top w:val="nil"/>
              <w:left w:val="nil"/>
              <w:bottom w:val="nil"/>
              <w:right w:val="nil"/>
            </w:tcBorders>
            <w:shd w:val="clear" w:color="auto" w:fill="auto"/>
            <w:noWrap/>
            <w:hideMark/>
          </w:tcPr>
          <w:p w14:paraId="3E08C1E6"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15,819</w:t>
            </w:r>
          </w:p>
        </w:tc>
        <w:tc>
          <w:tcPr>
            <w:tcW w:w="997" w:type="dxa"/>
            <w:tcBorders>
              <w:top w:val="nil"/>
              <w:left w:val="nil"/>
              <w:bottom w:val="nil"/>
              <w:right w:val="nil"/>
            </w:tcBorders>
            <w:shd w:val="clear" w:color="auto" w:fill="auto"/>
            <w:noWrap/>
            <w:hideMark/>
          </w:tcPr>
          <w:p w14:paraId="710365A0"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14,749</w:t>
            </w:r>
          </w:p>
        </w:tc>
        <w:tc>
          <w:tcPr>
            <w:tcW w:w="997" w:type="dxa"/>
            <w:tcBorders>
              <w:top w:val="nil"/>
              <w:left w:val="nil"/>
              <w:bottom w:val="nil"/>
              <w:right w:val="nil"/>
            </w:tcBorders>
            <w:shd w:val="clear" w:color="auto" w:fill="auto"/>
            <w:noWrap/>
            <w:hideMark/>
          </w:tcPr>
          <w:p w14:paraId="2A5E997F"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14,991</w:t>
            </w:r>
          </w:p>
        </w:tc>
        <w:tc>
          <w:tcPr>
            <w:tcW w:w="997" w:type="dxa"/>
            <w:tcBorders>
              <w:top w:val="nil"/>
              <w:left w:val="nil"/>
              <w:bottom w:val="nil"/>
              <w:right w:val="nil"/>
            </w:tcBorders>
            <w:shd w:val="clear" w:color="auto" w:fill="auto"/>
            <w:noWrap/>
            <w:hideMark/>
          </w:tcPr>
          <w:p w14:paraId="0A33660C"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16,905</w:t>
            </w:r>
          </w:p>
        </w:tc>
        <w:tc>
          <w:tcPr>
            <w:tcW w:w="997" w:type="dxa"/>
            <w:tcBorders>
              <w:top w:val="nil"/>
              <w:left w:val="nil"/>
              <w:bottom w:val="nil"/>
              <w:right w:val="nil"/>
            </w:tcBorders>
            <w:shd w:val="clear" w:color="auto" w:fill="auto"/>
            <w:noWrap/>
            <w:hideMark/>
          </w:tcPr>
          <w:p w14:paraId="70DE83B8"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17,377</w:t>
            </w:r>
          </w:p>
        </w:tc>
        <w:tc>
          <w:tcPr>
            <w:tcW w:w="997" w:type="dxa"/>
            <w:tcBorders>
              <w:top w:val="nil"/>
              <w:left w:val="nil"/>
              <w:bottom w:val="nil"/>
              <w:right w:val="nil"/>
            </w:tcBorders>
            <w:shd w:val="clear" w:color="auto" w:fill="auto"/>
            <w:noWrap/>
            <w:hideMark/>
          </w:tcPr>
          <w:p w14:paraId="23700DE0"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17,680</w:t>
            </w:r>
          </w:p>
        </w:tc>
        <w:tc>
          <w:tcPr>
            <w:tcW w:w="998" w:type="dxa"/>
            <w:tcBorders>
              <w:top w:val="nil"/>
              <w:left w:val="nil"/>
              <w:bottom w:val="nil"/>
              <w:right w:val="nil"/>
            </w:tcBorders>
            <w:shd w:val="clear" w:color="auto" w:fill="D9D9D9" w:themeFill="background1" w:themeFillShade="D9"/>
            <w:noWrap/>
            <w:hideMark/>
          </w:tcPr>
          <w:p w14:paraId="1CD110BC"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19,579</w:t>
            </w:r>
          </w:p>
        </w:tc>
      </w:tr>
      <w:tr w:rsidR="00571D9D" w:rsidRPr="00571D9D" w14:paraId="529E87DA" w14:textId="77777777" w:rsidTr="004A249A">
        <w:trPr>
          <w:trHeight w:val="20"/>
        </w:trPr>
        <w:tc>
          <w:tcPr>
            <w:tcW w:w="2518" w:type="dxa"/>
            <w:tcBorders>
              <w:top w:val="nil"/>
              <w:left w:val="nil"/>
              <w:bottom w:val="nil"/>
              <w:right w:val="nil"/>
            </w:tcBorders>
            <w:shd w:val="clear" w:color="auto" w:fill="auto"/>
            <w:hideMark/>
          </w:tcPr>
          <w:p w14:paraId="764C0B7B" w14:textId="2AEA61DF" w:rsidR="00571D9D" w:rsidRPr="00571D9D" w:rsidRDefault="00571D9D" w:rsidP="00823692">
            <w:pPr>
              <w:pStyle w:val="TableText"/>
              <w:spacing w:before="40" w:after="40"/>
              <w:rPr>
                <w:sz w:val="16"/>
                <w:szCs w:val="16"/>
                <w:lang w:val="en-US" w:eastAsia="en-US"/>
              </w:rPr>
            </w:pPr>
            <w:r w:rsidRPr="00571D9D">
              <w:rPr>
                <w:sz w:val="16"/>
                <w:szCs w:val="16"/>
                <w:lang w:val="en-US" w:eastAsia="en-US"/>
              </w:rPr>
              <w:t>Average separations per population hospital</w:t>
            </w:r>
          </w:p>
        </w:tc>
        <w:tc>
          <w:tcPr>
            <w:tcW w:w="997" w:type="dxa"/>
            <w:tcBorders>
              <w:top w:val="nil"/>
              <w:left w:val="nil"/>
              <w:bottom w:val="nil"/>
              <w:right w:val="nil"/>
            </w:tcBorders>
            <w:shd w:val="clear" w:color="auto" w:fill="auto"/>
            <w:noWrap/>
            <w:hideMark/>
          </w:tcPr>
          <w:p w14:paraId="5BAA44A9"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9,573</w:t>
            </w:r>
          </w:p>
        </w:tc>
        <w:tc>
          <w:tcPr>
            <w:tcW w:w="997" w:type="dxa"/>
            <w:tcBorders>
              <w:top w:val="nil"/>
              <w:left w:val="nil"/>
              <w:bottom w:val="nil"/>
              <w:right w:val="nil"/>
            </w:tcBorders>
            <w:shd w:val="clear" w:color="auto" w:fill="auto"/>
            <w:noWrap/>
            <w:hideMark/>
          </w:tcPr>
          <w:p w14:paraId="2E18EC40"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9,818</w:t>
            </w:r>
          </w:p>
        </w:tc>
        <w:tc>
          <w:tcPr>
            <w:tcW w:w="997" w:type="dxa"/>
            <w:tcBorders>
              <w:top w:val="nil"/>
              <w:left w:val="nil"/>
              <w:bottom w:val="nil"/>
              <w:right w:val="nil"/>
            </w:tcBorders>
            <w:shd w:val="clear" w:color="auto" w:fill="auto"/>
            <w:noWrap/>
            <w:hideMark/>
          </w:tcPr>
          <w:p w14:paraId="0D2C1976"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10,304</w:t>
            </w:r>
          </w:p>
        </w:tc>
        <w:tc>
          <w:tcPr>
            <w:tcW w:w="997" w:type="dxa"/>
            <w:tcBorders>
              <w:top w:val="nil"/>
              <w:left w:val="nil"/>
              <w:bottom w:val="nil"/>
              <w:right w:val="nil"/>
            </w:tcBorders>
            <w:shd w:val="clear" w:color="auto" w:fill="auto"/>
            <w:noWrap/>
            <w:hideMark/>
          </w:tcPr>
          <w:p w14:paraId="6FD97EE8"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10,902</w:t>
            </w:r>
          </w:p>
        </w:tc>
        <w:tc>
          <w:tcPr>
            <w:tcW w:w="997" w:type="dxa"/>
            <w:tcBorders>
              <w:top w:val="nil"/>
              <w:left w:val="nil"/>
              <w:bottom w:val="nil"/>
              <w:right w:val="nil"/>
            </w:tcBorders>
            <w:shd w:val="clear" w:color="auto" w:fill="auto"/>
            <w:noWrap/>
            <w:hideMark/>
          </w:tcPr>
          <w:p w14:paraId="05E68F95"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11,286</w:t>
            </w:r>
          </w:p>
        </w:tc>
        <w:tc>
          <w:tcPr>
            <w:tcW w:w="997" w:type="dxa"/>
            <w:tcBorders>
              <w:top w:val="nil"/>
              <w:left w:val="nil"/>
              <w:bottom w:val="nil"/>
              <w:right w:val="nil"/>
            </w:tcBorders>
            <w:shd w:val="clear" w:color="auto" w:fill="auto"/>
            <w:noWrap/>
            <w:hideMark/>
          </w:tcPr>
          <w:p w14:paraId="791EFFFF"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12,034</w:t>
            </w:r>
          </w:p>
        </w:tc>
        <w:tc>
          <w:tcPr>
            <w:tcW w:w="998" w:type="dxa"/>
            <w:tcBorders>
              <w:top w:val="nil"/>
              <w:left w:val="nil"/>
              <w:bottom w:val="nil"/>
              <w:right w:val="nil"/>
            </w:tcBorders>
            <w:shd w:val="clear" w:color="auto" w:fill="D9D9D9" w:themeFill="background1" w:themeFillShade="D9"/>
            <w:noWrap/>
            <w:hideMark/>
          </w:tcPr>
          <w:p w14:paraId="354FD4AC"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12,405</w:t>
            </w:r>
          </w:p>
        </w:tc>
      </w:tr>
      <w:tr w:rsidR="00571D9D" w:rsidRPr="00571D9D" w14:paraId="0BBF5B8D" w14:textId="77777777" w:rsidTr="004A249A">
        <w:trPr>
          <w:trHeight w:val="20"/>
        </w:trPr>
        <w:tc>
          <w:tcPr>
            <w:tcW w:w="2518" w:type="dxa"/>
            <w:tcBorders>
              <w:top w:val="single" w:sz="4" w:space="0" w:color="auto"/>
              <w:left w:val="nil"/>
              <w:bottom w:val="nil"/>
              <w:right w:val="nil"/>
            </w:tcBorders>
            <w:shd w:val="clear" w:color="auto" w:fill="auto"/>
            <w:hideMark/>
          </w:tcPr>
          <w:p w14:paraId="26CE86F8" w14:textId="2E35184A" w:rsidR="00571D9D" w:rsidRPr="00571D9D" w:rsidRDefault="007C3059" w:rsidP="00823692">
            <w:pPr>
              <w:pStyle w:val="TableText"/>
              <w:spacing w:before="40" w:after="40"/>
              <w:rPr>
                <w:sz w:val="16"/>
                <w:szCs w:val="16"/>
                <w:lang w:val="en-US" w:eastAsia="en-US"/>
              </w:rPr>
            </w:pPr>
            <w:proofErr w:type="spellStart"/>
            <w:r>
              <w:rPr>
                <w:sz w:val="16"/>
                <w:szCs w:val="16"/>
                <w:lang w:val="en-US" w:eastAsia="en-US"/>
              </w:rPr>
              <w:t>ALoS</w:t>
            </w:r>
            <w:proofErr w:type="spellEnd"/>
          </w:p>
        </w:tc>
        <w:tc>
          <w:tcPr>
            <w:tcW w:w="997" w:type="dxa"/>
            <w:tcBorders>
              <w:top w:val="single" w:sz="4" w:space="0" w:color="auto"/>
              <w:left w:val="nil"/>
              <w:bottom w:val="nil"/>
              <w:right w:val="nil"/>
            </w:tcBorders>
            <w:shd w:val="clear" w:color="auto" w:fill="auto"/>
            <w:noWrap/>
            <w:hideMark/>
          </w:tcPr>
          <w:p w14:paraId="52C93C2B"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2.88</w:t>
            </w:r>
          </w:p>
        </w:tc>
        <w:tc>
          <w:tcPr>
            <w:tcW w:w="997" w:type="dxa"/>
            <w:tcBorders>
              <w:top w:val="single" w:sz="4" w:space="0" w:color="auto"/>
              <w:left w:val="nil"/>
              <w:bottom w:val="nil"/>
              <w:right w:val="nil"/>
            </w:tcBorders>
            <w:shd w:val="clear" w:color="auto" w:fill="auto"/>
            <w:noWrap/>
            <w:hideMark/>
          </w:tcPr>
          <w:p w14:paraId="0D162B3F"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2.62</w:t>
            </w:r>
          </w:p>
        </w:tc>
        <w:tc>
          <w:tcPr>
            <w:tcW w:w="997" w:type="dxa"/>
            <w:tcBorders>
              <w:top w:val="single" w:sz="4" w:space="0" w:color="auto"/>
              <w:left w:val="nil"/>
              <w:bottom w:val="nil"/>
              <w:right w:val="nil"/>
            </w:tcBorders>
            <w:shd w:val="clear" w:color="auto" w:fill="auto"/>
            <w:noWrap/>
            <w:hideMark/>
          </w:tcPr>
          <w:p w14:paraId="2685B966"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2.57</w:t>
            </w:r>
          </w:p>
        </w:tc>
        <w:tc>
          <w:tcPr>
            <w:tcW w:w="997" w:type="dxa"/>
            <w:tcBorders>
              <w:top w:val="single" w:sz="4" w:space="0" w:color="auto"/>
              <w:left w:val="nil"/>
              <w:bottom w:val="nil"/>
              <w:right w:val="nil"/>
            </w:tcBorders>
            <w:shd w:val="clear" w:color="auto" w:fill="auto"/>
            <w:noWrap/>
            <w:hideMark/>
          </w:tcPr>
          <w:p w14:paraId="732649A8"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2.51</w:t>
            </w:r>
          </w:p>
        </w:tc>
        <w:tc>
          <w:tcPr>
            <w:tcW w:w="997" w:type="dxa"/>
            <w:tcBorders>
              <w:top w:val="single" w:sz="4" w:space="0" w:color="auto"/>
              <w:left w:val="nil"/>
              <w:bottom w:val="nil"/>
              <w:right w:val="nil"/>
            </w:tcBorders>
            <w:shd w:val="clear" w:color="auto" w:fill="auto"/>
            <w:noWrap/>
            <w:hideMark/>
          </w:tcPr>
          <w:p w14:paraId="1EE49670"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2.53</w:t>
            </w:r>
          </w:p>
        </w:tc>
        <w:tc>
          <w:tcPr>
            <w:tcW w:w="997" w:type="dxa"/>
            <w:tcBorders>
              <w:top w:val="single" w:sz="4" w:space="0" w:color="auto"/>
              <w:left w:val="nil"/>
              <w:bottom w:val="nil"/>
              <w:right w:val="nil"/>
            </w:tcBorders>
            <w:shd w:val="clear" w:color="auto" w:fill="auto"/>
            <w:noWrap/>
            <w:hideMark/>
          </w:tcPr>
          <w:p w14:paraId="426C0973"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2.45</w:t>
            </w:r>
          </w:p>
        </w:tc>
        <w:tc>
          <w:tcPr>
            <w:tcW w:w="998" w:type="dxa"/>
            <w:tcBorders>
              <w:top w:val="single" w:sz="4" w:space="0" w:color="auto"/>
              <w:left w:val="nil"/>
              <w:bottom w:val="nil"/>
              <w:right w:val="nil"/>
            </w:tcBorders>
            <w:shd w:val="clear" w:color="auto" w:fill="D9D9D9" w:themeFill="background1" w:themeFillShade="D9"/>
            <w:noWrap/>
            <w:hideMark/>
          </w:tcPr>
          <w:p w14:paraId="45B3548C"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2.34</w:t>
            </w:r>
          </w:p>
        </w:tc>
      </w:tr>
      <w:tr w:rsidR="00571D9D" w:rsidRPr="00571D9D" w14:paraId="4037CB7D" w14:textId="77777777" w:rsidTr="007570A0">
        <w:trPr>
          <w:trHeight w:val="20"/>
        </w:trPr>
        <w:tc>
          <w:tcPr>
            <w:tcW w:w="2518" w:type="dxa"/>
            <w:tcBorders>
              <w:top w:val="nil"/>
              <w:left w:val="nil"/>
              <w:right w:val="nil"/>
            </w:tcBorders>
            <w:shd w:val="clear" w:color="auto" w:fill="auto"/>
            <w:hideMark/>
          </w:tcPr>
          <w:p w14:paraId="4727D7C9" w14:textId="7CB9831F" w:rsidR="00571D9D" w:rsidRPr="00571D9D" w:rsidRDefault="00571D9D" w:rsidP="00823692">
            <w:pPr>
              <w:pStyle w:val="TableText"/>
              <w:spacing w:before="40" w:after="40"/>
              <w:rPr>
                <w:sz w:val="16"/>
                <w:szCs w:val="16"/>
                <w:lang w:val="en-US" w:eastAsia="en-US"/>
              </w:rPr>
            </w:pPr>
            <w:proofErr w:type="gramStart"/>
            <w:r w:rsidRPr="00571D9D">
              <w:rPr>
                <w:sz w:val="16"/>
                <w:szCs w:val="16"/>
                <w:lang w:val="en-US" w:eastAsia="en-US"/>
              </w:rPr>
              <w:t>change</w:t>
            </w:r>
            <w:proofErr w:type="gramEnd"/>
            <w:r>
              <w:rPr>
                <w:sz w:val="16"/>
                <w:szCs w:val="16"/>
                <w:lang w:val="en-US" w:eastAsia="en-US"/>
              </w:rPr>
              <w:t xml:space="preserve"> (%)</w:t>
            </w:r>
          </w:p>
        </w:tc>
        <w:tc>
          <w:tcPr>
            <w:tcW w:w="997" w:type="dxa"/>
            <w:tcBorders>
              <w:top w:val="nil"/>
              <w:left w:val="nil"/>
              <w:right w:val="nil"/>
            </w:tcBorders>
            <w:shd w:val="clear" w:color="auto" w:fill="auto"/>
            <w:noWrap/>
            <w:hideMark/>
          </w:tcPr>
          <w:p w14:paraId="0B12B6CE" w14:textId="73E837AA"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-3.0</w:t>
            </w:r>
          </w:p>
        </w:tc>
        <w:tc>
          <w:tcPr>
            <w:tcW w:w="997" w:type="dxa"/>
            <w:tcBorders>
              <w:top w:val="nil"/>
              <w:left w:val="nil"/>
              <w:right w:val="nil"/>
            </w:tcBorders>
            <w:shd w:val="clear" w:color="auto" w:fill="auto"/>
            <w:noWrap/>
            <w:hideMark/>
          </w:tcPr>
          <w:p w14:paraId="67FBB5DB" w14:textId="2EAC7B41"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-9.0</w:t>
            </w:r>
          </w:p>
        </w:tc>
        <w:tc>
          <w:tcPr>
            <w:tcW w:w="997" w:type="dxa"/>
            <w:tcBorders>
              <w:top w:val="nil"/>
              <w:left w:val="nil"/>
              <w:right w:val="nil"/>
            </w:tcBorders>
            <w:shd w:val="clear" w:color="auto" w:fill="auto"/>
            <w:noWrap/>
            <w:hideMark/>
          </w:tcPr>
          <w:p w14:paraId="3E7C752A" w14:textId="2A014841"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-1.9</w:t>
            </w:r>
          </w:p>
        </w:tc>
        <w:tc>
          <w:tcPr>
            <w:tcW w:w="997" w:type="dxa"/>
            <w:tcBorders>
              <w:top w:val="nil"/>
              <w:left w:val="nil"/>
              <w:right w:val="nil"/>
            </w:tcBorders>
            <w:shd w:val="clear" w:color="auto" w:fill="auto"/>
            <w:noWrap/>
            <w:hideMark/>
          </w:tcPr>
          <w:p w14:paraId="47A7A798" w14:textId="0E3D9EB6"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-2.2</w:t>
            </w:r>
          </w:p>
        </w:tc>
        <w:tc>
          <w:tcPr>
            <w:tcW w:w="997" w:type="dxa"/>
            <w:tcBorders>
              <w:top w:val="nil"/>
              <w:left w:val="nil"/>
              <w:right w:val="nil"/>
            </w:tcBorders>
            <w:shd w:val="clear" w:color="auto" w:fill="auto"/>
            <w:noWrap/>
            <w:hideMark/>
          </w:tcPr>
          <w:p w14:paraId="05D55C2C" w14:textId="6CFE6F53"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0.5</w:t>
            </w:r>
          </w:p>
        </w:tc>
        <w:tc>
          <w:tcPr>
            <w:tcW w:w="997" w:type="dxa"/>
            <w:tcBorders>
              <w:top w:val="nil"/>
              <w:left w:val="nil"/>
              <w:right w:val="nil"/>
            </w:tcBorders>
            <w:shd w:val="clear" w:color="auto" w:fill="auto"/>
            <w:noWrap/>
            <w:hideMark/>
          </w:tcPr>
          <w:p w14:paraId="653DB150" w14:textId="7801C0BB"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-3.1</w:t>
            </w:r>
          </w:p>
        </w:tc>
        <w:tc>
          <w:tcPr>
            <w:tcW w:w="998" w:type="dxa"/>
            <w:tcBorders>
              <w:top w:val="nil"/>
              <w:left w:val="nil"/>
              <w:right w:val="nil"/>
            </w:tcBorders>
            <w:shd w:val="clear" w:color="auto" w:fill="D9D9D9" w:themeFill="background1" w:themeFillShade="D9"/>
            <w:noWrap/>
            <w:hideMark/>
          </w:tcPr>
          <w:p w14:paraId="0AC84626" w14:textId="764BB041"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-4.6</w:t>
            </w:r>
          </w:p>
        </w:tc>
      </w:tr>
      <w:tr w:rsidR="00571D9D" w:rsidRPr="00571D9D" w14:paraId="2EFA22BB" w14:textId="77777777" w:rsidTr="007570A0">
        <w:trPr>
          <w:trHeight w:val="20"/>
        </w:trPr>
        <w:tc>
          <w:tcPr>
            <w:tcW w:w="2518" w:type="dxa"/>
            <w:tcBorders>
              <w:top w:val="nil"/>
              <w:left w:val="nil"/>
              <w:bottom w:val="single" w:sz="4" w:space="0" w:color="auto"/>
              <w:right w:val="nil"/>
            </w:tcBorders>
            <w:shd w:val="clear" w:color="auto" w:fill="auto"/>
            <w:hideMark/>
          </w:tcPr>
          <w:p w14:paraId="37865047" w14:textId="77777777" w:rsidR="00571D9D" w:rsidRPr="00571D9D" w:rsidRDefault="00571D9D" w:rsidP="00823692">
            <w:pPr>
              <w:pStyle w:val="TableText"/>
              <w:spacing w:before="40" w:after="40"/>
              <w:rPr>
                <w:sz w:val="16"/>
                <w:szCs w:val="16"/>
                <w:lang w:val="en-US" w:eastAsia="en-US"/>
              </w:rPr>
            </w:pPr>
            <w:r w:rsidRPr="00571D9D">
              <w:rPr>
                <w:sz w:val="16"/>
                <w:szCs w:val="16"/>
                <w:lang w:val="en-US" w:eastAsia="en-US"/>
              </w:rPr>
              <w:t xml:space="preserve">Overnight </w:t>
            </w:r>
            <w:proofErr w:type="spellStart"/>
            <w:r w:rsidRPr="00571D9D">
              <w:rPr>
                <w:sz w:val="16"/>
                <w:szCs w:val="16"/>
                <w:lang w:val="en-US" w:eastAsia="en-US"/>
              </w:rPr>
              <w:t>ALoS</w:t>
            </w:r>
            <w:proofErr w:type="spellEnd"/>
          </w:p>
        </w:tc>
        <w:tc>
          <w:tcPr>
            <w:tcW w:w="997" w:type="dxa"/>
            <w:tcBorders>
              <w:top w:val="nil"/>
              <w:left w:val="nil"/>
              <w:bottom w:val="single" w:sz="4" w:space="0" w:color="auto"/>
              <w:right w:val="nil"/>
            </w:tcBorders>
            <w:shd w:val="clear" w:color="auto" w:fill="auto"/>
            <w:noWrap/>
            <w:hideMark/>
          </w:tcPr>
          <w:p w14:paraId="61AC06EB"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unknown</w:t>
            </w:r>
          </w:p>
        </w:tc>
        <w:tc>
          <w:tcPr>
            <w:tcW w:w="997" w:type="dxa"/>
            <w:tcBorders>
              <w:top w:val="nil"/>
              <w:left w:val="nil"/>
              <w:bottom w:val="single" w:sz="4" w:space="0" w:color="auto"/>
              <w:right w:val="nil"/>
            </w:tcBorders>
            <w:shd w:val="clear" w:color="auto" w:fill="auto"/>
            <w:noWrap/>
            <w:hideMark/>
          </w:tcPr>
          <w:p w14:paraId="1F92461B"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unknown</w:t>
            </w:r>
          </w:p>
        </w:tc>
        <w:tc>
          <w:tcPr>
            <w:tcW w:w="997" w:type="dxa"/>
            <w:tcBorders>
              <w:top w:val="nil"/>
              <w:left w:val="nil"/>
              <w:bottom w:val="single" w:sz="4" w:space="0" w:color="auto"/>
              <w:right w:val="nil"/>
            </w:tcBorders>
            <w:shd w:val="clear" w:color="auto" w:fill="auto"/>
            <w:noWrap/>
            <w:hideMark/>
          </w:tcPr>
          <w:p w14:paraId="49984064"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unknown</w:t>
            </w:r>
          </w:p>
        </w:tc>
        <w:tc>
          <w:tcPr>
            <w:tcW w:w="997" w:type="dxa"/>
            <w:tcBorders>
              <w:top w:val="nil"/>
              <w:left w:val="nil"/>
              <w:bottom w:val="single" w:sz="4" w:space="0" w:color="auto"/>
              <w:right w:val="nil"/>
            </w:tcBorders>
            <w:shd w:val="clear" w:color="auto" w:fill="auto"/>
            <w:noWrap/>
            <w:hideMark/>
          </w:tcPr>
          <w:p w14:paraId="70EB1A36"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unknown</w:t>
            </w:r>
          </w:p>
        </w:tc>
        <w:tc>
          <w:tcPr>
            <w:tcW w:w="997" w:type="dxa"/>
            <w:tcBorders>
              <w:top w:val="nil"/>
              <w:left w:val="nil"/>
              <w:bottom w:val="single" w:sz="4" w:space="0" w:color="auto"/>
              <w:right w:val="nil"/>
            </w:tcBorders>
            <w:shd w:val="clear" w:color="auto" w:fill="auto"/>
            <w:noWrap/>
            <w:hideMark/>
          </w:tcPr>
          <w:p w14:paraId="06597A50"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4.42</w:t>
            </w:r>
          </w:p>
        </w:tc>
        <w:tc>
          <w:tcPr>
            <w:tcW w:w="997" w:type="dxa"/>
            <w:tcBorders>
              <w:top w:val="nil"/>
              <w:left w:val="nil"/>
              <w:bottom w:val="single" w:sz="4" w:space="0" w:color="auto"/>
              <w:right w:val="nil"/>
            </w:tcBorders>
            <w:shd w:val="clear" w:color="auto" w:fill="auto"/>
            <w:noWrap/>
            <w:hideMark/>
          </w:tcPr>
          <w:p w14:paraId="31B609BC"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4.38</w:t>
            </w:r>
          </w:p>
        </w:tc>
        <w:tc>
          <w:tcPr>
            <w:tcW w:w="998" w:type="dxa"/>
            <w:tcBorders>
              <w:top w:val="nil"/>
              <w:left w:val="nil"/>
              <w:bottom w:val="single" w:sz="4" w:space="0" w:color="auto"/>
              <w:right w:val="nil"/>
            </w:tcBorders>
            <w:shd w:val="clear" w:color="auto" w:fill="D9D9D9" w:themeFill="background1" w:themeFillShade="D9"/>
            <w:noWrap/>
            <w:hideMark/>
          </w:tcPr>
          <w:p w14:paraId="2FA02D64" w14:textId="77777777" w:rsidR="00571D9D" w:rsidRPr="00571D9D" w:rsidRDefault="00571D9D" w:rsidP="00823692">
            <w:pPr>
              <w:pStyle w:val="TableText"/>
              <w:spacing w:before="40" w:after="40"/>
              <w:jc w:val="right"/>
              <w:rPr>
                <w:sz w:val="16"/>
                <w:szCs w:val="16"/>
                <w:lang w:val="en-US" w:eastAsia="en-US"/>
              </w:rPr>
            </w:pPr>
            <w:r w:rsidRPr="00571D9D">
              <w:rPr>
                <w:sz w:val="16"/>
                <w:szCs w:val="16"/>
                <w:lang w:val="en-US" w:eastAsia="en-US"/>
              </w:rPr>
              <w:t>4.18</w:t>
            </w:r>
          </w:p>
        </w:tc>
      </w:tr>
    </w:tbl>
    <w:p w14:paraId="353BF35A" w14:textId="617006BA" w:rsidR="005D7320" w:rsidRPr="00082B35" w:rsidRDefault="004A249A" w:rsidP="005068A3">
      <w:pPr>
        <w:spacing w:before="240"/>
        <w:rPr>
          <w:rFonts w:ascii="Georgia" w:hAnsi="Georgia"/>
          <w:sz w:val="20"/>
          <w:lang w:eastAsia="en-US"/>
        </w:rPr>
      </w:pPr>
      <w:bookmarkStart w:id="130" w:name="OLE_LINK1"/>
      <w:r>
        <w:t xml:space="preserve">The </w:t>
      </w:r>
      <w:proofErr w:type="spellStart"/>
      <w:r w:rsidR="00E52A05">
        <w:t>ALo</w:t>
      </w:r>
      <w:r w:rsidR="00FA5DC3" w:rsidRPr="00082B35">
        <w:t>S</w:t>
      </w:r>
      <w:proofErr w:type="spellEnd"/>
      <w:r w:rsidR="00FA5DC3" w:rsidRPr="00082B35">
        <w:t xml:space="preserve"> </w:t>
      </w:r>
      <w:r w:rsidR="005D7320" w:rsidRPr="00082B35">
        <w:t xml:space="preserve">decreased from </w:t>
      </w:r>
      <w:r w:rsidR="00082B35" w:rsidRPr="00082B35">
        <w:t xml:space="preserve">2.45 </w:t>
      </w:r>
      <w:r w:rsidR="005D7320" w:rsidRPr="00082B35">
        <w:t xml:space="preserve">days </w:t>
      </w:r>
      <w:r>
        <w:t xml:space="preserve">in Round 18 </w:t>
      </w:r>
      <w:r w:rsidR="005D7320" w:rsidRPr="00082B35">
        <w:t>to 2.</w:t>
      </w:r>
      <w:r w:rsidR="00082B35" w:rsidRPr="00082B35">
        <w:t>34</w:t>
      </w:r>
      <w:r w:rsidR="005D7320" w:rsidRPr="00082B35">
        <w:t xml:space="preserve"> days</w:t>
      </w:r>
      <w:r>
        <w:t xml:space="preserve"> in</w:t>
      </w:r>
      <w:r w:rsidR="005D7320" w:rsidRPr="00082B35">
        <w:t xml:space="preserve"> </w:t>
      </w:r>
      <w:r>
        <w:t xml:space="preserve">Round 20 </w:t>
      </w:r>
      <w:r w:rsidR="005D7320" w:rsidRPr="00082B35">
        <w:t xml:space="preserve">which is a reduction of </w:t>
      </w:r>
      <w:r w:rsidR="00082B35">
        <w:t>4.6</w:t>
      </w:r>
      <w:r w:rsidR="00FA5DC3">
        <w:t xml:space="preserve"> per cent</w:t>
      </w:r>
      <w:r w:rsidR="005D7320" w:rsidRPr="00082B35">
        <w:t xml:space="preserve"> (see </w:t>
      </w:r>
      <w:r w:rsidR="00D379AF">
        <w:t>Table 4</w:t>
      </w:r>
      <w:r w:rsidR="005D7320" w:rsidRPr="00082B35">
        <w:t xml:space="preserve">).  A reason for this movement was Round </w:t>
      </w:r>
      <w:r w:rsidR="00082B35">
        <w:t xml:space="preserve">20 had a different sample population compared to Round 18. Contributing to this decline in </w:t>
      </w:r>
      <w:proofErr w:type="spellStart"/>
      <w:r w:rsidR="00FA5DC3">
        <w:t>AL</w:t>
      </w:r>
      <w:r w:rsidR="00E52A05">
        <w:t>o</w:t>
      </w:r>
      <w:r w:rsidR="00FA5DC3">
        <w:t>S</w:t>
      </w:r>
      <w:proofErr w:type="spellEnd"/>
      <w:r w:rsidR="00FA5DC3">
        <w:t xml:space="preserve"> </w:t>
      </w:r>
      <w:r w:rsidR="00082B35">
        <w:t xml:space="preserve">is the overnight </w:t>
      </w:r>
      <w:proofErr w:type="spellStart"/>
      <w:r w:rsidR="00E52A05">
        <w:t>ALo</w:t>
      </w:r>
      <w:r w:rsidR="00FA5DC3">
        <w:t>S</w:t>
      </w:r>
      <w:proofErr w:type="spellEnd"/>
      <w:r w:rsidR="00FA5DC3">
        <w:t xml:space="preserve"> </w:t>
      </w:r>
      <w:r w:rsidR="00BF2A9E">
        <w:t>has reduce</w:t>
      </w:r>
      <w:r w:rsidR="0022779A">
        <w:t>d</w:t>
      </w:r>
      <w:r w:rsidR="00BF2A9E">
        <w:t xml:space="preserve"> from </w:t>
      </w:r>
      <w:r w:rsidR="00E52A05">
        <w:t>4.38 to 4.18</w:t>
      </w:r>
      <w:r w:rsidR="00BF2A9E">
        <w:t xml:space="preserve"> (4.</w:t>
      </w:r>
      <w:r w:rsidR="0053227C">
        <w:t>6</w:t>
      </w:r>
      <w:r w:rsidR="00E52A05">
        <w:t xml:space="preserve"> per cent</w:t>
      </w:r>
      <w:r w:rsidR="00082B35">
        <w:t>; 0.20 days reduction).</w:t>
      </w:r>
    </w:p>
    <w:p w14:paraId="57F38E53" w14:textId="7EC23483" w:rsidR="005D7320" w:rsidRDefault="005D7320" w:rsidP="005068A3">
      <w:r w:rsidRPr="00082B35">
        <w:t xml:space="preserve">Table </w:t>
      </w:r>
      <w:r w:rsidR="00D379AF">
        <w:t>4</w:t>
      </w:r>
      <w:r w:rsidRPr="00082B35">
        <w:t xml:space="preserve"> shows the </w:t>
      </w:r>
      <w:proofErr w:type="spellStart"/>
      <w:r w:rsidR="00E52A05">
        <w:t>ALo</w:t>
      </w:r>
      <w:r w:rsidR="00FA5DC3" w:rsidRPr="00082B35">
        <w:t>S</w:t>
      </w:r>
      <w:proofErr w:type="spellEnd"/>
      <w:r w:rsidR="00FA5DC3" w:rsidRPr="00082B35">
        <w:t xml:space="preserve"> </w:t>
      </w:r>
      <w:r w:rsidRPr="00082B35">
        <w:t xml:space="preserve">over the past </w:t>
      </w:r>
      <w:r w:rsidR="00FA5DC3">
        <w:t>six</w:t>
      </w:r>
      <w:r w:rsidRPr="00082B35">
        <w:t xml:space="preserve"> years, with the trend showing a decrease since 2006</w:t>
      </w:r>
      <w:r w:rsidR="001F788D">
        <w:noBreakHyphen/>
        <w:t>07</w:t>
      </w:r>
      <w:r w:rsidRPr="00082B35">
        <w:t xml:space="preserve">. Literature in the public domain supports a reduction in </w:t>
      </w:r>
      <w:proofErr w:type="spellStart"/>
      <w:r w:rsidR="00E52A05">
        <w:t>ALo</w:t>
      </w:r>
      <w:r w:rsidR="00FA5DC3" w:rsidRPr="00082B35">
        <w:t>S</w:t>
      </w:r>
      <w:proofErr w:type="spellEnd"/>
      <w:r w:rsidR="00FA5DC3" w:rsidRPr="00082B35">
        <w:t xml:space="preserve"> </w:t>
      </w:r>
      <w:r w:rsidRPr="00082B35">
        <w:t>to hospitals focusing on efficiency strategies</w:t>
      </w:r>
      <w:r w:rsidR="00D13CD5">
        <w:t>,</w:t>
      </w:r>
      <w:r w:rsidRPr="00082B35">
        <w:t xml:space="preserve"> for example patient pa</w:t>
      </w:r>
      <w:r w:rsidR="00D61C39">
        <w:t xml:space="preserve">thways/discharging planning; </w:t>
      </w:r>
      <w:r w:rsidRPr="00082B35">
        <w:t xml:space="preserve">DRG changing from </w:t>
      </w:r>
      <w:r w:rsidRPr="00082B35">
        <w:lastRenderedPageBreak/>
        <w:t>overnight to same day classifications; and new technologies and medical advancements enabling certain procedures to be performed quicker or with shorte</w:t>
      </w:r>
      <w:r w:rsidR="0053227C">
        <w:t>r</w:t>
      </w:r>
      <w:r w:rsidRPr="00082B35">
        <w:t xml:space="preserve"> recovery times.</w:t>
      </w:r>
    </w:p>
    <w:p w14:paraId="02762B4E" w14:textId="795C159D" w:rsidR="005D7320" w:rsidRDefault="00A22971" w:rsidP="005D7320">
      <w:pPr>
        <w:pStyle w:val="Heading2"/>
      </w:pPr>
      <w:bookmarkStart w:id="131" w:name="_Toc355118820"/>
      <w:bookmarkStart w:id="132" w:name="_Toc355166877"/>
      <w:bookmarkStart w:id="133" w:name="_Toc355166982"/>
      <w:bookmarkStart w:id="134" w:name="_Toc355167030"/>
      <w:bookmarkStart w:id="135" w:name="_Toc355167060"/>
      <w:bookmarkStart w:id="136" w:name="_Toc355172499"/>
      <w:bookmarkStart w:id="137" w:name="_Toc355172564"/>
      <w:bookmarkStart w:id="138" w:name="_Toc355172596"/>
      <w:bookmarkStart w:id="139" w:name="_Toc355172628"/>
      <w:bookmarkStart w:id="140" w:name="_Toc355172661"/>
      <w:bookmarkStart w:id="141" w:name="_Toc497200466"/>
      <w:bookmarkStart w:id="142" w:name="_Toc497732636"/>
      <w:bookmarkStart w:id="143" w:name="_Toc497736267"/>
      <w:bookmarkStart w:id="144" w:name="_Toc497736455"/>
      <w:bookmarkStart w:id="145" w:name="_Toc497732637"/>
      <w:bookmarkStart w:id="146" w:name="_Toc497736268"/>
      <w:bookmarkStart w:id="147" w:name="_Toc497736456"/>
      <w:bookmarkStart w:id="148" w:name="_Toc497732638"/>
      <w:bookmarkStart w:id="149" w:name="_Toc497736269"/>
      <w:bookmarkStart w:id="150" w:name="_Toc497736457"/>
      <w:bookmarkStart w:id="151" w:name="_Toc497732645"/>
      <w:bookmarkStart w:id="152" w:name="_Toc497736276"/>
      <w:bookmarkStart w:id="153" w:name="_Toc497736464"/>
      <w:bookmarkStart w:id="154" w:name="_Toc497732675"/>
      <w:bookmarkStart w:id="155" w:name="_Toc497736306"/>
      <w:bookmarkStart w:id="156" w:name="_Toc497736494"/>
      <w:bookmarkStart w:id="157" w:name="_Toc435610623"/>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t xml:space="preserve">Analysis of </w:t>
      </w:r>
      <w:bookmarkStart w:id="158" w:name="_Toc497732676"/>
      <w:bookmarkStart w:id="159" w:name="_Toc497736307"/>
      <w:bookmarkStart w:id="160" w:name="_Toc497736495"/>
      <w:bookmarkStart w:id="161" w:name="_Toc497732677"/>
      <w:bookmarkStart w:id="162" w:name="_Toc497736308"/>
      <w:bookmarkStart w:id="163" w:name="_Toc497736496"/>
      <w:bookmarkStart w:id="164" w:name="_Ref432971296"/>
      <w:bookmarkStart w:id="165" w:name="_Ref432971289"/>
      <w:bookmarkStart w:id="166" w:name="_Toc435611229"/>
      <w:bookmarkStart w:id="167" w:name="_Toc496857577"/>
      <w:bookmarkEnd w:id="157"/>
      <w:bookmarkEnd w:id="158"/>
      <w:bookmarkEnd w:id="159"/>
      <w:bookmarkEnd w:id="160"/>
      <w:bookmarkEnd w:id="161"/>
      <w:bookmarkEnd w:id="162"/>
      <w:bookmarkEnd w:id="163"/>
      <w:r w:rsidR="004F7ECE">
        <w:t>T</w:t>
      </w:r>
      <w:r w:rsidR="005D7320">
        <w:t xml:space="preserve">op 20 </w:t>
      </w:r>
      <w:bookmarkEnd w:id="164"/>
      <w:bookmarkEnd w:id="165"/>
      <w:r w:rsidR="004F7ECE">
        <w:t>DRG</w:t>
      </w:r>
      <w:r>
        <w:t>s</w:t>
      </w:r>
      <w:r w:rsidR="004F7ECE">
        <w:t xml:space="preserve"> </w:t>
      </w:r>
      <w:bookmarkEnd w:id="166"/>
      <w:bookmarkEnd w:id="167"/>
    </w:p>
    <w:p w14:paraId="500171E0" w14:textId="5CB630ED" w:rsidR="00E7439E" w:rsidRDefault="005D7320" w:rsidP="00A53818">
      <w:r>
        <w:t xml:space="preserve">This section analyses the top 20 DRGs by the </w:t>
      </w:r>
      <w:r w:rsidR="00D13CD5">
        <w:t xml:space="preserve">following </w:t>
      </w:r>
      <w:r>
        <w:t>categories</w:t>
      </w:r>
      <w:r w:rsidR="00D13CD5">
        <w:t>, which</w:t>
      </w:r>
      <w:r>
        <w:t xml:space="preserve"> are the same as presented in the Round 18 </w:t>
      </w:r>
      <w:r w:rsidR="004F7ECE">
        <w:t xml:space="preserve">private sector NHCDC </w:t>
      </w:r>
      <w:r>
        <w:t>report.</w:t>
      </w:r>
    </w:p>
    <w:p w14:paraId="7EC151EC" w14:textId="77777777" w:rsidR="005D7320" w:rsidRDefault="005D7320" w:rsidP="004F7ECE">
      <w:pPr>
        <w:pStyle w:val="ListBullet"/>
      </w:pPr>
      <w:r>
        <w:t>Highest cost weight;</w:t>
      </w:r>
    </w:p>
    <w:p w14:paraId="5970D5BA" w14:textId="77777777" w:rsidR="005D7320" w:rsidRDefault="005D7320" w:rsidP="004F7ECE">
      <w:pPr>
        <w:pStyle w:val="ListBullet"/>
      </w:pPr>
      <w:r>
        <w:t>Highest number of population-adjusted separations;</w:t>
      </w:r>
    </w:p>
    <w:p w14:paraId="58C4184F" w14:textId="77777777" w:rsidR="005D7320" w:rsidRDefault="005D7320" w:rsidP="004F7ECE">
      <w:pPr>
        <w:pStyle w:val="ListBullet"/>
      </w:pPr>
      <w:r>
        <w:t>Highest cost weighted separations; and</w:t>
      </w:r>
    </w:p>
    <w:p w14:paraId="75E5836F" w14:textId="0F739A03" w:rsidR="005D7320" w:rsidRDefault="005D7320" w:rsidP="004F7ECE">
      <w:pPr>
        <w:pStyle w:val="ListBullet"/>
      </w:pPr>
      <w:r>
        <w:t xml:space="preserve">Highest </w:t>
      </w:r>
      <w:r w:rsidR="00D13CD5">
        <w:t xml:space="preserve">ALOS </w:t>
      </w:r>
      <w:r>
        <w:t xml:space="preserve">including minimum and maximum range. </w:t>
      </w:r>
    </w:p>
    <w:p w14:paraId="2717331F" w14:textId="45F1A9D9" w:rsidR="00EE4BB9" w:rsidRDefault="005D7320" w:rsidP="00A53818">
      <w:r>
        <w:t xml:space="preserve">An additional analysis of the cost buckets (critical care, </w:t>
      </w:r>
      <w:r w:rsidR="00135776">
        <w:t>OR</w:t>
      </w:r>
      <w:r>
        <w:t xml:space="preserve">/SPS, prostheses and miscellaneous) is undertaken showing the </w:t>
      </w:r>
      <w:r w:rsidR="004F7ECE">
        <w:t>T</w:t>
      </w:r>
      <w:r>
        <w:t>op 20 for each of these buckets.</w:t>
      </w:r>
    </w:p>
    <w:p w14:paraId="3F8664B4" w14:textId="4748531C" w:rsidR="00EE4BB9" w:rsidRPr="0004130B" w:rsidRDefault="006212A3" w:rsidP="00A53818">
      <w:pPr>
        <w:pStyle w:val="Disclaimer"/>
      </w:pPr>
      <w:r>
        <w:t>Please note:</w:t>
      </w:r>
      <w:r w:rsidR="00EE4BB9" w:rsidRPr="00E52A05">
        <w:t xml:space="preserve"> </w:t>
      </w:r>
      <w:r w:rsidRPr="006212A3">
        <w:t xml:space="preserve">The Round 20 ranking analysis cannot be compared to the published Round 18 NHCDC report due to moving from AR-DRG version </w:t>
      </w:r>
      <w:proofErr w:type="gramStart"/>
      <w:r w:rsidRPr="006212A3">
        <w:t>6.0x</w:t>
      </w:r>
      <w:proofErr w:type="gramEnd"/>
      <w:r w:rsidRPr="006212A3">
        <w:t xml:space="preserve"> to version 8.0 which caused a loss of 10 per cent of the separations which could not be re-grouped.  Therefore the Round 18 data has been re-ranked based on the revised dataset. </w:t>
      </w:r>
      <w:r w:rsidR="0004130B" w:rsidRPr="0004130B">
        <w:t xml:space="preserve"> </w:t>
      </w:r>
    </w:p>
    <w:p w14:paraId="627A8852" w14:textId="56A603CF" w:rsidR="00E7439E" w:rsidRPr="007723B7" w:rsidRDefault="005D7320" w:rsidP="007723B7">
      <w:pPr>
        <w:pStyle w:val="Heading3"/>
      </w:pPr>
      <w:bookmarkStart w:id="168" w:name="_Ref433273435"/>
      <w:bookmarkStart w:id="169" w:name="_Toc496857578"/>
      <w:r w:rsidRPr="00E52A05">
        <w:t>Top 20 DR</w:t>
      </w:r>
      <w:r w:rsidRPr="007723B7">
        <w:t>Gs ranked by highest cost weight</w:t>
      </w:r>
      <w:bookmarkStart w:id="170" w:name="_Toc497200470"/>
      <w:bookmarkEnd w:id="168"/>
      <w:bookmarkEnd w:id="169"/>
      <w:bookmarkEnd w:id="170"/>
    </w:p>
    <w:p w14:paraId="1F196EF6" w14:textId="1AE3E072" w:rsidR="005D7320" w:rsidRPr="0012767B" w:rsidRDefault="005D7320" w:rsidP="005D7320">
      <w:pPr>
        <w:pStyle w:val="Intro"/>
      </w:pPr>
      <w:r w:rsidRPr="0012767B">
        <w:t>Key findings</w:t>
      </w:r>
    </w:p>
    <w:p w14:paraId="2F21B06F" w14:textId="7D899A80" w:rsidR="006E570D" w:rsidRPr="006E570D" w:rsidRDefault="005D7320" w:rsidP="00BF794D">
      <w:r w:rsidRPr="002D278B">
        <w:t xml:space="preserve">As shown in </w:t>
      </w:r>
      <w:r w:rsidR="006654BA">
        <w:t>Figure 1</w:t>
      </w:r>
      <w:r w:rsidRPr="002D278B">
        <w:t xml:space="preserve"> the highest cost weight DRG is A06A – Tracheostomy with ventilation &gt; 95 hours with catastrophi</w:t>
      </w:r>
      <w:r w:rsidR="00E53105">
        <w:t xml:space="preserve">c CC. As illustrated in </w:t>
      </w:r>
      <w:r w:rsidR="006654BA">
        <w:t>Table 5</w:t>
      </w:r>
      <w:r w:rsidR="00E53105">
        <w:t xml:space="preserve">, </w:t>
      </w:r>
      <w:r w:rsidRPr="002D278B">
        <w:t xml:space="preserve">this was ranked number </w:t>
      </w:r>
      <w:r w:rsidR="002A5193" w:rsidRPr="002D278B">
        <w:t>one</w:t>
      </w:r>
      <w:r w:rsidRPr="002D278B">
        <w:t xml:space="preserve"> </w:t>
      </w:r>
      <w:r w:rsidR="008C597F">
        <w:t xml:space="preserve">in Round 18 </w:t>
      </w:r>
      <w:r w:rsidRPr="002D278B">
        <w:t>and is anticipated to be ranked as the top one or two DRGs given it is a highly complex and resource intensive patient pathway.</w:t>
      </w:r>
      <w:r w:rsidR="00E52A05">
        <w:t xml:space="preserve">  This DRG has reduced by 9.25 cost weights between rounds.  This is due to a different sample </w:t>
      </w:r>
      <w:r w:rsidR="006E570D">
        <w:t xml:space="preserve">of hospital groups changing and the reduction in </w:t>
      </w:r>
      <w:proofErr w:type="spellStart"/>
      <w:r w:rsidR="006E570D">
        <w:t>ALoS</w:t>
      </w:r>
      <w:proofErr w:type="spellEnd"/>
      <w:r w:rsidR="006E570D">
        <w:t xml:space="preserve"> between rounds.  </w:t>
      </w:r>
    </w:p>
    <w:p w14:paraId="73E9798C" w14:textId="4BCCDB1A" w:rsidR="00E7439E" w:rsidRDefault="00AA16B4" w:rsidP="005D7320">
      <w:r>
        <w:t xml:space="preserve">The DRGs listed in </w:t>
      </w:r>
      <w:r w:rsidR="006654BA">
        <w:t>Table 5</w:t>
      </w:r>
      <w:r w:rsidR="005D7320" w:rsidRPr="00155707">
        <w:t xml:space="preserve"> are all predicted to be within this top 20 ranking given that 80</w:t>
      </w:r>
      <w:r w:rsidR="00A45C4C">
        <w:t xml:space="preserve"> per cent</w:t>
      </w:r>
      <w:r w:rsidR="005D7320" w:rsidRPr="00155707">
        <w:t xml:space="preserve"> (16 out of 20) are with catastrophic CCs, require ventilation, or have high cost prostheses.</w:t>
      </w:r>
      <w:r w:rsidR="006E570D">
        <w:t xml:space="preserve">  The only DRG that does not have a DRG description that including the wording complex is I09Z </w:t>
      </w:r>
      <w:r w:rsidR="006E570D" w:rsidRPr="006E570D">
        <w:t>Spinal Fusion for Deformity</w:t>
      </w:r>
      <w:r w:rsidR="006E570D">
        <w:t xml:space="preserve"> however this is procedure which has high theatre time and prostheses costs so is expected to be include</w:t>
      </w:r>
      <w:r w:rsidR="0053227C">
        <w:t>d</w:t>
      </w:r>
      <w:r w:rsidR="006E570D">
        <w:t xml:space="preserve"> in the top 20.</w:t>
      </w:r>
      <w:r w:rsidR="005D7320" w:rsidRPr="00155707">
        <w:t xml:space="preserve"> </w:t>
      </w:r>
    </w:p>
    <w:p w14:paraId="5EE8E845" w14:textId="0CFE4885" w:rsidR="00E7439E" w:rsidRDefault="00281672" w:rsidP="005D7320">
      <w:r>
        <w:t xml:space="preserve">As demonstrated in </w:t>
      </w:r>
      <w:r w:rsidR="006654BA">
        <w:t>Table 5</w:t>
      </w:r>
      <w:r>
        <w:t>,</w:t>
      </w:r>
      <w:r w:rsidR="005D7320" w:rsidRPr="00155707">
        <w:t xml:space="preserve"> these highly complex patients only repres</w:t>
      </w:r>
      <w:r w:rsidR="007E620E">
        <w:t>ent 0.3</w:t>
      </w:r>
      <w:r w:rsidR="00A45C4C">
        <w:t xml:space="preserve"> per cent</w:t>
      </w:r>
      <w:r w:rsidR="005D7320" w:rsidRPr="00155707">
        <w:t xml:space="preserve"> (</w:t>
      </w:r>
      <w:r w:rsidR="007E620E" w:rsidRPr="007E620E">
        <w:t>8,241</w:t>
      </w:r>
      <w:r w:rsidR="007E620E">
        <w:t xml:space="preserve"> </w:t>
      </w:r>
      <w:r w:rsidR="005D7320" w:rsidRPr="00155707">
        <w:t>population-adjusted separations) of the total population-adjusted separations (</w:t>
      </w:r>
      <w:r w:rsidR="00155707">
        <w:t>3.05m</w:t>
      </w:r>
      <w:r w:rsidR="005D7320" w:rsidRPr="00155707">
        <w:t xml:space="preserve">).  These DRGs represent </w:t>
      </w:r>
      <w:r w:rsidR="00155707">
        <w:t>4.3</w:t>
      </w:r>
      <w:r w:rsidR="00A45C4C">
        <w:t xml:space="preserve"> per cent</w:t>
      </w:r>
      <w:r w:rsidR="005D7320" w:rsidRPr="00155707">
        <w:t xml:space="preserve"> of the total </w:t>
      </w:r>
      <w:r w:rsidR="006E570D">
        <w:t>estimated cost of the total population</w:t>
      </w:r>
      <w:r w:rsidR="006E570D" w:rsidRPr="00155707">
        <w:t xml:space="preserve"> cost</w:t>
      </w:r>
      <w:r w:rsidR="005D7320" w:rsidRPr="00155707">
        <w:t>.  This indicates that these are high cost low volume DRGs.</w:t>
      </w:r>
    </w:p>
    <w:p w14:paraId="2BB2F134" w14:textId="297CA61D" w:rsidR="005D7320" w:rsidRPr="0012767B" w:rsidRDefault="005D7320" w:rsidP="005D7320">
      <w:pPr>
        <w:pStyle w:val="Intro"/>
      </w:pPr>
      <w:r w:rsidRPr="0012767B">
        <w:t>Consistencies between Round 18 and Round 20</w:t>
      </w:r>
    </w:p>
    <w:p w14:paraId="28237503" w14:textId="1E26CAAA" w:rsidR="00E7439E" w:rsidRDefault="00D2555B" w:rsidP="005D7320">
      <w:r>
        <w:t>8</w:t>
      </w:r>
      <w:r w:rsidR="0074173A" w:rsidRPr="0074173A">
        <w:t>0</w:t>
      </w:r>
      <w:r w:rsidR="00A45C4C">
        <w:t xml:space="preserve"> per cent</w:t>
      </w:r>
      <w:r w:rsidR="005D7320" w:rsidRPr="0074173A">
        <w:t xml:space="preserve"> (1</w:t>
      </w:r>
      <w:r>
        <w:t>6</w:t>
      </w:r>
      <w:r w:rsidR="005D7320" w:rsidRPr="0074173A">
        <w:t xml:space="preserve"> out of 20) of the top 20 DRGs for </w:t>
      </w:r>
      <w:r w:rsidR="0053227C">
        <w:t>Round 20</w:t>
      </w:r>
      <w:r w:rsidR="00D61C39">
        <w:t xml:space="preserve"> were included in </w:t>
      </w:r>
      <w:r w:rsidR="0053227C">
        <w:t xml:space="preserve">the </w:t>
      </w:r>
      <w:r w:rsidR="00D61C39">
        <w:t xml:space="preserve">Round </w:t>
      </w:r>
      <w:r w:rsidR="0053227C">
        <w:t>18</w:t>
      </w:r>
      <w:r w:rsidR="005D7320" w:rsidRPr="0074173A">
        <w:t xml:space="preserve"> results with the top three being ranked in the top </w:t>
      </w:r>
      <w:r w:rsidR="0074173A">
        <w:t>three</w:t>
      </w:r>
      <w:r w:rsidR="005D7320" w:rsidRPr="0074173A">
        <w:t xml:space="preserve"> </w:t>
      </w:r>
      <w:r w:rsidR="00D61C39">
        <w:t>in Round 18</w:t>
      </w:r>
      <w:r w:rsidR="005D7320" w:rsidRPr="0074173A">
        <w:t xml:space="preserve">. </w:t>
      </w:r>
      <w:r w:rsidR="0074173A">
        <w:t>With A06B</w:t>
      </w:r>
      <w:r w:rsidR="00F3621E">
        <w:t xml:space="preserve"> </w:t>
      </w:r>
      <w:r w:rsidR="00F3621E" w:rsidRPr="00F3621E">
        <w:t xml:space="preserve">Tracheostomy and/or Ventilation &gt;=96hours, Intermediate Complexity </w:t>
      </w:r>
      <w:r w:rsidR="00F3621E">
        <w:t xml:space="preserve">ranking number two, compared to </w:t>
      </w:r>
      <w:r w:rsidR="00D61C39">
        <w:t>Round 18,</w:t>
      </w:r>
      <w:r w:rsidR="00F3621E">
        <w:t xml:space="preserve"> ranking number three. And F01A </w:t>
      </w:r>
      <w:r w:rsidR="00F3621E" w:rsidRPr="00F3621E">
        <w:t>Implantation and Replacement of AICD, Total System, Major Complexity</w:t>
      </w:r>
      <w:r w:rsidR="00F3621E">
        <w:t xml:space="preserve"> ranking number three, compared to </w:t>
      </w:r>
      <w:r w:rsidR="00D61C39">
        <w:t>Round 18,</w:t>
      </w:r>
      <w:r w:rsidR="00F3621E">
        <w:t xml:space="preserve"> ranking number two.</w:t>
      </w:r>
    </w:p>
    <w:p w14:paraId="734CB4AD" w14:textId="6D5C344C" w:rsidR="00E7439E" w:rsidRDefault="005D7320" w:rsidP="005D7320">
      <w:r w:rsidRPr="0074173A">
        <w:t>Overall these top 20 DRGs are anticipated to be represented in the top 20 list given their clinical nature, high complexity and resource utilisation.</w:t>
      </w:r>
    </w:p>
    <w:p w14:paraId="7F0AC4ED" w14:textId="1F541797" w:rsidR="00BF794D" w:rsidRPr="0012767B" w:rsidRDefault="00BF794D" w:rsidP="00BF794D">
      <w:pPr>
        <w:pStyle w:val="Intro"/>
      </w:pPr>
      <w:r>
        <w:t>Differences</w:t>
      </w:r>
      <w:r w:rsidRPr="0012767B">
        <w:t xml:space="preserve"> between Round 18 and Round 20</w:t>
      </w:r>
    </w:p>
    <w:p w14:paraId="60BC40B7" w14:textId="703BAC75" w:rsidR="00E7439E" w:rsidRDefault="00F3621E" w:rsidP="005D7320">
      <w:r w:rsidRPr="00F3621E">
        <w:t>New to the top 20</w:t>
      </w:r>
      <w:r>
        <w:t xml:space="preserve"> is </w:t>
      </w:r>
      <w:r w:rsidRPr="00F3621E">
        <w:t xml:space="preserve">P03B Neonate, </w:t>
      </w:r>
      <w:proofErr w:type="spellStart"/>
      <w:r w:rsidRPr="00F3621E">
        <w:t>AdmWt</w:t>
      </w:r>
      <w:proofErr w:type="spellEnd"/>
      <w:r w:rsidRPr="00F3621E">
        <w:t xml:space="preserve"> 1000-1499g W Significant OR Proc/Vent&gt;=96hrs, Minor Complexity </w:t>
      </w:r>
      <w:r>
        <w:t>ranked 11</w:t>
      </w:r>
      <w:r w:rsidR="00AB5C8A">
        <w:t xml:space="preserve"> (</w:t>
      </w:r>
      <w:r w:rsidR="00FD56F8">
        <w:t xml:space="preserve">see </w:t>
      </w:r>
      <w:r w:rsidR="006654BA">
        <w:t>Table 5</w:t>
      </w:r>
      <w:r w:rsidR="00AB5C8A">
        <w:t xml:space="preserve"> and </w:t>
      </w:r>
      <w:r w:rsidR="006654BA">
        <w:t>Figure 1</w:t>
      </w:r>
      <w:r w:rsidR="00AB5C8A">
        <w:t>)</w:t>
      </w:r>
      <w:r>
        <w:t>, cost weight of 14.32 and 45 weighted separations, compared to Round 18 which was masked due to</w:t>
      </w:r>
      <w:r w:rsidR="00AB5C8A">
        <w:t xml:space="preserve"> having less than 5 separation</w:t>
      </w:r>
      <w:r w:rsidR="008C597F">
        <w:t>s</w:t>
      </w:r>
      <w:r w:rsidR="00AB5C8A">
        <w:t>.</w:t>
      </w:r>
    </w:p>
    <w:p w14:paraId="57090B0E" w14:textId="7C205E20" w:rsidR="00AB5C8A" w:rsidRDefault="00AB5C8A" w:rsidP="00AB5C8A">
      <w:r>
        <w:lastRenderedPageBreak/>
        <w:t xml:space="preserve">P64A </w:t>
      </w:r>
      <w:r w:rsidRPr="00AB5C8A">
        <w:t xml:space="preserve">Neonate, </w:t>
      </w:r>
      <w:proofErr w:type="spellStart"/>
      <w:r w:rsidRPr="00AB5C8A">
        <w:t>AdmWt</w:t>
      </w:r>
      <w:proofErr w:type="spellEnd"/>
      <w:r w:rsidRPr="00AB5C8A">
        <w:t xml:space="preserve"> 1250-1499g W/O Significant OR Proc/Vent&gt;=96hrs, Major Complexity </w:t>
      </w:r>
      <w:r>
        <w:t xml:space="preserve">has moved from being ranked 92 in Round 18 to a ranking of </w:t>
      </w:r>
      <w:r w:rsidR="00244C9E">
        <w:t>eight</w:t>
      </w:r>
      <w:r>
        <w:t xml:space="preserve"> (</w:t>
      </w:r>
      <w:r w:rsidR="00FD56F8">
        <w:t>see</w:t>
      </w:r>
      <w:r>
        <w:t xml:space="preserve"> </w:t>
      </w:r>
      <w:r w:rsidR="006654BA">
        <w:t>Figure 1</w:t>
      </w:r>
      <w:r>
        <w:t>).  The potential reasons for change are the change in sampling size and the increase in volume of weighted separations increasing from 22 to 28.</w:t>
      </w:r>
    </w:p>
    <w:p w14:paraId="2B994534" w14:textId="29164BF8" w:rsidR="00A53818" w:rsidRDefault="006654BA" w:rsidP="00A53818">
      <w:pPr>
        <w:pStyle w:val="Tableoffigures3"/>
      </w:pPr>
      <w:bookmarkStart w:id="171" w:name="_Toc497750033"/>
      <w:proofErr w:type="gramStart"/>
      <w:r>
        <w:t>Figure 1</w:t>
      </w:r>
      <w:r w:rsidR="004F7ECE">
        <w:t>.</w:t>
      </w:r>
      <w:proofErr w:type="gramEnd"/>
      <w:r w:rsidR="00A53818">
        <w:t xml:space="preserve"> Top 20 DRGs ranked by highest cost weight</w:t>
      </w:r>
      <w:bookmarkEnd w:id="171"/>
    </w:p>
    <w:p w14:paraId="3200A8D8" w14:textId="77777777" w:rsidR="00A53818" w:rsidRDefault="00A53818" w:rsidP="00A53818">
      <w:r>
        <w:rPr>
          <w:noProof/>
        </w:rPr>
        <w:drawing>
          <wp:inline distT="0" distB="0" distL="0" distR="0" wp14:anchorId="44C42681" wp14:editId="00FC171D">
            <wp:extent cx="5998210" cy="3048000"/>
            <wp:effectExtent l="0" t="0" r="21590" b="19050"/>
            <wp:docPr id="2" name="Chart 2" descr="This figure shows the 20 diagnosis related groups that have the highest cost weight in Round 20 with associated Round 18 valu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E5A2ED9" w14:textId="77777777" w:rsidR="00A53818" w:rsidRDefault="00A53818" w:rsidP="00A53818">
      <w:r w:rsidRPr="00231641">
        <w:rPr>
          <w:b/>
        </w:rPr>
        <w:t>Note:</w:t>
      </w:r>
      <w:r w:rsidRPr="00231641">
        <w:t xml:space="preserve"> when a Round 18 bar is missing from the chart, this is because that DRG was masked in Round 18 due to having less than 5 separations or having less than 3 hospitals with that DRG.</w:t>
      </w:r>
    </w:p>
    <w:p w14:paraId="45D9A678" w14:textId="77777777" w:rsidR="00A53818" w:rsidRDefault="00A53818" w:rsidP="00AB5C8A">
      <w:pPr>
        <w:sectPr w:rsidR="00A53818" w:rsidSect="00A22971">
          <w:footerReference w:type="default" r:id="rId17"/>
          <w:pgSz w:w="11907" w:h="16840" w:code="9"/>
          <w:pgMar w:top="2041" w:right="1440" w:bottom="1021" w:left="1021" w:header="680" w:footer="510" w:gutter="0"/>
          <w:pgNumType w:start="1"/>
          <w:cols w:space="708"/>
          <w:docGrid w:linePitch="360"/>
        </w:sectPr>
      </w:pPr>
    </w:p>
    <w:p w14:paraId="2550806E" w14:textId="00C7DEE0" w:rsidR="005D7320" w:rsidRDefault="006654BA" w:rsidP="006F21D0">
      <w:pPr>
        <w:pStyle w:val="TableHeadings3"/>
      </w:pPr>
      <w:bookmarkStart w:id="172" w:name="_Toc497488031"/>
      <w:bookmarkStart w:id="173" w:name="_Toc497750019"/>
      <w:proofErr w:type="gramStart"/>
      <w:r>
        <w:lastRenderedPageBreak/>
        <w:t>Table 5</w:t>
      </w:r>
      <w:r w:rsidR="004F7ECE">
        <w:t>.</w:t>
      </w:r>
      <w:proofErr w:type="gramEnd"/>
      <w:r w:rsidR="005D7320">
        <w:t xml:space="preserve"> Top 20 DRG ranked by highest cost weight</w:t>
      </w:r>
      <w:bookmarkEnd w:id="172"/>
      <w:bookmarkEnd w:id="173"/>
    </w:p>
    <w:tbl>
      <w:tblPr>
        <w:tblW w:w="15177" w:type="dxa"/>
        <w:tblLayout w:type="fixed"/>
        <w:tblLook w:val="04A0" w:firstRow="1" w:lastRow="0" w:firstColumn="1" w:lastColumn="0" w:noHBand="0" w:noVBand="1"/>
      </w:tblPr>
      <w:tblGrid>
        <w:gridCol w:w="675"/>
        <w:gridCol w:w="709"/>
        <w:gridCol w:w="709"/>
        <w:gridCol w:w="4961"/>
        <w:gridCol w:w="567"/>
        <w:gridCol w:w="851"/>
        <w:gridCol w:w="954"/>
        <w:gridCol w:w="839"/>
        <w:gridCol w:w="918"/>
        <w:gridCol w:w="597"/>
        <w:gridCol w:w="575"/>
        <w:gridCol w:w="575"/>
        <w:gridCol w:w="693"/>
        <w:gridCol w:w="693"/>
        <w:gridCol w:w="861"/>
      </w:tblGrid>
      <w:tr w:rsidR="00155707" w:rsidRPr="006212A3" w14:paraId="413DAE4E" w14:textId="77777777" w:rsidTr="00B55B42">
        <w:trPr>
          <w:trHeight w:val="161"/>
        </w:trPr>
        <w:tc>
          <w:tcPr>
            <w:tcW w:w="675" w:type="dxa"/>
            <w:vMerge w:val="restart"/>
            <w:tcBorders>
              <w:top w:val="single" w:sz="4" w:space="0" w:color="auto"/>
              <w:left w:val="nil"/>
              <w:bottom w:val="single" w:sz="4" w:space="0" w:color="000000"/>
              <w:right w:val="nil"/>
            </w:tcBorders>
            <w:shd w:val="clear" w:color="auto" w:fill="auto"/>
            <w:hideMark/>
          </w:tcPr>
          <w:p w14:paraId="2F64347B" w14:textId="4EECB96C" w:rsidR="002D278B" w:rsidRPr="006212A3" w:rsidRDefault="002D278B" w:rsidP="00B55B42">
            <w:pPr>
              <w:spacing w:after="0"/>
              <w:jc w:val="center"/>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Top 20 Round 18</w:t>
            </w:r>
          </w:p>
        </w:tc>
        <w:tc>
          <w:tcPr>
            <w:tcW w:w="709" w:type="dxa"/>
            <w:vMerge w:val="restart"/>
            <w:tcBorders>
              <w:top w:val="single" w:sz="4" w:space="0" w:color="auto"/>
              <w:left w:val="nil"/>
              <w:bottom w:val="single" w:sz="4" w:space="0" w:color="000000"/>
              <w:right w:val="nil"/>
            </w:tcBorders>
            <w:shd w:val="clear" w:color="auto" w:fill="auto"/>
            <w:hideMark/>
          </w:tcPr>
          <w:p w14:paraId="323E1B5D" w14:textId="77777777" w:rsidR="002D278B" w:rsidRPr="006212A3" w:rsidRDefault="002D278B" w:rsidP="00B55B42">
            <w:pPr>
              <w:spacing w:after="0"/>
              <w:jc w:val="center"/>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Rank Round 20</w:t>
            </w:r>
          </w:p>
        </w:tc>
        <w:tc>
          <w:tcPr>
            <w:tcW w:w="709" w:type="dxa"/>
            <w:vMerge w:val="restart"/>
            <w:tcBorders>
              <w:top w:val="single" w:sz="4" w:space="0" w:color="auto"/>
              <w:left w:val="nil"/>
              <w:bottom w:val="single" w:sz="4" w:space="0" w:color="000000"/>
              <w:right w:val="nil"/>
            </w:tcBorders>
            <w:shd w:val="clear" w:color="auto" w:fill="auto"/>
            <w:hideMark/>
          </w:tcPr>
          <w:p w14:paraId="13AC9FF8" w14:textId="4BDACB59" w:rsidR="002D278B" w:rsidRPr="006212A3" w:rsidRDefault="002D278B" w:rsidP="00B55B42">
            <w:pPr>
              <w:spacing w:after="0"/>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DRG</w:t>
            </w:r>
          </w:p>
        </w:tc>
        <w:tc>
          <w:tcPr>
            <w:tcW w:w="4961" w:type="dxa"/>
            <w:vMerge w:val="restart"/>
            <w:tcBorders>
              <w:top w:val="single" w:sz="4" w:space="0" w:color="auto"/>
              <w:left w:val="nil"/>
              <w:bottom w:val="single" w:sz="4" w:space="0" w:color="000000"/>
              <w:right w:val="nil"/>
            </w:tcBorders>
            <w:shd w:val="clear" w:color="auto" w:fill="auto"/>
            <w:noWrap/>
            <w:hideMark/>
          </w:tcPr>
          <w:p w14:paraId="6081B71F" w14:textId="054F3CC3" w:rsidR="002D278B" w:rsidRPr="006212A3" w:rsidRDefault="002D278B" w:rsidP="00B55B42">
            <w:pPr>
              <w:spacing w:after="0"/>
              <w:jc w:val="center"/>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DRG Description</w:t>
            </w:r>
          </w:p>
        </w:tc>
        <w:tc>
          <w:tcPr>
            <w:tcW w:w="567" w:type="dxa"/>
            <w:vMerge w:val="restart"/>
            <w:tcBorders>
              <w:top w:val="single" w:sz="4" w:space="0" w:color="auto"/>
              <w:left w:val="nil"/>
              <w:bottom w:val="single" w:sz="4" w:space="0" w:color="000000"/>
              <w:right w:val="nil"/>
            </w:tcBorders>
            <w:shd w:val="clear" w:color="auto" w:fill="auto"/>
            <w:hideMark/>
          </w:tcPr>
          <w:p w14:paraId="6B5B0BC8" w14:textId="77777777" w:rsidR="002D278B" w:rsidRPr="006212A3" w:rsidRDefault="002D278B" w:rsidP="00B55B42">
            <w:pPr>
              <w:spacing w:after="0"/>
              <w:jc w:val="center"/>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Cost weight</w:t>
            </w:r>
            <w:r w:rsidRPr="006212A3">
              <w:rPr>
                <w:rFonts w:asciiTheme="minorHAnsi" w:hAnsiTheme="minorHAnsi" w:cstheme="minorHAnsi"/>
                <w:b/>
                <w:bCs/>
                <w:color w:val="000000"/>
                <w:sz w:val="14"/>
                <w:szCs w:val="14"/>
                <w:lang w:val="en-US" w:eastAsia="en-US"/>
              </w:rPr>
              <w:br/>
              <w:t>(a)</w:t>
            </w:r>
          </w:p>
        </w:tc>
        <w:tc>
          <w:tcPr>
            <w:tcW w:w="851" w:type="dxa"/>
            <w:vMerge w:val="restart"/>
            <w:tcBorders>
              <w:top w:val="single" w:sz="4" w:space="0" w:color="auto"/>
              <w:left w:val="nil"/>
              <w:bottom w:val="single" w:sz="4" w:space="0" w:color="000000"/>
              <w:right w:val="nil"/>
            </w:tcBorders>
            <w:shd w:val="clear" w:color="auto" w:fill="auto"/>
            <w:hideMark/>
          </w:tcPr>
          <w:p w14:paraId="1EDFEA99" w14:textId="77777777" w:rsidR="002D278B" w:rsidRPr="006212A3" w:rsidRDefault="002D278B" w:rsidP="00B55B42">
            <w:pPr>
              <w:spacing w:after="0"/>
              <w:jc w:val="center"/>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 xml:space="preserve">No. of weighted </w:t>
            </w:r>
            <w:proofErr w:type="spellStart"/>
            <w:r w:rsidRPr="006212A3">
              <w:rPr>
                <w:rFonts w:asciiTheme="minorHAnsi" w:hAnsiTheme="minorHAnsi" w:cstheme="minorHAnsi"/>
                <w:b/>
                <w:bCs/>
                <w:color w:val="000000"/>
                <w:sz w:val="14"/>
                <w:szCs w:val="14"/>
                <w:lang w:val="en-US" w:eastAsia="en-US"/>
              </w:rPr>
              <w:t>seps</w:t>
            </w:r>
            <w:proofErr w:type="spellEnd"/>
            <w:r w:rsidRPr="006212A3">
              <w:rPr>
                <w:rFonts w:asciiTheme="minorHAnsi" w:hAnsiTheme="minorHAnsi" w:cstheme="minorHAnsi"/>
                <w:b/>
                <w:bCs/>
                <w:color w:val="000000"/>
                <w:sz w:val="14"/>
                <w:szCs w:val="14"/>
                <w:lang w:val="en-US" w:eastAsia="en-US"/>
              </w:rPr>
              <w:br/>
              <w:t>(b)</w:t>
            </w:r>
          </w:p>
        </w:tc>
        <w:tc>
          <w:tcPr>
            <w:tcW w:w="954" w:type="dxa"/>
            <w:vMerge w:val="restart"/>
            <w:tcBorders>
              <w:top w:val="single" w:sz="4" w:space="0" w:color="auto"/>
              <w:left w:val="nil"/>
              <w:bottom w:val="single" w:sz="4" w:space="0" w:color="000000"/>
              <w:right w:val="nil"/>
            </w:tcBorders>
            <w:shd w:val="clear" w:color="auto" w:fill="auto"/>
            <w:hideMark/>
          </w:tcPr>
          <w:p w14:paraId="0F37BBA3" w14:textId="77777777" w:rsidR="002D278B" w:rsidRPr="006212A3" w:rsidRDefault="002D278B" w:rsidP="00B55B42">
            <w:pPr>
              <w:spacing w:after="0"/>
              <w:jc w:val="center"/>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 xml:space="preserve">Cost weighted </w:t>
            </w:r>
            <w:proofErr w:type="spellStart"/>
            <w:r w:rsidRPr="006212A3">
              <w:rPr>
                <w:rFonts w:asciiTheme="minorHAnsi" w:hAnsiTheme="minorHAnsi" w:cstheme="minorHAnsi"/>
                <w:b/>
                <w:bCs/>
                <w:color w:val="000000"/>
                <w:sz w:val="14"/>
                <w:szCs w:val="14"/>
                <w:lang w:val="en-US" w:eastAsia="en-US"/>
              </w:rPr>
              <w:t>seps</w:t>
            </w:r>
            <w:proofErr w:type="spellEnd"/>
            <w:r w:rsidRPr="006212A3">
              <w:rPr>
                <w:rFonts w:asciiTheme="minorHAnsi" w:hAnsiTheme="minorHAnsi" w:cstheme="minorHAnsi"/>
                <w:b/>
                <w:bCs/>
                <w:color w:val="000000"/>
                <w:sz w:val="14"/>
                <w:szCs w:val="14"/>
                <w:lang w:val="en-US" w:eastAsia="en-US"/>
              </w:rPr>
              <w:br/>
              <w:t>(c)=(a)x(b)</w:t>
            </w:r>
          </w:p>
        </w:tc>
        <w:tc>
          <w:tcPr>
            <w:tcW w:w="839" w:type="dxa"/>
            <w:vMerge w:val="restart"/>
            <w:tcBorders>
              <w:top w:val="single" w:sz="4" w:space="0" w:color="auto"/>
              <w:left w:val="nil"/>
              <w:bottom w:val="single" w:sz="4" w:space="0" w:color="000000"/>
              <w:right w:val="nil"/>
            </w:tcBorders>
            <w:shd w:val="clear" w:color="auto" w:fill="auto"/>
            <w:hideMark/>
          </w:tcPr>
          <w:p w14:paraId="68261DB3" w14:textId="77777777" w:rsidR="002D278B" w:rsidRPr="006212A3" w:rsidRDefault="002D278B" w:rsidP="00B55B42">
            <w:pPr>
              <w:spacing w:after="0"/>
              <w:jc w:val="center"/>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Number of days</w:t>
            </w:r>
            <w:r w:rsidRPr="006212A3">
              <w:rPr>
                <w:rFonts w:asciiTheme="minorHAnsi" w:hAnsiTheme="minorHAnsi" w:cstheme="minorHAnsi"/>
                <w:b/>
                <w:bCs/>
                <w:color w:val="000000"/>
                <w:sz w:val="14"/>
                <w:szCs w:val="14"/>
                <w:lang w:val="en-US" w:eastAsia="en-US"/>
              </w:rPr>
              <w:br/>
              <w:t>(d)</w:t>
            </w:r>
          </w:p>
        </w:tc>
        <w:tc>
          <w:tcPr>
            <w:tcW w:w="918" w:type="dxa"/>
            <w:vMerge w:val="restart"/>
            <w:tcBorders>
              <w:top w:val="single" w:sz="4" w:space="0" w:color="auto"/>
              <w:left w:val="nil"/>
              <w:bottom w:val="single" w:sz="4" w:space="0" w:color="000000"/>
              <w:right w:val="nil"/>
            </w:tcBorders>
            <w:shd w:val="clear" w:color="auto" w:fill="auto"/>
            <w:hideMark/>
          </w:tcPr>
          <w:p w14:paraId="194E52CB" w14:textId="77777777" w:rsidR="002D278B" w:rsidRPr="006212A3" w:rsidRDefault="002D278B" w:rsidP="00B55B42">
            <w:pPr>
              <w:spacing w:after="0"/>
              <w:jc w:val="center"/>
              <w:rPr>
                <w:rFonts w:asciiTheme="minorHAnsi" w:hAnsiTheme="minorHAnsi" w:cstheme="minorHAnsi"/>
                <w:b/>
                <w:bCs/>
                <w:color w:val="000000"/>
                <w:sz w:val="14"/>
                <w:szCs w:val="14"/>
                <w:lang w:val="en-US" w:eastAsia="en-US"/>
              </w:rPr>
            </w:pPr>
            <w:proofErr w:type="spellStart"/>
            <w:r w:rsidRPr="006212A3">
              <w:rPr>
                <w:rFonts w:asciiTheme="minorHAnsi" w:hAnsiTheme="minorHAnsi" w:cstheme="minorHAnsi"/>
                <w:b/>
                <w:bCs/>
                <w:color w:val="000000"/>
                <w:sz w:val="14"/>
                <w:szCs w:val="14"/>
                <w:lang w:val="en-US" w:eastAsia="en-US"/>
              </w:rPr>
              <w:t>ALoS</w:t>
            </w:r>
            <w:proofErr w:type="spellEnd"/>
            <w:r w:rsidRPr="006212A3">
              <w:rPr>
                <w:rFonts w:asciiTheme="minorHAnsi" w:hAnsiTheme="minorHAnsi" w:cstheme="minorHAnsi"/>
                <w:b/>
                <w:bCs/>
                <w:color w:val="000000"/>
                <w:sz w:val="14"/>
                <w:szCs w:val="14"/>
                <w:lang w:val="en-US" w:eastAsia="en-US"/>
              </w:rPr>
              <w:t xml:space="preserve"> (days)</w:t>
            </w:r>
            <w:r w:rsidRPr="006212A3">
              <w:rPr>
                <w:rFonts w:asciiTheme="minorHAnsi" w:hAnsiTheme="minorHAnsi" w:cstheme="minorHAnsi"/>
                <w:b/>
                <w:bCs/>
                <w:color w:val="000000"/>
                <w:sz w:val="14"/>
                <w:szCs w:val="14"/>
                <w:lang w:val="en-US" w:eastAsia="en-US"/>
              </w:rPr>
              <w:br/>
              <w:t>(e)=(d)/(b)</w:t>
            </w:r>
          </w:p>
        </w:tc>
        <w:tc>
          <w:tcPr>
            <w:tcW w:w="597" w:type="dxa"/>
            <w:vMerge w:val="restart"/>
            <w:tcBorders>
              <w:top w:val="single" w:sz="4" w:space="0" w:color="auto"/>
              <w:left w:val="nil"/>
              <w:bottom w:val="single" w:sz="4" w:space="0" w:color="000000"/>
              <w:right w:val="nil"/>
            </w:tcBorders>
            <w:shd w:val="clear" w:color="auto" w:fill="auto"/>
            <w:hideMark/>
          </w:tcPr>
          <w:p w14:paraId="6CCAE566" w14:textId="77777777" w:rsidR="002D278B" w:rsidRPr="006212A3" w:rsidRDefault="002D278B" w:rsidP="00B55B42">
            <w:pPr>
              <w:spacing w:after="0"/>
              <w:jc w:val="center"/>
              <w:rPr>
                <w:rFonts w:asciiTheme="minorHAnsi" w:hAnsiTheme="minorHAnsi" w:cstheme="minorHAnsi"/>
                <w:b/>
                <w:bCs/>
                <w:color w:val="000000"/>
                <w:sz w:val="14"/>
                <w:szCs w:val="14"/>
                <w:lang w:val="en-US" w:eastAsia="en-US"/>
              </w:rPr>
            </w:pPr>
            <w:proofErr w:type="spellStart"/>
            <w:r w:rsidRPr="006212A3">
              <w:rPr>
                <w:rFonts w:asciiTheme="minorHAnsi" w:hAnsiTheme="minorHAnsi" w:cstheme="minorHAnsi"/>
                <w:b/>
                <w:bCs/>
                <w:color w:val="000000"/>
                <w:sz w:val="14"/>
                <w:szCs w:val="14"/>
                <w:lang w:val="en-US" w:eastAsia="en-US"/>
              </w:rPr>
              <w:t>Std</w:t>
            </w:r>
            <w:proofErr w:type="spellEnd"/>
            <w:r w:rsidRPr="006212A3">
              <w:rPr>
                <w:rFonts w:asciiTheme="minorHAnsi" w:hAnsiTheme="minorHAnsi" w:cstheme="minorHAnsi"/>
                <w:b/>
                <w:bCs/>
                <w:color w:val="000000"/>
                <w:sz w:val="14"/>
                <w:szCs w:val="14"/>
                <w:lang w:val="en-US" w:eastAsia="en-US"/>
              </w:rPr>
              <w:t xml:space="preserve"> error</w:t>
            </w:r>
          </w:p>
        </w:tc>
        <w:tc>
          <w:tcPr>
            <w:tcW w:w="575" w:type="dxa"/>
            <w:vMerge w:val="restart"/>
            <w:tcBorders>
              <w:top w:val="single" w:sz="4" w:space="0" w:color="auto"/>
              <w:left w:val="nil"/>
              <w:bottom w:val="single" w:sz="4" w:space="0" w:color="000000"/>
              <w:right w:val="nil"/>
            </w:tcBorders>
            <w:shd w:val="clear" w:color="auto" w:fill="auto"/>
            <w:hideMark/>
          </w:tcPr>
          <w:p w14:paraId="3ECF67FA" w14:textId="77777777" w:rsidR="002D278B" w:rsidRPr="006212A3" w:rsidRDefault="002D278B" w:rsidP="00B55B42">
            <w:pPr>
              <w:spacing w:after="0"/>
              <w:jc w:val="center"/>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 xml:space="preserve">% of total </w:t>
            </w:r>
            <w:proofErr w:type="spellStart"/>
            <w:r w:rsidRPr="006212A3">
              <w:rPr>
                <w:rFonts w:asciiTheme="minorHAnsi" w:hAnsiTheme="minorHAnsi" w:cstheme="minorHAnsi"/>
                <w:b/>
                <w:bCs/>
                <w:color w:val="000000"/>
                <w:sz w:val="14"/>
                <w:szCs w:val="14"/>
                <w:lang w:val="en-US" w:eastAsia="en-US"/>
              </w:rPr>
              <w:t>seps</w:t>
            </w:r>
            <w:proofErr w:type="spellEnd"/>
          </w:p>
        </w:tc>
        <w:tc>
          <w:tcPr>
            <w:tcW w:w="575" w:type="dxa"/>
            <w:vMerge w:val="restart"/>
            <w:tcBorders>
              <w:top w:val="single" w:sz="4" w:space="0" w:color="auto"/>
              <w:left w:val="nil"/>
              <w:bottom w:val="single" w:sz="4" w:space="0" w:color="000000"/>
              <w:right w:val="nil"/>
            </w:tcBorders>
            <w:shd w:val="clear" w:color="auto" w:fill="auto"/>
            <w:hideMark/>
          </w:tcPr>
          <w:p w14:paraId="35D4A748" w14:textId="77777777" w:rsidR="002D278B" w:rsidRPr="006212A3" w:rsidRDefault="002D278B" w:rsidP="00B55B42">
            <w:pPr>
              <w:spacing w:after="0"/>
              <w:jc w:val="center"/>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 xml:space="preserve">% of CW </w:t>
            </w:r>
            <w:proofErr w:type="spellStart"/>
            <w:r w:rsidRPr="006212A3">
              <w:rPr>
                <w:rFonts w:asciiTheme="minorHAnsi" w:hAnsiTheme="minorHAnsi" w:cstheme="minorHAnsi"/>
                <w:b/>
                <w:bCs/>
                <w:color w:val="000000"/>
                <w:sz w:val="14"/>
                <w:szCs w:val="14"/>
                <w:lang w:val="en-US" w:eastAsia="en-US"/>
              </w:rPr>
              <w:t>seps</w:t>
            </w:r>
            <w:proofErr w:type="spellEnd"/>
          </w:p>
        </w:tc>
        <w:tc>
          <w:tcPr>
            <w:tcW w:w="693" w:type="dxa"/>
            <w:vMerge w:val="restart"/>
            <w:tcBorders>
              <w:top w:val="single" w:sz="4" w:space="0" w:color="auto"/>
              <w:left w:val="nil"/>
              <w:bottom w:val="single" w:sz="4" w:space="0" w:color="000000"/>
              <w:right w:val="nil"/>
            </w:tcBorders>
            <w:shd w:val="clear" w:color="auto" w:fill="auto"/>
            <w:hideMark/>
          </w:tcPr>
          <w:p w14:paraId="3A22373E" w14:textId="77777777" w:rsidR="002D278B" w:rsidRPr="006212A3" w:rsidRDefault="002D278B" w:rsidP="00B55B42">
            <w:pPr>
              <w:spacing w:after="0"/>
              <w:jc w:val="center"/>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Round 18 cost weight</w:t>
            </w:r>
          </w:p>
        </w:tc>
        <w:tc>
          <w:tcPr>
            <w:tcW w:w="693" w:type="dxa"/>
            <w:vMerge w:val="restart"/>
            <w:tcBorders>
              <w:top w:val="single" w:sz="4" w:space="0" w:color="auto"/>
              <w:left w:val="nil"/>
              <w:bottom w:val="single" w:sz="4" w:space="0" w:color="000000"/>
              <w:right w:val="nil"/>
            </w:tcBorders>
            <w:shd w:val="clear" w:color="auto" w:fill="auto"/>
            <w:hideMark/>
          </w:tcPr>
          <w:p w14:paraId="4DAE274E" w14:textId="77777777" w:rsidR="002D278B" w:rsidRPr="006212A3" w:rsidRDefault="002D278B" w:rsidP="00B55B42">
            <w:pPr>
              <w:spacing w:after="0"/>
              <w:jc w:val="center"/>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Rank Round 18</w:t>
            </w:r>
          </w:p>
        </w:tc>
        <w:tc>
          <w:tcPr>
            <w:tcW w:w="861" w:type="dxa"/>
            <w:vMerge w:val="restart"/>
            <w:tcBorders>
              <w:top w:val="single" w:sz="4" w:space="0" w:color="auto"/>
              <w:left w:val="nil"/>
              <w:bottom w:val="single" w:sz="4" w:space="0" w:color="000000"/>
              <w:right w:val="nil"/>
            </w:tcBorders>
            <w:shd w:val="clear" w:color="auto" w:fill="auto"/>
            <w:hideMark/>
          </w:tcPr>
          <w:p w14:paraId="2D26B6C0" w14:textId="77777777" w:rsidR="002D278B" w:rsidRPr="006212A3" w:rsidRDefault="002D278B" w:rsidP="00B55B42">
            <w:pPr>
              <w:spacing w:after="0"/>
              <w:jc w:val="center"/>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 xml:space="preserve">Round 18 weighted </w:t>
            </w:r>
            <w:proofErr w:type="spellStart"/>
            <w:r w:rsidRPr="006212A3">
              <w:rPr>
                <w:rFonts w:asciiTheme="minorHAnsi" w:hAnsiTheme="minorHAnsi" w:cstheme="minorHAnsi"/>
                <w:b/>
                <w:bCs/>
                <w:color w:val="000000"/>
                <w:sz w:val="14"/>
                <w:szCs w:val="14"/>
                <w:lang w:val="en-US" w:eastAsia="en-US"/>
              </w:rPr>
              <w:t>seps</w:t>
            </w:r>
            <w:proofErr w:type="spellEnd"/>
          </w:p>
        </w:tc>
      </w:tr>
      <w:tr w:rsidR="00155707" w:rsidRPr="006212A3" w14:paraId="62D62816" w14:textId="77777777" w:rsidTr="00B55B42">
        <w:trPr>
          <w:trHeight w:val="295"/>
        </w:trPr>
        <w:tc>
          <w:tcPr>
            <w:tcW w:w="675" w:type="dxa"/>
            <w:vMerge/>
            <w:tcBorders>
              <w:top w:val="single" w:sz="4" w:space="0" w:color="auto"/>
              <w:left w:val="nil"/>
              <w:bottom w:val="single" w:sz="4" w:space="0" w:color="000000"/>
              <w:right w:val="nil"/>
            </w:tcBorders>
            <w:vAlign w:val="center"/>
            <w:hideMark/>
          </w:tcPr>
          <w:p w14:paraId="7654B5E8" w14:textId="77777777" w:rsidR="002D278B" w:rsidRPr="006212A3" w:rsidRDefault="002D278B" w:rsidP="002D278B">
            <w:pPr>
              <w:rPr>
                <w:rFonts w:asciiTheme="minorHAnsi" w:hAnsiTheme="minorHAnsi" w:cstheme="minorHAnsi"/>
                <w:b/>
                <w:bCs/>
                <w:color w:val="000000"/>
                <w:sz w:val="14"/>
                <w:szCs w:val="14"/>
                <w:lang w:val="en-US" w:eastAsia="en-US"/>
              </w:rPr>
            </w:pPr>
          </w:p>
        </w:tc>
        <w:tc>
          <w:tcPr>
            <w:tcW w:w="709" w:type="dxa"/>
            <w:vMerge/>
            <w:tcBorders>
              <w:top w:val="single" w:sz="4" w:space="0" w:color="auto"/>
              <w:left w:val="nil"/>
              <w:bottom w:val="single" w:sz="4" w:space="0" w:color="000000"/>
              <w:right w:val="nil"/>
            </w:tcBorders>
            <w:vAlign w:val="center"/>
            <w:hideMark/>
          </w:tcPr>
          <w:p w14:paraId="2AD381BD" w14:textId="77777777" w:rsidR="002D278B" w:rsidRPr="006212A3" w:rsidRDefault="002D278B" w:rsidP="002D278B">
            <w:pPr>
              <w:rPr>
                <w:rFonts w:asciiTheme="minorHAnsi" w:hAnsiTheme="minorHAnsi" w:cstheme="minorHAnsi"/>
                <w:b/>
                <w:bCs/>
                <w:color w:val="000000"/>
                <w:sz w:val="14"/>
                <w:szCs w:val="14"/>
                <w:lang w:val="en-US" w:eastAsia="en-US"/>
              </w:rPr>
            </w:pPr>
          </w:p>
        </w:tc>
        <w:tc>
          <w:tcPr>
            <w:tcW w:w="709" w:type="dxa"/>
            <w:vMerge/>
            <w:tcBorders>
              <w:top w:val="single" w:sz="4" w:space="0" w:color="auto"/>
              <w:left w:val="nil"/>
              <w:bottom w:val="single" w:sz="4" w:space="0" w:color="000000"/>
              <w:right w:val="nil"/>
            </w:tcBorders>
            <w:vAlign w:val="center"/>
            <w:hideMark/>
          </w:tcPr>
          <w:p w14:paraId="0F24FE43" w14:textId="77777777" w:rsidR="002D278B" w:rsidRPr="006212A3" w:rsidRDefault="002D278B" w:rsidP="002D278B">
            <w:pPr>
              <w:rPr>
                <w:rFonts w:asciiTheme="minorHAnsi" w:hAnsiTheme="minorHAnsi" w:cstheme="minorHAnsi"/>
                <w:b/>
                <w:bCs/>
                <w:color w:val="000000"/>
                <w:sz w:val="14"/>
                <w:szCs w:val="14"/>
                <w:lang w:val="en-US" w:eastAsia="en-US"/>
              </w:rPr>
            </w:pPr>
          </w:p>
        </w:tc>
        <w:tc>
          <w:tcPr>
            <w:tcW w:w="4961" w:type="dxa"/>
            <w:vMerge/>
            <w:tcBorders>
              <w:top w:val="single" w:sz="4" w:space="0" w:color="auto"/>
              <w:left w:val="nil"/>
              <w:bottom w:val="single" w:sz="4" w:space="0" w:color="000000"/>
              <w:right w:val="nil"/>
            </w:tcBorders>
            <w:vAlign w:val="center"/>
            <w:hideMark/>
          </w:tcPr>
          <w:p w14:paraId="193B1893" w14:textId="77777777" w:rsidR="002D278B" w:rsidRPr="006212A3" w:rsidRDefault="002D278B" w:rsidP="002D278B">
            <w:pPr>
              <w:rPr>
                <w:rFonts w:asciiTheme="minorHAnsi" w:hAnsiTheme="minorHAnsi" w:cstheme="minorHAnsi"/>
                <w:b/>
                <w:bCs/>
                <w:color w:val="000000"/>
                <w:sz w:val="14"/>
                <w:szCs w:val="14"/>
                <w:lang w:val="en-US" w:eastAsia="en-US"/>
              </w:rPr>
            </w:pPr>
          </w:p>
        </w:tc>
        <w:tc>
          <w:tcPr>
            <w:tcW w:w="567" w:type="dxa"/>
            <w:vMerge/>
            <w:tcBorders>
              <w:top w:val="single" w:sz="4" w:space="0" w:color="auto"/>
              <w:left w:val="nil"/>
              <w:bottom w:val="single" w:sz="4" w:space="0" w:color="000000"/>
              <w:right w:val="nil"/>
            </w:tcBorders>
            <w:shd w:val="clear" w:color="auto" w:fill="auto"/>
            <w:vAlign w:val="center"/>
            <w:hideMark/>
          </w:tcPr>
          <w:p w14:paraId="0B2A76C7" w14:textId="77777777" w:rsidR="002D278B" w:rsidRPr="006212A3" w:rsidRDefault="002D278B" w:rsidP="002D278B">
            <w:pPr>
              <w:rPr>
                <w:rFonts w:asciiTheme="minorHAnsi" w:hAnsiTheme="minorHAnsi" w:cstheme="minorHAnsi"/>
                <w:b/>
                <w:bCs/>
                <w:color w:val="000000"/>
                <w:sz w:val="14"/>
                <w:szCs w:val="14"/>
                <w:lang w:val="en-US" w:eastAsia="en-US"/>
              </w:rPr>
            </w:pPr>
          </w:p>
        </w:tc>
        <w:tc>
          <w:tcPr>
            <w:tcW w:w="851" w:type="dxa"/>
            <w:vMerge/>
            <w:tcBorders>
              <w:top w:val="single" w:sz="4" w:space="0" w:color="auto"/>
              <w:left w:val="nil"/>
              <w:bottom w:val="single" w:sz="4" w:space="0" w:color="000000"/>
              <w:right w:val="nil"/>
            </w:tcBorders>
            <w:vAlign w:val="center"/>
            <w:hideMark/>
          </w:tcPr>
          <w:p w14:paraId="771B6CAF" w14:textId="77777777" w:rsidR="002D278B" w:rsidRPr="006212A3" w:rsidRDefault="002D278B" w:rsidP="002D278B">
            <w:pPr>
              <w:rPr>
                <w:rFonts w:asciiTheme="minorHAnsi" w:hAnsiTheme="minorHAnsi" w:cstheme="minorHAnsi"/>
                <w:b/>
                <w:bCs/>
                <w:color w:val="000000"/>
                <w:sz w:val="14"/>
                <w:szCs w:val="14"/>
                <w:lang w:val="en-US" w:eastAsia="en-US"/>
              </w:rPr>
            </w:pPr>
          </w:p>
        </w:tc>
        <w:tc>
          <w:tcPr>
            <w:tcW w:w="954" w:type="dxa"/>
            <w:vMerge/>
            <w:tcBorders>
              <w:top w:val="single" w:sz="4" w:space="0" w:color="auto"/>
              <w:left w:val="nil"/>
              <w:bottom w:val="single" w:sz="4" w:space="0" w:color="000000"/>
              <w:right w:val="nil"/>
            </w:tcBorders>
            <w:vAlign w:val="center"/>
            <w:hideMark/>
          </w:tcPr>
          <w:p w14:paraId="72255ED9" w14:textId="77777777" w:rsidR="002D278B" w:rsidRPr="006212A3" w:rsidRDefault="002D278B" w:rsidP="002D278B">
            <w:pPr>
              <w:rPr>
                <w:rFonts w:asciiTheme="minorHAnsi" w:hAnsiTheme="minorHAnsi" w:cstheme="minorHAnsi"/>
                <w:b/>
                <w:bCs/>
                <w:color w:val="000000"/>
                <w:sz w:val="14"/>
                <w:szCs w:val="14"/>
                <w:lang w:val="en-US" w:eastAsia="en-US"/>
              </w:rPr>
            </w:pPr>
          </w:p>
        </w:tc>
        <w:tc>
          <w:tcPr>
            <w:tcW w:w="839" w:type="dxa"/>
            <w:vMerge/>
            <w:tcBorders>
              <w:top w:val="single" w:sz="4" w:space="0" w:color="auto"/>
              <w:left w:val="nil"/>
              <w:bottom w:val="single" w:sz="4" w:space="0" w:color="000000"/>
              <w:right w:val="nil"/>
            </w:tcBorders>
            <w:vAlign w:val="center"/>
            <w:hideMark/>
          </w:tcPr>
          <w:p w14:paraId="1EB48C9E" w14:textId="77777777" w:rsidR="002D278B" w:rsidRPr="006212A3" w:rsidRDefault="002D278B" w:rsidP="002D278B">
            <w:pPr>
              <w:rPr>
                <w:rFonts w:asciiTheme="minorHAnsi" w:hAnsiTheme="minorHAnsi" w:cstheme="minorHAnsi"/>
                <w:b/>
                <w:bCs/>
                <w:color w:val="000000"/>
                <w:sz w:val="14"/>
                <w:szCs w:val="14"/>
                <w:lang w:val="en-US" w:eastAsia="en-US"/>
              </w:rPr>
            </w:pPr>
          </w:p>
        </w:tc>
        <w:tc>
          <w:tcPr>
            <w:tcW w:w="918" w:type="dxa"/>
            <w:vMerge/>
            <w:tcBorders>
              <w:top w:val="single" w:sz="4" w:space="0" w:color="auto"/>
              <w:left w:val="nil"/>
              <w:bottom w:val="single" w:sz="4" w:space="0" w:color="000000"/>
              <w:right w:val="nil"/>
            </w:tcBorders>
            <w:vAlign w:val="center"/>
            <w:hideMark/>
          </w:tcPr>
          <w:p w14:paraId="0F833E87" w14:textId="77777777" w:rsidR="002D278B" w:rsidRPr="006212A3" w:rsidRDefault="002D278B" w:rsidP="002D278B">
            <w:pPr>
              <w:rPr>
                <w:rFonts w:asciiTheme="minorHAnsi" w:hAnsiTheme="minorHAnsi" w:cstheme="minorHAnsi"/>
                <w:b/>
                <w:bCs/>
                <w:color w:val="000000"/>
                <w:sz w:val="14"/>
                <w:szCs w:val="14"/>
                <w:lang w:val="en-US" w:eastAsia="en-US"/>
              </w:rPr>
            </w:pPr>
          </w:p>
        </w:tc>
        <w:tc>
          <w:tcPr>
            <w:tcW w:w="597" w:type="dxa"/>
            <w:vMerge/>
            <w:tcBorders>
              <w:top w:val="single" w:sz="4" w:space="0" w:color="auto"/>
              <w:left w:val="nil"/>
              <w:bottom w:val="single" w:sz="4" w:space="0" w:color="000000"/>
              <w:right w:val="nil"/>
            </w:tcBorders>
            <w:vAlign w:val="center"/>
            <w:hideMark/>
          </w:tcPr>
          <w:p w14:paraId="39026C34" w14:textId="77777777" w:rsidR="002D278B" w:rsidRPr="006212A3" w:rsidRDefault="002D278B" w:rsidP="002D278B">
            <w:pPr>
              <w:rPr>
                <w:rFonts w:asciiTheme="minorHAnsi" w:hAnsiTheme="minorHAnsi" w:cstheme="minorHAnsi"/>
                <w:b/>
                <w:bCs/>
                <w:color w:val="000000"/>
                <w:sz w:val="14"/>
                <w:szCs w:val="14"/>
                <w:lang w:val="en-US" w:eastAsia="en-US"/>
              </w:rPr>
            </w:pPr>
          </w:p>
        </w:tc>
        <w:tc>
          <w:tcPr>
            <w:tcW w:w="575" w:type="dxa"/>
            <w:vMerge/>
            <w:tcBorders>
              <w:top w:val="single" w:sz="4" w:space="0" w:color="auto"/>
              <w:left w:val="nil"/>
              <w:bottom w:val="single" w:sz="4" w:space="0" w:color="000000"/>
              <w:right w:val="nil"/>
            </w:tcBorders>
            <w:vAlign w:val="center"/>
            <w:hideMark/>
          </w:tcPr>
          <w:p w14:paraId="2CFDD258" w14:textId="77777777" w:rsidR="002D278B" w:rsidRPr="006212A3" w:rsidRDefault="002D278B" w:rsidP="002D278B">
            <w:pPr>
              <w:rPr>
                <w:rFonts w:asciiTheme="minorHAnsi" w:hAnsiTheme="minorHAnsi" w:cstheme="minorHAnsi"/>
                <w:b/>
                <w:bCs/>
                <w:color w:val="000000"/>
                <w:sz w:val="14"/>
                <w:szCs w:val="14"/>
                <w:lang w:val="en-US" w:eastAsia="en-US"/>
              </w:rPr>
            </w:pPr>
          </w:p>
        </w:tc>
        <w:tc>
          <w:tcPr>
            <w:tcW w:w="575" w:type="dxa"/>
            <w:vMerge/>
            <w:tcBorders>
              <w:top w:val="single" w:sz="4" w:space="0" w:color="auto"/>
              <w:left w:val="nil"/>
              <w:bottom w:val="single" w:sz="4" w:space="0" w:color="000000"/>
              <w:right w:val="nil"/>
            </w:tcBorders>
            <w:vAlign w:val="center"/>
            <w:hideMark/>
          </w:tcPr>
          <w:p w14:paraId="207B5070" w14:textId="77777777" w:rsidR="002D278B" w:rsidRPr="006212A3" w:rsidRDefault="002D278B" w:rsidP="002D278B">
            <w:pPr>
              <w:rPr>
                <w:rFonts w:asciiTheme="minorHAnsi" w:hAnsiTheme="minorHAnsi" w:cstheme="minorHAnsi"/>
                <w:b/>
                <w:bCs/>
                <w:color w:val="000000"/>
                <w:sz w:val="14"/>
                <w:szCs w:val="14"/>
                <w:lang w:val="en-US" w:eastAsia="en-US"/>
              </w:rPr>
            </w:pPr>
          </w:p>
        </w:tc>
        <w:tc>
          <w:tcPr>
            <w:tcW w:w="693" w:type="dxa"/>
            <w:vMerge/>
            <w:tcBorders>
              <w:top w:val="single" w:sz="4" w:space="0" w:color="auto"/>
              <w:left w:val="nil"/>
              <w:bottom w:val="single" w:sz="4" w:space="0" w:color="000000"/>
              <w:right w:val="nil"/>
            </w:tcBorders>
            <w:vAlign w:val="center"/>
            <w:hideMark/>
          </w:tcPr>
          <w:p w14:paraId="35C9A3B1" w14:textId="77777777" w:rsidR="002D278B" w:rsidRPr="006212A3" w:rsidRDefault="002D278B" w:rsidP="002D278B">
            <w:pPr>
              <w:rPr>
                <w:rFonts w:asciiTheme="minorHAnsi" w:hAnsiTheme="minorHAnsi" w:cstheme="minorHAnsi"/>
                <w:b/>
                <w:bCs/>
                <w:color w:val="000000"/>
                <w:sz w:val="14"/>
                <w:szCs w:val="14"/>
                <w:lang w:val="en-US" w:eastAsia="en-US"/>
              </w:rPr>
            </w:pPr>
          </w:p>
        </w:tc>
        <w:tc>
          <w:tcPr>
            <w:tcW w:w="693" w:type="dxa"/>
            <w:vMerge/>
            <w:tcBorders>
              <w:top w:val="single" w:sz="4" w:space="0" w:color="auto"/>
              <w:left w:val="nil"/>
              <w:bottom w:val="single" w:sz="4" w:space="0" w:color="000000"/>
              <w:right w:val="nil"/>
            </w:tcBorders>
            <w:vAlign w:val="center"/>
            <w:hideMark/>
          </w:tcPr>
          <w:p w14:paraId="13999053" w14:textId="77777777" w:rsidR="002D278B" w:rsidRPr="006212A3" w:rsidRDefault="002D278B" w:rsidP="002D278B">
            <w:pPr>
              <w:rPr>
                <w:rFonts w:asciiTheme="minorHAnsi" w:hAnsiTheme="minorHAnsi" w:cstheme="minorHAnsi"/>
                <w:b/>
                <w:bCs/>
                <w:color w:val="000000"/>
                <w:sz w:val="14"/>
                <w:szCs w:val="14"/>
                <w:lang w:val="en-US" w:eastAsia="en-US"/>
              </w:rPr>
            </w:pPr>
          </w:p>
        </w:tc>
        <w:tc>
          <w:tcPr>
            <w:tcW w:w="861" w:type="dxa"/>
            <w:vMerge/>
            <w:tcBorders>
              <w:top w:val="single" w:sz="4" w:space="0" w:color="auto"/>
              <w:left w:val="nil"/>
              <w:bottom w:val="single" w:sz="4" w:space="0" w:color="000000"/>
              <w:right w:val="nil"/>
            </w:tcBorders>
            <w:shd w:val="clear" w:color="auto" w:fill="auto"/>
            <w:vAlign w:val="center"/>
            <w:hideMark/>
          </w:tcPr>
          <w:p w14:paraId="05427D86" w14:textId="77777777" w:rsidR="002D278B" w:rsidRPr="006212A3" w:rsidRDefault="002D278B" w:rsidP="002D278B">
            <w:pPr>
              <w:rPr>
                <w:rFonts w:asciiTheme="minorHAnsi" w:hAnsiTheme="minorHAnsi" w:cstheme="minorHAnsi"/>
                <w:b/>
                <w:bCs/>
                <w:color w:val="000000"/>
                <w:sz w:val="14"/>
                <w:szCs w:val="14"/>
                <w:lang w:val="en-US" w:eastAsia="en-US"/>
              </w:rPr>
            </w:pPr>
          </w:p>
        </w:tc>
      </w:tr>
      <w:tr w:rsidR="00155707" w:rsidRPr="006212A3" w14:paraId="63739D6B" w14:textId="77777777" w:rsidTr="00B55B42">
        <w:trPr>
          <w:trHeight w:val="281"/>
        </w:trPr>
        <w:tc>
          <w:tcPr>
            <w:tcW w:w="675" w:type="dxa"/>
            <w:vMerge/>
            <w:tcBorders>
              <w:top w:val="single" w:sz="4" w:space="0" w:color="auto"/>
              <w:left w:val="nil"/>
              <w:bottom w:val="single" w:sz="4" w:space="0" w:color="000000"/>
              <w:right w:val="nil"/>
            </w:tcBorders>
            <w:vAlign w:val="center"/>
            <w:hideMark/>
          </w:tcPr>
          <w:p w14:paraId="4CCCCCDA" w14:textId="77777777" w:rsidR="002D278B" w:rsidRPr="006212A3" w:rsidRDefault="002D278B" w:rsidP="002D278B">
            <w:pPr>
              <w:rPr>
                <w:rFonts w:asciiTheme="minorHAnsi" w:hAnsiTheme="minorHAnsi" w:cstheme="minorHAnsi"/>
                <w:b/>
                <w:bCs/>
                <w:color w:val="000000"/>
                <w:sz w:val="14"/>
                <w:szCs w:val="14"/>
                <w:lang w:val="en-US" w:eastAsia="en-US"/>
              </w:rPr>
            </w:pPr>
          </w:p>
        </w:tc>
        <w:tc>
          <w:tcPr>
            <w:tcW w:w="709" w:type="dxa"/>
            <w:vMerge/>
            <w:tcBorders>
              <w:top w:val="single" w:sz="4" w:space="0" w:color="auto"/>
              <w:left w:val="nil"/>
              <w:bottom w:val="single" w:sz="4" w:space="0" w:color="000000"/>
              <w:right w:val="nil"/>
            </w:tcBorders>
            <w:vAlign w:val="center"/>
            <w:hideMark/>
          </w:tcPr>
          <w:p w14:paraId="67DBA082" w14:textId="77777777" w:rsidR="002D278B" w:rsidRPr="006212A3" w:rsidRDefault="002D278B" w:rsidP="002D278B">
            <w:pPr>
              <w:rPr>
                <w:rFonts w:asciiTheme="minorHAnsi" w:hAnsiTheme="minorHAnsi" w:cstheme="minorHAnsi"/>
                <w:b/>
                <w:bCs/>
                <w:color w:val="000000"/>
                <w:sz w:val="14"/>
                <w:szCs w:val="14"/>
                <w:lang w:val="en-US" w:eastAsia="en-US"/>
              </w:rPr>
            </w:pPr>
          </w:p>
        </w:tc>
        <w:tc>
          <w:tcPr>
            <w:tcW w:w="709" w:type="dxa"/>
            <w:vMerge/>
            <w:tcBorders>
              <w:top w:val="single" w:sz="4" w:space="0" w:color="auto"/>
              <w:left w:val="nil"/>
              <w:bottom w:val="single" w:sz="4" w:space="0" w:color="000000"/>
              <w:right w:val="nil"/>
            </w:tcBorders>
            <w:vAlign w:val="center"/>
            <w:hideMark/>
          </w:tcPr>
          <w:p w14:paraId="6FA988D8" w14:textId="77777777" w:rsidR="002D278B" w:rsidRPr="006212A3" w:rsidRDefault="002D278B" w:rsidP="002D278B">
            <w:pPr>
              <w:rPr>
                <w:rFonts w:asciiTheme="minorHAnsi" w:hAnsiTheme="minorHAnsi" w:cstheme="minorHAnsi"/>
                <w:b/>
                <w:bCs/>
                <w:color w:val="000000"/>
                <w:sz w:val="14"/>
                <w:szCs w:val="14"/>
                <w:lang w:val="en-US" w:eastAsia="en-US"/>
              </w:rPr>
            </w:pPr>
          </w:p>
        </w:tc>
        <w:tc>
          <w:tcPr>
            <w:tcW w:w="4961" w:type="dxa"/>
            <w:vMerge/>
            <w:tcBorders>
              <w:top w:val="single" w:sz="4" w:space="0" w:color="auto"/>
              <w:left w:val="nil"/>
              <w:bottom w:val="single" w:sz="4" w:space="0" w:color="000000"/>
              <w:right w:val="nil"/>
            </w:tcBorders>
            <w:vAlign w:val="center"/>
            <w:hideMark/>
          </w:tcPr>
          <w:p w14:paraId="55F3BCB4" w14:textId="77777777" w:rsidR="002D278B" w:rsidRPr="006212A3" w:rsidRDefault="002D278B" w:rsidP="002D278B">
            <w:pPr>
              <w:rPr>
                <w:rFonts w:asciiTheme="minorHAnsi" w:hAnsiTheme="minorHAnsi" w:cstheme="minorHAnsi"/>
                <w:b/>
                <w:bCs/>
                <w:color w:val="000000"/>
                <w:sz w:val="14"/>
                <w:szCs w:val="14"/>
                <w:lang w:val="en-US" w:eastAsia="en-US"/>
              </w:rPr>
            </w:pPr>
          </w:p>
        </w:tc>
        <w:tc>
          <w:tcPr>
            <w:tcW w:w="567" w:type="dxa"/>
            <w:vMerge/>
            <w:tcBorders>
              <w:top w:val="single" w:sz="4" w:space="0" w:color="auto"/>
              <w:left w:val="nil"/>
              <w:bottom w:val="single" w:sz="4" w:space="0" w:color="000000"/>
              <w:right w:val="nil"/>
            </w:tcBorders>
            <w:shd w:val="clear" w:color="auto" w:fill="auto"/>
            <w:vAlign w:val="center"/>
            <w:hideMark/>
          </w:tcPr>
          <w:p w14:paraId="029B3783" w14:textId="77777777" w:rsidR="002D278B" w:rsidRPr="006212A3" w:rsidRDefault="002D278B" w:rsidP="002D278B">
            <w:pPr>
              <w:rPr>
                <w:rFonts w:asciiTheme="minorHAnsi" w:hAnsiTheme="minorHAnsi" w:cstheme="minorHAnsi"/>
                <w:b/>
                <w:bCs/>
                <w:color w:val="000000"/>
                <w:sz w:val="14"/>
                <w:szCs w:val="14"/>
                <w:lang w:val="en-US" w:eastAsia="en-US"/>
              </w:rPr>
            </w:pPr>
          </w:p>
        </w:tc>
        <w:tc>
          <w:tcPr>
            <w:tcW w:w="851" w:type="dxa"/>
            <w:vMerge/>
            <w:tcBorders>
              <w:top w:val="single" w:sz="4" w:space="0" w:color="auto"/>
              <w:left w:val="nil"/>
              <w:bottom w:val="single" w:sz="4" w:space="0" w:color="000000"/>
              <w:right w:val="nil"/>
            </w:tcBorders>
            <w:vAlign w:val="center"/>
            <w:hideMark/>
          </w:tcPr>
          <w:p w14:paraId="17AD4235" w14:textId="77777777" w:rsidR="002D278B" w:rsidRPr="006212A3" w:rsidRDefault="002D278B" w:rsidP="002D278B">
            <w:pPr>
              <w:rPr>
                <w:rFonts w:asciiTheme="minorHAnsi" w:hAnsiTheme="minorHAnsi" w:cstheme="minorHAnsi"/>
                <w:b/>
                <w:bCs/>
                <w:color w:val="000000"/>
                <w:sz w:val="14"/>
                <w:szCs w:val="14"/>
                <w:lang w:val="en-US" w:eastAsia="en-US"/>
              </w:rPr>
            </w:pPr>
          </w:p>
        </w:tc>
        <w:tc>
          <w:tcPr>
            <w:tcW w:w="954" w:type="dxa"/>
            <w:vMerge/>
            <w:tcBorders>
              <w:top w:val="single" w:sz="4" w:space="0" w:color="auto"/>
              <w:left w:val="nil"/>
              <w:bottom w:val="single" w:sz="4" w:space="0" w:color="000000"/>
              <w:right w:val="nil"/>
            </w:tcBorders>
            <w:vAlign w:val="center"/>
            <w:hideMark/>
          </w:tcPr>
          <w:p w14:paraId="6CD1A5C6" w14:textId="77777777" w:rsidR="002D278B" w:rsidRPr="006212A3" w:rsidRDefault="002D278B" w:rsidP="002D278B">
            <w:pPr>
              <w:rPr>
                <w:rFonts w:asciiTheme="minorHAnsi" w:hAnsiTheme="minorHAnsi" w:cstheme="minorHAnsi"/>
                <w:b/>
                <w:bCs/>
                <w:color w:val="000000"/>
                <w:sz w:val="14"/>
                <w:szCs w:val="14"/>
                <w:lang w:val="en-US" w:eastAsia="en-US"/>
              </w:rPr>
            </w:pPr>
          </w:p>
        </w:tc>
        <w:tc>
          <w:tcPr>
            <w:tcW w:w="839" w:type="dxa"/>
            <w:vMerge/>
            <w:tcBorders>
              <w:top w:val="single" w:sz="4" w:space="0" w:color="auto"/>
              <w:left w:val="nil"/>
              <w:bottom w:val="single" w:sz="4" w:space="0" w:color="000000"/>
              <w:right w:val="nil"/>
            </w:tcBorders>
            <w:vAlign w:val="center"/>
            <w:hideMark/>
          </w:tcPr>
          <w:p w14:paraId="41D18874" w14:textId="77777777" w:rsidR="002D278B" w:rsidRPr="006212A3" w:rsidRDefault="002D278B" w:rsidP="002D278B">
            <w:pPr>
              <w:rPr>
                <w:rFonts w:asciiTheme="minorHAnsi" w:hAnsiTheme="minorHAnsi" w:cstheme="minorHAnsi"/>
                <w:b/>
                <w:bCs/>
                <w:color w:val="000000"/>
                <w:sz w:val="14"/>
                <w:szCs w:val="14"/>
                <w:lang w:val="en-US" w:eastAsia="en-US"/>
              </w:rPr>
            </w:pPr>
          </w:p>
        </w:tc>
        <w:tc>
          <w:tcPr>
            <w:tcW w:w="918" w:type="dxa"/>
            <w:vMerge/>
            <w:tcBorders>
              <w:top w:val="single" w:sz="4" w:space="0" w:color="auto"/>
              <w:left w:val="nil"/>
              <w:bottom w:val="single" w:sz="4" w:space="0" w:color="000000"/>
              <w:right w:val="nil"/>
            </w:tcBorders>
            <w:vAlign w:val="center"/>
            <w:hideMark/>
          </w:tcPr>
          <w:p w14:paraId="1E6C96CB" w14:textId="77777777" w:rsidR="002D278B" w:rsidRPr="006212A3" w:rsidRDefault="002D278B" w:rsidP="002D278B">
            <w:pPr>
              <w:rPr>
                <w:rFonts w:asciiTheme="minorHAnsi" w:hAnsiTheme="minorHAnsi" w:cstheme="minorHAnsi"/>
                <w:b/>
                <w:bCs/>
                <w:color w:val="000000"/>
                <w:sz w:val="14"/>
                <w:szCs w:val="14"/>
                <w:lang w:val="en-US" w:eastAsia="en-US"/>
              </w:rPr>
            </w:pPr>
          </w:p>
        </w:tc>
        <w:tc>
          <w:tcPr>
            <w:tcW w:w="597" w:type="dxa"/>
            <w:vMerge/>
            <w:tcBorders>
              <w:top w:val="single" w:sz="4" w:space="0" w:color="auto"/>
              <w:left w:val="nil"/>
              <w:bottom w:val="single" w:sz="4" w:space="0" w:color="000000"/>
              <w:right w:val="nil"/>
            </w:tcBorders>
            <w:vAlign w:val="center"/>
            <w:hideMark/>
          </w:tcPr>
          <w:p w14:paraId="46E1BC9E" w14:textId="77777777" w:rsidR="002D278B" w:rsidRPr="006212A3" w:rsidRDefault="002D278B" w:rsidP="002D278B">
            <w:pPr>
              <w:rPr>
                <w:rFonts w:asciiTheme="minorHAnsi" w:hAnsiTheme="minorHAnsi" w:cstheme="minorHAnsi"/>
                <w:b/>
                <w:bCs/>
                <w:color w:val="000000"/>
                <w:sz w:val="14"/>
                <w:szCs w:val="14"/>
                <w:lang w:val="en-US" w:eastAsia="en-US"/>
              </w:rPr>
            </w:pPr>
          </w:p>
        </w:tc>
        <w:tc>
          <w:tcPr>
            <w:tcW w:w="575" w:type="dxa"/>
            <w:vMerge/>
            <w:tcBorders>
              <w:top w:val="single" w:sz="4" w:space="0" w:color="auto"/>
              <w:left w:val="nil"/>
              <w:bottom w:val="single" w:sz="4" w:space="0" w:color="000000"/>
              <w:right w:val="nil"/>
            </w:tcBorders>
            <w:vAlign w:val="center"/>
            <w:hideMark/>
          </w:tcPr>
          <w:p w14:paraId="5D0DCF31" w14:textId="77777777" w:rsidR="002D278B" w:rsidRPr="006212A3" w:rsidRDefault="002D278B" w:rsidP="002D278B">
            <w:pPr>
              <w:rPr>
                <w:rFonts w:asciiTheme="minorHAnsi" w:hAnsiTheme="minorHAnsi" w:cstheme="minorHAnsi"/>
                <w:b/>
                <w:bCs/>
                <w:color w:val="000000"/>
                <w:sz w:val="14"/>
                <w:szCs w:val="14"/>
                <w:lang w:val="en-US" w:eastAsia="en-US"/>
              </w:rPr>
            </w:pPr>
          </w:p>
        </w:tc>
        <w:tc>
          <w:tcPr>
            <w:tcW w:w="575" w:type="dxa"/>
            <w:vMerge/>
            <w:tcBorders>
              <w:top w:val="single" w:sz="4" w:space="0" w:color="auto"/>
              <w:left w:val="nil"/>
              <w:bottom w:val="single" w:sz="4" w:space="0" w:color="000000"/>
              <w:right w:val="nil"/>
            </w:tcBorders>
            <w:vAlign w:val="center"/>
            <w:hideMark/>
          </w:tcPr>
          <w:p w14:paraId="75D263D0" w14:textId="77777777" w:rsidR="002D278B" w:rsidRPr="006212A3" w:rsidRDefault="002D278B" w:rsidP="002D278B">
            <w:pPr>
              <w:rPr>
                <w:rFonts w:asciiTheme="minorHAnsi" w:hAnsiTheme="minorHAnsi" w:cstheme="minorHAnsi"/>
                <w:b/>
                <w:bCs/>
                <w:color w:val="000000"/>
                <w:sz w:val="14"/>
                <w:szCs w:val="14"/>
                <w:lang w:val="en-US" w:eastAsia="en-US"/>
              </w:rPr>
            </w:pPr>
          </w:p>
        </w:tc>
        <w:tc>
          <w:tcPr>
            <w:tcW w:w="693" w:type="dxa"/>
            <w:vMerge/>
            <w:tcBorders>
              <w:top w:val="single" w:sz="4" w:space="0" w:color="auto"/>
              <w:left w:val="nil"/>
              <w:bottom w:val="single" w:sz="4" w:space="0" w:color="000000"/>
              <w:right w:val="nil"/>
            </w:tcBorders>
            <w:vAlign w:val="center"/>
            <w:hideMark/>
          </w:tcPr>
          <w:p w14:paraId="234C1AAD" w14:textId="77777777" w:rsidR="002D278B" w:rsidRPr="006212A3" w:rsidRDefault="002D278B" w:rsidP="002D278B">
            <w:pPr>
              <w:rPr>
                <w:rFonts w:asciiTheme="minorHAnsi" w:hAnsiTheme="minorHAnsi" w:cstheme="minorHAnsi"/>
                <w:b/>
                <w:bCs/>
                <w:color w:val="000000"/>
                <w:sz w:val="14"/>
                <w:szCs w:val="14"/>
                <w:lang w:val="en-US" w:eastAsia="en-US"/>
              </w:rPr>
            </w:pPr>
          </w:p>
        </w:tc>
        <w:tc>
          <w:tcPr>
            <w:tcW w:w="693" w:type="dxa"/>
            <w:vMerge/>
            <w:tcBorders>
              <w:top w:val="single" w:sz="4" w:space="0" w:color="auto"/>
              <w:left w:val="nil"/>
              <w:bottom w:val="single" w:sz="4" w:space="0" w:color="000000"/>
              <w:right w:val="nil"/>
            </w:tcBorders>
            <w:vAlign w:val="center"/>
            <w:hideMark/>
          </w:tcPr>
          <w:p w14:paraId="39A818EB" w14:textId="77777777" w:rsidR="002D278B" w:rsidRPr="006212A3" w:rsidRDefault="002D278B" w:rsidP="002D278B">
            <w:pPr>
              <w:rPr>
                <w:rFonts w:asciiTheme="minorHAnsi" w:hAnsiTheme="minorHAnsi" w:cstheme="minorHAnsi"/>
                <w:b/>
                <w:bCs/>
                <w:color w:val="000000"/>
                <w:sz w:val="14"/>
                <w:szCs w:val="14"/>
                <w:lang w:val="en-US" w:eastAsia="en-US"/>
              </w:rPr>
            </w:pPr>
          </w:p>
        </w:tc>
        <w:tc>
          <w:tcPr>
            <w:tcW w:w="861" w:type="dxa"/>
            <w:vMerge/>
            <w:tcBorders>
              <w:top w:val="single" w:sz="4" w:space="0" w:color="auto"/>
              <w:left w:val="nil"/>
              <w:bottom w:val="single" w:sz="4" w:space="0" w:color="000000"/>
              <w:right w:val="nil"/>
            </w:tcBorders>
            <w:shd w:val="clear" w:color="auto" w:fill="auto"/>
            <w:vAlign w:val="center"/>
            <w:hideMark/>
          </w:tcPr>
          <w:p w14:paraId="00D0C073" w14:textId="77777777" w:rsidR="002D278B" w:rsidRPr="006212A3" w:rsidRDefault="002D278B" w:rsidP="002D278B">
            <w:pPr>
              <w:rPr>
                <w:rFonts w:asciiTheme="minorHAnsi" w:hAnsiTheme="minorHAnsi" w:cstheme="minorHAnsi"/>
                <w:b/>
                <w:bCs/>
                <w:color w:val="000000"/>
                <w:sz w:val="14"/>
                <w:szCs w:val="14"/>
                <w:lang w:val="en-US" w:eastAsia="en-US"/>
              </w:rPr>
            </w:pPr>
          </w:p>
        </w:tc>
      </w:tr>
      <w:tr w:rsidR="00C11EFE" w:rsidRPr="006212A3" w14:paraId="6C6A0BFD" w14:textId="77777777" w:rsidTr="00AA5590">
        <w:trPr>
          <w:trHeight w:hRule="exact" w:val="284"/>
        </w:trPr>
        <w:tc>
          <w:tcPr>
            <w:tcW w:w="675" w:type="dxa"/>
            <w:tcBorders>
              <w:top w:val="nil"/>
              <w:left w:val="nil"/>
              <w:bottom w:val="nil"/>
              <w:right w:val="nil"/>
            </w:tcBorders>
            <w:shd w:val="clear" w:color="auto" w:fill="auto"/>
            <w:noWrap/>
            <w:hideMark/>
          </w:tcPr>
          <w:p w14:paraId="656B0110"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Yes</w:t>
            </w:r>
          </w:p>
        </w:tc>
        <w:tc>
          <w:tcPr>
            <w:tcW w:w="709" w:type="dxa"/>
            <w:tcBorders>
              <w:top w:val="nil"/>
              <w:left w:val="nil"/>
              <w:bottom w:val="nil"/>
              <w:right w:val="nil"/>
            </w:tcBorders>
            <w:shd w:val="clear" w:color="auto" w:fill="auto"/>
            <w:noWrap/>
            <w:hideMark/>
          </w:tcPr>
          <w:p w14:paraId="5514BD65"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w:t>
            </w:r>
          </w:p>
        </w:tc>
        <w:tc>
          <w:tcPr>
            <w:tcW w:w="709" w:type="dxa"/>
            <w:tcBorders>
              <w:top w:val="nil"/>
              <w:left w:val="nil"/>
              <w:bottom w:val="nil"/>
              <w:right w:val="nil"/>
            </w:tcBorders>
            <w:shd w:val="clear" w:color="auto" w:fill="auto"/>
            <w:noWrap/>
            <w:hideMark/>
          </w:tcPr>
          <w:p w14:paraId="17B2ABD4" w14:textId="7777777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A06A</w:t>
            </w:r>
          </w:p>
        </w:tc>
        <w:tc>
          <w:tcPr>
            <w:tcW w:w="4961" w:type="dxa"/>
            <w:tcBorders>
              <w:top w:val="nil"/>
              <w:left w:val="nil"/>
              <w:bottom w:val="nil"/>
              <w:right w:val="nil"/>
            </w:tcBorders>
            <w:shd w:val="clear" w:color="auto" w:fill="auto"/>
            <w:noWrap/>
            <w:hideMark/>
          </w:tcPr>
          <w:p w14:paraId="3C769937" w14:textId="799C4B8F"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Tracheostomy and/or Ventilation &gt;=96hours, Major Complexity</w:t>
            </w:r>
          </w:p>
        </w:tc>
        <w:tc>
          <w:tcPr>
            <w:tcW w:w="567" w:type="dxa"/>
            <w:tcBorders>
              <w:top w:val="nil"/>
              <w:left w:val="nil"/>
              <w:bottom w:val="nil"/>
              <w:right w:val="nil"/>
            </w:tcBorders>
            <w:shd w:val="clear" w:color="auto" w:fill="auto"/>
            <w:noWrap/>
            <w:hideMark/>
          </w:tcPr>
          <w:p w14:paraId="2CE0AB79" w14:textId="77777777" w:rsidR="00C11EFE" w:rsidRPr="006212A3" w:rsidRDefault="00C11EFE" w:rsidP="00C11EFE">
            <w:pPr>
              <w:jc w:val="right"/>
              <w:rPr>
                <w:rFonts w:asciiTheme="minorHAnsi" w:hAnsiTheme="minorHAnsi" w:cstheme="minorHAnsi"/>
                <w:b/>
                <w:color w:val="000000"/>
                <w:sz w:val="14"/>
                <w:szCs w:val="14"/>
                <w:lang w:val="en-US" w:eastAsia="en-US"/>
              </w:rPr>
            </w:pPr>
            <w:r w:rsidRPr="006212A3">
              <w:rPr>
                <w:rFonts w:asciiTheme="minorHAnsi" w:hAnsiTheme="minorHAnsi" w:cstheme="minorHAnsi"/>
                <w:b/>
                <w:color w:val="000000"/>
                <w:sz w:val="14"/>
                <w:szCs w:val="14"/>
                <w:lang w:val="en-US" w:eastAsia="en-US"/>
              </w:rPr>
              <w:t>35.15</w:t>
            </w:r>
          </w:p>
        </w:tc>
        <w:tc>
          <w:tcPr>
            <w:tcW w:w="851" w:type="dxa"/>
            <w:tcBorders>
              <w:top w:val="nil"/>
              <w:left w:val="nil"/>
              <w:bottom w:val="nil"/>
              <w:right w:val="nil"/>
            </w:tcBorders>
            <w:shd w:val="clear" w:color="auto" w:fill="auto"/>
            <w:noWrap/>
            <w:hideMark/>
          </w:tcPr>
          <w:p w14:paraId="421F084A"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199</w:t>
            </w:r>
          </w:p>
        </w:tc>
        <w:tc>
          <w:tcPr>
            <w:tcW w:w="954" w:type="dxa"/>
            <w:tcBorders>
              <w:top w:val="nil"/>
              <w:left w:val="nil"/>
              <w:bottom w:val="nil"/>
              <w:right w:val="nil"/>
            </w:tcBorders>
            <w:shd w:val="clear" w:color="auto" w:fill="auto"/>
            <w:noWrap/>
            <w:hideMark/>
          </w:tcPr>
          <w:p w14:paraId="3B8DD5BA" w14:textId="630DB0F0" w:rsidR="00C11EFE" w:rsidRPr="006212A3"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6,995</w:t>
            </w:r>
          </w:p>
        </w:tc>
        <w:tc>
          <w:tcPr>
            <w:tcW w:w="839" w:type="dxa"/>
            <w:tcBorders>
              <w:top w:val="nil"/>
              <w:left w:val="nil"/>
              <w:bottom w:val="nil"/>
              <w:right w:val="nil"/>
            </w:tcBorders>
            <w:shd w:val="clear" w:color="auto" w:fill="auto"/>
            <w:noWrap/>
            <w:hideMark/>
          </w:tcPr>
          <w:p w14:paraId="4B4D080D"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9,912</w:t>
            </w:r>
          </w:p>
        </w:tc>
        <w:tc>
          <w:tcPr>
            <w:tcW w:w="918" w:type="dxa"/>
            <w:tcBorders>
              <w:top w:val="nil"/>
              <w:left w:val="nil"/>
              <w:bottom w:val="nil"/>
              <w:right w:val="nil"/>
            </w:tcBorders>
            <w:shd w:val="clear" w:color="auto" w:fill="auto"/>
            <w:noWrap/>
            <w:hideMark/>
          </w:tcPr>
          <w:p w14:paraId="653ABF80"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49.8</w:t>
            </w:r>
          </w:p>
        </w:tc>
        <w:tc>
          <w:tcPr>
            <w:tcW w:w="597" w:type="dxa"/>
            <w:tcBorders>
              <w:top w:val="nil"/>
              <w:left w:val="nil"/>
              <w:bottom w:val="nil"/>
              <w:right w:val="nil"/>
            </w:tcBorders>
            <w:shd w:val="clear" w:color="auto" w:fill="auto"/>
            <w:noWrap/>
            <w:hideMark/>
          </w:tcPr>
          <w:p w14:paraId="19D1771B"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1.82</w:t>
            </w:r>
          </w:p>
        </w:tc>
        <w:tc>
          <w:tcPr>
            <w:tcW w:w="575" w:type="dxa"/>
            <w:tcBorders>
              <w:top w:val="nil"/>
              <w:left w:val="nil"/>
              <w:bottom w:val="nil"/>
              <w:right w:val="nil"/>
            </w:tcBorders>
            <w:shd w:val="clear" w:color="auto" w:fill="auto"/>
            <w:noWrap/>
            <w:hideMark/>
          </w:tcPr>
          <w:p w14:paraId="13D305FA"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0.0%</w:t>
            </w:r>
          </w:p>
        </w:tc>
        <w:tc>
          <w:tcPr>
            <w:tcW w:w="575" w:type="dxa"/>
            <w:tcBorders>
              <w:top w:val="nil"/>
              <w:left w:val="nil"/>
              <w:bottom w:val="nil"/>
              <w:right w:val="nil"/>
            </w:tcBorders>
            <w:shd w:val="clear" w:color="auto" w:fill="auto"/>
            <w:noWrap/>
            <w:hideMark/>
          </w:tcPr>
          <w:p w14:paraId="21990005"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0.2%</w:t>
            </w:r>
          </w:p>
        </w:tc>
        <w:tc>
          <w:tcPr>
            <w:tcW w:w="693" w:type="dxa"/>
            <w:tcBorders>
              <w:top w:val="nil"/>
              <w:left w:val="nil"/>
              <w:bottom w:val="nil"/>
              <w:right w:val="nil"/>
            </w:tcBorders>
            <w:shd w:val="clear" w:color="auto" w:fill="auto"/>
            <w:noWrap/>
            <w:hideMark/>
          </w:tcPr>
          <w:p w14:paraId="05A27C23"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44.41</w:t>
            </w:r>
          </w:p>
        </w:tc>
        <w:tc>
          <w:tcPr>
            <w:tcW w:w="693" w:type="dxa"/>
            <w:tcBorders>
              <w:top w:val="nil"/>
              <w:left w:val="nil"/>
              <w:bottom w:val="nil"/>
              <w:right w:val="nil"/>
            </w:tcBorders>
            <w:shd w:val="clear" w:color="auto" w:fill="auto"/>
            <w:noWrap/>
            <w:hideMark/>
          </w:tcPr>
          <w:p w14:paraId="458106A8"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1 </w:t>
            </w:r>
          </w:p>
        </w:tc>
        <w:tc>
          <w:tcPr>
            <w:tcW w:w="861" w:type="dxa"/>
            <w:tcBorders>
              <w:top w:val="nil"/>
              <w:left w:val="nil"/>
              <w:bottom w:val="nil"/>
              <w:right w:val="nil"/>
            </w:tcBorders>
            <w:shd w:val="clear" w:color="auto" w:fill="auto"/>
            <w:noWrap/>
            <w:hideMark/>
          </w:tcPr>
          <w:p w14:paraId="01E940DD"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161 </w:t>
            </w:r>
          </w:p>
        </w:tc>
      </w:tr>
      <w:tr w:rsidR="00C11EFE" w:rsidRPr="006212A3" w14:paraId="665501CC" w14:textId="77777777" w:rsidTr="00AA5590">
        <w:trPr>
          <w:trHeight w:hRule="exact" w:val="284"/>
        </w:trPr>
        <w:tc>
          <w:tcPr>
            <w:tcW w:w="675" w:type="dxa"/>
            <w:tcBorders>
              <w:top w:val="nil"/>
              <w:left w:val="nil"/>
              <w:bottom w:val="nil"/>
              <w:right w:val="nil"/>
            </w:tcBorders>
            <w:shd w:val="clear" w:color="auto" w:fill="auto"/>
            <w:noWrap/>
            <w:hideMark/>
          </w:tcPr>
          <w:p w14:paraId="3B5AE179"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Yes</w:t>
            </w:r>
          </w:p>
        </w:tc>
        <w:tc>
          <w:tcPr>
            <w:tcW w:w="709" w:type="dxa"/>
            <w:tcBorders>
              <w:top w:val="nil"/>
              <w:left w:val="nil"/>
              <w:bottom w:val="nil"/>
              <w:right w:val="nil"/>
            </w:tcBorders>
            <w:shd w:val="clear" w:color="auto" w:fill="auto"/>
            <w:noWrap/>
            <w:hideMark/>
          </w:tcPr>
          <w:p w14:paraId="2888B367"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2</w:t>
            </w:r>
          </w:p>
        </w:tc>
        <w:tc>
          <w:tcPr>
            <w:tcW w:w="709" w:type="dxa"/>
            <w:tcBorders>
              <w:top w:val="nil"/>
              <w:left w:val="nil"/>
              <w:bottom w:val="nil"/>
              <w:right w:val="nil"/>
            </w:tcBorders>
            <w:shd w:val="clear" w:color="auto" w:fill="auto"/>
            <w:noWrap/>
            <w:hideMark/>
          </w:tcPr>
          <w:p w14:paraId="1F574518" w14:textId="7777777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A06B</w:t>
            </w:r>
          </w:p>
        </w:tc>
        <w:tc>
          <w:tcPr>
            <w:tcW w:w="4961" w:type="dxa"/>
            <w:tcBorders>
              <w:top w:val="nil"/>
              <w:left w:val="nil"/>
              <w:bottom w:val="nil"/>
              <w:right w:val="nil"/>
            </w:tcBorders>
            <w:shd w:val="clear" w:color="auto" w:fill="auto"/>
            <w:noWrap/>
            <w:hideMark/>
          </w:tcPr>
          <w:p w14:paraId="720278EA" w14:textId="09E7BE22"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Tracheostomy and/or Ventilation &gt;=96hours, Intermediate Complexity</w:t>
            </w:r>
          </w:p>
        </w:tc>
        <w:tc>
          <w:tcPr>
            <w:tcW w:w="567" w:type="dxa"/>
            <w:tcBorders>
              <w:top w:val="nil"/>
              <w:left w:val="nil"/>
              <w:bottom w:val="nil"/>
              <w:right w:val="nil"/>
            </w:tcBorders>
            <w:shd w:val="clear" w:color="auto" w:fill="auto"/>
            <w:noWrap/>
            <w:hideMark/>
          </w:tcPr>
          <w:p w14:paraId="63E5A8FC" w14:textId="77777777" w:rsidR="00C11EFE" w:rsidRPr="006212A3" w:rsidRDefault="00C11EFE" w:rsidP="00C11EFE">
            <w:pPr>
              <w:jc w:val="right"/>
              <w:rPr>
                <w:rFonts w:asciiTheme="minorHAnsi" w:hAnsiTheme="minorHAnsi" w:cstheme="minorHAnsi"/>
                <w:b/>
                <w:color w:val="000000"/>
                <w:sz w:val="14"/>
                <w:szCs w:val="14"/>
                <w:lang w:val="en-US" w:eastAsia="en-US"/>
              </w:rPr>
            </w:pPr>
            <w:r w:rsidRPr="006212A3">
              <w:rPr>
                <w:rFonts w:asciiTheme="minorHAnsi" w:hAnsiTheme="minorHAnsi" w:cstheme="minorHAnsi"/>
                <w:b/>
                <w:color w:val="000000"/>
                <w:sz w:val="14"/>
                <w:szCs w:val="14"/>
                <w:lang w:val="en-US" w:eastAsia="en-US"/>
              </w:rPr>
              <w:t>24.44</w:t>
            </w:r>
          </w:p>
        </w:tc>
        <w:tc>
          <w:tcPr>
            <w:tcW w:w="851" w:type="dxa"/>
            <w:tcBorders>
              <w:top w:val="nil"/>
              <w:left w:val="nil"/>
              <w:bottom w:val="nil"/>
              <w:right w:val="nil"/>
            </w:tcBorders>
            <w:shd w:val="clear" w:color="auto" w:fill="auto"/>
            <w:noWrap/>
            <w:hideMark/>
          </w:tcPr>
          <w:p w14:paraId="7C90AEAC"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532</w:t>
            </w:r>
          </w:p>
        </w:tc>
        <w:tc>
          <w:tcPr>
            <w:tcW w:w="954" w:type="dxa"/>
            <w:tcBorders>
              <w:top w:val="nil"/>
              <w:left w:val="nil"/>
              <w:bottom w:val="nil"/>
              <w:right w:val="nil"/>
            </w:tcBorders>
            <w:shd w:val="clear" w:color="auto" w:fill="auto"/>
            <w:noWrap/>
            <w:hideMark/>
          </w:tcPr>
          <w:p w14:paraId="558A0899" w14:textId="1F49CF7D" w:rsidR="00C11EFE" w:rsidRPr="006212A3"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13,002</w:t>
            </w:r>
          </w:p>
        </w:tc>
        <w:tc>
          <w:tcPr>
            <w:tcW w:w="839" w:type="dxa"/>
            <w:tcBorders>
              <w:top w:val="nil"/>
              <w:left w:val="nil"/>
              <w:bottom w:val="nil"/>
              <w:right w:val="nil"/>
            </w:tcBorders>
            <w:shd w:val="clear" w:color="auto" w:fill="auto"/>
            <w:noWrap/>
            <w:hideMark/>
          </w:tcPr>
          <w:p w14:paraId="2B78C933"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16,718</w:t>
            </w:r>
          </w:p>
        </w:tc>
        <w:tc>
          <w:tcPr>
            <w:tcW w:w="918" w:type="dxa"/>
            <w:tcBorders>
              <w:top w:val="nil"/>
              <w:left w:val="nil"/>
              <w:bottom w:val="nil"/>
              <w:right w:val="nil"/>
            </w:tcBorders>
            <w:shd w:val="clear" w:color="auto" w:fill="auto"/>
            <w:noWrap/>
            <w:hideMark/>
          </w:tcPr>
          <w:p w14:paraId="53CB676B"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31.4</w:t>
            </w:r>
          </w:p>
        </w:tc>
        <w:tc>
          <w:tcPr>
            <w:tcW w:w="597" w:type="dxa"/>
            <w:tcBorders>
              <w:top w:val="nil"/>
              <w:left w:val="nil"/>
              <w:bottom w:val="nil"/>
              <w:right w:val="nil"/>
            </w:tcBorders>
            <w:shd w:val="clear" w:color="auto" w:fill="auto"/>
            <w:noWrap/>
            <w:hideMark/>
          </w:tcPr>
          <w:p w14:paraId="3D4B4F0F"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0.79</w:t>
            </w:r>
          </w:p>
        </w:tc>
        <w:tc>
          <w:tcPr>
            <w:tcW w:w="575" w:type="dxa"/>
            <w:tcBorders>
              <w:top w:val="nil"/>
              <w:left w:val="nil"/>
              <w:bottom w:val="nil"/>
              <w:right w:val="nil"/>
            </w:tcBorders>
            <w:shd w:val="clear" w:color="auto" w:fill="auto"/>
            <w:noWrap/>
            <w:hideMark/>
          </w:tcPr>
          <w:p w14:paraId="0D24CE77"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0.0%</w:t>
            </w:r>
          </w:p>
        </w:tc>
        <w:tc>
          <w:tcPr>
            <w:tcW w:w="575" w:type="dxa"/>
            <w:tcBorders>
              <w:top w:val="nil"/>
              <w:left w:val="nil"/>
              <w:bottom w:val="nil"/>
              <w:right w:val="nil"/>
            </w:tcBorders>
            <w:shd w:val="clear" w:color="auto" w:fill="auto"/>
            <w:noWrap/>
            <w:hideMark/>
          </w:tcPr>
          <w:p w14:paraId="581160CE"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0.4%</w:t>
            </w:r>
          </w:p>
        </w:tc>
        <w:tc>
          <w:tcPr>
            <w:tcW w:w="693" w:type="dxa"/>
            <w:tcBorders>
              <w:top w:val="nil"/>
              <w:left w:val="nil"/>
              <w:bottom w:val="nil"/>
              <w:right w:val="nil"/>
            </w:tcBorders>
            <w:shd w:val="clear" w:color="auto" w:fill="auto"/>
            <w:noWrap/>
            <w:hideMark/>
          </w:tcPr>
          <w:p w14:paraId="2DBB93CE"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27.48</w:t>
            </w:r>
          </w:p>
        </w:tc>
        <w:tc>
          <w:tcPr>
            <w:tcW w:w="693" w:type="dxa"/>
            <w:tcBorders>
              <w:top w:val="nil"/>
              <w:left w:val="nil"/>
              <w:bottom w:val="nil"/>
              <w:right w:val="nil"/>
            </w:tcBorders>
            <w:shd w:val="clear" w:color="auto" w:fill="auto"/>
            <w:noWrap/>
            <w:hideMark/>
          </w:tcPr>
          <w:p w14:paraId="10221EEE"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3 </w:t>
            </w:r>
          </w:p>
        </w:tc>
        <w:tc>
          <w:tcPr>
            <w:tcW w:w="861" w:type="dxa"/>
            <w:tcBorders>
              <w:top w:val="nil"/>
              <w:left w:val="nil"/>
              <w:bottom w:val="nil"/>
              <w:right w:val="nil"/>
            </w:tcBorders>
            <w:shd w:val="clear" w:color="auto" w:fill="auto"/>
            <w:noWrap/>
            <w:hideMark/>
          </w:tcPr>
          <w:p w14:paraId="080942D1"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403 </w:t>
            </w:r>
          </w:p>
        </w:tc>
      </w:tr>
      <w:tr w:rsidR="00C11EFE" w:rsidRPr="006212A3" w14:paraId="1A6B044C" w14:textId="77777777" w:rsidTr="00AA5590">
        <w:trPr>
          <w:trHeight w:hRule="exact" w:val="284"/>
        </w:trPr>
        <w:tc>
          <w:tcPr>
            <w:tcW w:w="675" w:type="dxa"/>
            <w:tcBorders>
              <w:top w:val="nil"/>
              <w:left w:val="nil"/>
              <w:bottom w:val="nil"/>
              <w:right w:val="nil"/>
            </w:tcBorders>
            <w:shd w:val="clear" w:color="auto" w:fill="auto"/>
            <w:noWrap/>
            <w:hideMark/>
          </w:tcPr>
          <w:p w14:paraId="6632DFF3"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Yes</w:t>
            </w:r>
          </w:p>
        </w:tc>
        <w:tc>
          <w:tcPr>
            <w:tcW w:w="709" w:type="dxa"/>
            <w:tcBorders>
              <w:top w:val="nil"/>
              <w:left w:val="nil"/>
              <w:bottom w:val="nil"/>
              <w:right w:val="nil"/>
            </w:tcBorders>
            <w:shd w:val="clear" w:color="auto" w:fill="auto"/>
            <w:noWrap/>
            <w:hideMark/>
          </w:tcPr>
          <w:p w14:paraId="48C65C3F"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3</w:t>
            </w:r>
          </w:p>
        </w:tc>
        <w:tc>
          <w:tcPr>
            <w:tcW w:w="709" w:type="dxa"/>
            <w:tcBorders>
              <w:top w:val="nil"/>
              <w:left w:val="nil"/>
              <w:bottom w:val="nil"/>
              <w:right w:val="nil"/>
            </w:tcBorders>
            <w:shd w:val="clear" w:color="auto" w:fill="auto"/>
            <w:noWrap/>
            <w:hideMark/>
          </w:tcPr>
          <w:p w14:paraId="7CCDB719" w14:textId="7777777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F01A</w:t>
            </w:r>
          </w:p>
        </w:tc>
        <w:tc>
          <w:tcPr>
            <w:tcW w:w="4961" w:type="dxa"/>
            <w:tcBorders>
              <w:top w:val="nil"/>
              <w:left w:val="nil"/>
              <w:bottom w:val="nil"/>
              <w:right w:val="nil"/>
            </w:tcBorders>
            <w:shd w:val="clear" w:color="auto" w:fill="auto"/>
            <w:noWrap/>
            <w:hideMark/>
          </w:tcPr>
          <w:p w14:paraId="7AF62E98" w14:textId="2812FF3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Implantation and Replacement of AICD, Total System, Major Complexity</w:t>
            </w:r>
          </w:p>
        </w:tc>
        <w:tc>
          <w:tcPr>
            <w:tcW w:w="567" w:type="dxa"/>
            <w:tcBorders>
              <w:top w:val="nil"/>
              <w:left w:val="nil"/>
              <w:bottom w:val="nil"/>
              <w:right w:val="nil"/>
            </w:tcBorders>
            <w:shd w:val="clear" w:color="auto" w:fill="auto"/>
            <w:noWrap/>
            <w:hideMark/>
          </w:tcPr>
          <w:p w14:paraId="51666871" w14:textId="77777777" w:rsidR="00C11EFE" w:rsidRPr="006212A3" w:rsidRDefault="00C11EFE" w:rsidP="00C11EFE">
            <w:pPr>
              <w:jc w:val="right"/>
              <w:rPr>
                <w:rFonts w:asciiTheme="minorHAnsi" w:hAnsiTheme="minorHAnsi" w:cstheme="minorHAnsi"/>
                <w:b/>
                <w:color w:val="000000"/>
                <w:sz w:val="14"/>
                <w:szCs w:val="14"/>
                <w:lang w:val="en-US" w:eastAsia="en-US"/>
              </w:rPr>
            </w:pPr>
            <w:r w:rsidRPr="006212A3">
              <w:rPr>
                <w:rFonts w:asciiTheme="minorHAnsi" w:hAnsiTheme="minorHAnsi" w:cstheme="minorHAnsi"/>
                <w:b/>
                <w:color w:val="000000"/>
                <w:sz w:val="14"/>
                <w:szCs w:val="14"/>
                <w:lang w:val="en-US" w:eastAsia="en-US"/>
              </w:rPr>
              <w:t>20.46</w:t>
            </w:r>
          </w:p>
        </w:tc>
        <w:tc>
          <w:tcPr>
            <w:tcW w:w="851" w:type="dxa"/>
            <w:tcBorders>
              <w:top w:val="nil"/>
              <w:left w:val="nil"/>
              <w:bottom w:val="nil"/>
              <w:right w:val="nil"/>
            </w:tcBorders>
            <w:shd w:val="clear" w:color="auto" w:fill="auto"/>
            <w:noWrap/>
            <w:hideMark/>
          </w:tcPr>
          <w:p w14:paraId="60C18E31"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297</w:t>
            </w:r>
          </w:p>
        </w:tc>
        <w:tc>
          <w:tcPr>
            <w:tcW w:w="954" w:type="dxa"/>
            <w:tcBorders>
              <w:top w:val="nil"/>
              <w:left w:val="nil"/>
              <w:bottom w:val="nil"/>
              <w:right w:val="nil"/>
            </w:tcBorders>
            <w:shd w:val="clear" w:color="auto" w:fill="auto"/>
            <w:noWrap/>
            <w:hideMark/>
          </w:tcPr>
          <w:p w14:paraId="7C78D127" w14:textId="6DA9C241" w:rsidR="00C11EFE" w:rsidRPr="006212A3"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6,077</w:t>
            </w:r>
          </w:p>
        </w:tc>
        <w:tc>
          <w:tcPr>
            <w:tcW w:w="839" w:type="dxa"/>
            <w:tcBorders>
              <w:top w:val="nil"/>
              <w:left w:val="nil"/>
              <w:bottom w:val="nil"/>
              <w:right w:val="nil"/>
            </w:tcBorders>
            <w:shd w:val="clear" w:color="auto" w:fill="auto"/>
            <w:noWrap/>
            <w:hideMark/>
          </w:tcPr>
          <w:p w14:paraId="41FCBFD3"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3,116</w:t>
            </w:r>
          </w:p>
        </w:tc>
        <w:tc>
          <w:tcPr>
            <w:tcW w:w="918" w:type="dxa"/>
            <w:tcBorders>
              <w:top w:val="nil"/>
              <w:left w:val="nil"/>
              <w:bottom w:val="nil"/>
              <w:right w:val="nil"/>
            </w:tcBorders>
            <w:shd w:val="clear" w:color="auto" w:fill="auto"/>
            <w:noWrap/>
            <w:hideMark/>
          </w:tcPr>
          <w:p w14:paraId="1857E8D5"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10.5</w:t>
            </w:r>
          </w:p>
        </w:tc>
        <w:tc>
          <w:tcPr>
            <w:tcW w:w="597" w:type="dxa"/>
            <w:tcBorders>
              <w:top w:val="nil"/>
              <w:left w:val="nil"/>
              <w:bottom w:val="nil"/>
              <w:right w:val="nil"/>
            </w:tcBorders>
            <w:shd w:val="clear" w:color="auto" w:fill="auto"/>
            <w:noWrap/>
            <w:hideMark/>
          </w:tcPr>
          <w:p w14:paraId="7F8BEB6C"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0.47</w:t>
            </w:r>
          </w:p>
        </w:tc>
        <w:tc>
          <w:tcPr>
            <w:tcW w:w="575" w:type="dxa"/>
            <w:tcBorders>
              <w:top w:val="nil"/>
              <w:left w:val="nil"/>
              <w:bottom w:val="nil"/>
              <w:right w:val="nil"/>
            </w:tcBorders>
            <w:shd w:val="clear" w:color="auto" w:fill="auto"/>
            <w:noWrap/>
            <w:hideMark/>
          </w:tcPr>
          <w:p w14:paraId="35D38958"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0.0%</w:t>
            </w:r>
          </w:p>
        </w:tc>
        <w:tc>
          <w:tcPr>
            <w:tcW w:w="575" w:type="dxa"/>
            <w:tcBorders>
              <w:top w:val="nil"/>
              <w:left w:val="nil"/>
              <w:bottom w:val="nil"/>
              <w:right w:val="nil"/>
            </w:tcBorders>
            <w:shd w:val="clear" w:color="auto" w:fill="auto"/>
            <w:noWrap/>
            <w:hideMark/>
          </w:tcPr>
          <w:p w14:paraId="0F48B93B"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0.2%</w:t>
            </w:r>
          </w:p>
        </w:tc>
        <w:tc>
          <w:tcPr>
            <w:tcW w:w="693" w:type="dxa"/>
            <w:tcBorders>
              <w:top w:val="nil"/>
              <w:left w:val="nil"/>
              <w:bottom w:val="nil"/>
              <w:right w:val="nil"/>
            </w:tcBorders>
            <w:shd w:val="clear" w:color="auto" w:fill="auto"/>
            <w:noWrap/>
            <w:hideMark/>
          </w:tcPr>
          <w:p w14:paraId="73F6D21D"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28.93</w:t>
            </w:r>
          </w:p>
        </w:tc>
        <w:tc>
          <w:tcPr>
            <w:tcW w:w="693" w:type="dxa"/>
            <w:tcBorders>
              <w:top w:val="nil"/>
              <w:left w:val="nil"/>
              <w:bottom w:val="nil"/>
              <w:right w:val="nil"/>
            </w:tcBorders>
            <w:shd w:val="clear" w:color="auto" w:fill="auto"/>
            <w:noWrap/>
            <w:hideMark/>
          </w:tcPr>
          <w:p w14:paraId="5EE79FE3"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2 </w:t>
            </w:r>
          </w:p>
        </w:tc>
        <w:tc>
          <w:tcPr>
            <w:tcW w:w="861" w:type="dxa"/>
            <w:tcBorders>
              <w:top w:val="nil"/>
              <w:left w:val="nil"/>
              <w:bottom w:val="nil"/>
              <w:right w:val="nil"/>
            </w:tcBorders>
            <w:shd w:val="clear" w:color="auto" w:fill="auto"/>
            <w:noWrap/>
            <w:hideMark/>
          </w:tcPr>
          <w:p w14:paraId="76EDC351"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239 </w:t>
            </w:r>
          </w:p>
        </w:tc>
      </w:tr>
      <w:tr w:rsidR="00C11EFE" w:rsidRPr="006212A3" w14:paraId="5B371808" w14:textId="77777777" w:rsidTr="00AA5590">
        <w:trPr>
          <w:trHeight w:hRule="exact" w:val="284"/>
        </w:trPr>
        <w:tc>
          <w:tcPr>
            <w:tcW w:w="675" w:type="dxa"/>
            <w:tcBorders>
              <w:top w:val="nil"/>
              <w:left w:val="nil"/>
              <w:bottom w:val="nil"/>
              <w:right w:val="nil"/>
            </w:tcBorders>
            <w:shd w:val="clear" w:color="auto" w:fill="auto"/>
            <w:noWrap/>
            <w:hideMark/>
          </w:tcPr>
          <w:p w14:paraId="1690937B"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Yes</w:t>
            </w:r>
          </w:p>
        </w:tc>
        <w:tc>
          <w:tcPr>
            <w:tcW w:w="709" w:type="dxa"/>
            <w:tcBorders>
              <w:top w:val="nil"/>
              <w:left w:val="nil"/>
              <w:bottom w:val="nil"/>
              <w:right w:val="nil"/>
            </w:tcBorders>
            <w:shd w:val="clear" w:color="auto" w:fill="auto"/>
            <w:noWrap/>
            <w:hideMark/>
          </w:tcPr>
          <w:p w14:paraId="43768E2E"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4</w:t>
            </w:r>
          </w:p>
        </w:tc>
        <w:tc>
          <w:tcPr>
            <w:tcW w:w="709" w:type="dxa"/>
            <w:tcBorders>
              <w:top w:val="nil"/>
              <w:left w:val="nil"/>
              <w:bottom w:val="nil"/>
              <w:right w:val="nil"/>
            </w:tcBorders>
            <w:shd w:val="clear" w:color="auto" w:fill="auto"/>
            <w:noWrap/>
            <w:hideMark/>
          </w:tcPr>
          <w:p w14:paraId="363952E7" w14:textId="7777777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I02A</w:t>
            </w:r>
          </w:p>
        </w:tc>
        <w:tc>
          <w:tcPr>
            <w:tcW w:w="4961" w:type="dxa"/>
            <w:tcBorders>
              <w:top w:val="nil"/>
              <w:left w:val="nil"/>
              <w:bottom w:val="nil"/>
              <w:right w:val="nil"/>
            </w:tcBorders>
            <w:shd w:val="clear" w:color="auto" w:fill="auto"/>
            <w:noWrap/>
            <w:hideMark/>
          </w:tcPr>
          <w:p w14:paraId="502E39BD" w14:textId="7777777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Microvascular Tissue Transfers or Skin Grafts, Excluding Hand, Major Complexity</w:t>
            </w:r>
          </w:p>
        </w:tc>
        <w:tc>
          <w:tcPr>
            <w:tcW w:w="567" w:type="dxa"/>
            <w:tcBorders>
              <w:top w:val="nil"/>
              <w:left w:val="nil"/>
              <w:bottom w:val="nil"/>
              <w:right w:val="nil"/>
            </w:tcBorders>
            <w:shd w:val="clear" w:color="auto" w:fill="auto"/>
            <w:noWrap/>
            <w:hideMark/>
          </w:tcPr>
          <w:p w14:paraId="1869EEFD" w14:textId="77777777" w:rsidR="00C11EFE" w:rsidRPr="006212A3" w:rsidRDefault="00C11EFE" w:rsidP="00C11EFE">
            <w:pPr>
              <w:jc w:val="right"/>
              <w:rPr>
                <w:rFonts w:asciiTheme="minorHAnsi" w:hAnsiTheme="minorHAnsi" w:cstheme="minorHAnsi"/>
                <w:b/>
                <w:color w:val="000000"/>
                <w:sz w:val="14"/>
                <w:szCs w:val="14"/>
                <w:lang w:val="en-US" w:eastAsia="en-US"/>
              </w:rPr>
            </w:pPr>
            <w:r w:rsidRPr="006212A3">
              <w:rPr>
                <w:rFonts w:asciiTheme="minorHAnsi" w:hAnsiTheme="minorHAnsi" w:cstheme="minorHAnsi"/>
                <w:b/>
                <w:color w:val="000000"/>
                <w:sz w:val="14"/>
                <w:szCs w:val="14"/>
                <w:lang w:val="en-US" w:eastAsia="en-US"/>
              </w:rPr>
              <w:t>16.66</w:t>
            </w:r>
          </w:p>
        </w:tc>
        <w:tc>
          <w:tcPr>
            <w:tcW w:w="851" w:type="dxa"/>
            <w:tcBorders>
              <w:top w:val="nil"/>
              <w:left w:val="nil"/>
              <w:bottom w:val="nil"/>
              <w:right w:val="nil"/>
            </w:tcBorders>
            <w:shd w:val="clear" w:color="auto" w:fill="auto"/>
            <w:noWrap/>
            <w:hideMark/>
          </w:tcPr>
          <w:p w14:paraId="330225E5"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103</w:t>
            </w:r>
          </w:p>
        </w:tc>
        <w:tc>
          <w:tcPr>
            <w:tcW w:w="954" w:type="dxa"/>
            <w:tcBorders>
              <w:top w:val="nil"/>
              <w:left w:val="nil"/>
              <w:bottom w:val="nil"/>
              <w:right w:val="nil"/>
            </w:tcBorders>
            <w:shd w:val="clear" w:color="auto" w:fill="auto"/>
            <w:noWrap/>
            <w:hideMark/>
          </w:tcPr>
          <w:p w14:paraId="74748EB1" w14:textId="248E1B45" w:rsidR="00C11EFE" w:rsidRPr="006212A3"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1,716</w:t>
            </w:r>
          </w:p>
        </w:tc>
        <w:tc>
          <w:tcPr>
            <w:tcW w:w="839" w:type="dxa"/>
            <w:tcBorders>
              <w:top w:val="nil"/>
              <w:left w:val="nil"/>
              <w:bottom w:val="nil"/>
              <w:right w:val="nil"/>
            </w:tcBorders>
            <w:shd w:val="clear" w:color="auto" w:fill="auto"/>
            <w:noWrap/>
            <w:hideMark/>
          </w:tcPr>
          <w:p w14:paraId="36930799"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5,215</w:t>
            </w:r>
          </w:p>
        </w:tc>
        <w:tc>
          <w:tcPr>
            <w:tcW w:w="918" w:type="dxa"/>
            <w:tcBorders>
              <w:top w:val="nil"/>
              <w:left w:val="nil"/>
              <w:bottom w:val="nil"/>
              <w:right w:val="nil"/>
            </w:tcBorders>
            <w:shd w:val="clear" w:color="auto" w:fill="auto"/>
            <w:noWrap/>
            <w:hideMark/>
          </w:tcPr>
          <w:p w14:paraId="4197569E"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50.6</w:t>
            </w:r>
          </w:p>
        </w:tc>
        <w:tc>
          <w:tcPr>
            <w:tcW w:w="597" w:type="dxa"/>
            <w:tcBorders>
              <w:top w:val="nil"/>
              <w:left w:val="nil"/>
              <w:bottom w:val="nil"/>
              <w:right w:val="nil"/>
            </w:tcBorders>
            <w:shd w:val="clear" w:color="auto" w:fill="auto"/>
            <w:noWrap/>
            <w:hideMark/>
          </w:tcPr>
          <w:p w14:paraId="65E2C3A9"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1.72</w:t>
            </w:r>
          </w:p>
        </w:tc>
        <w:tc>
          <w:tcPr>
            <w:tcW w:w="575" w:type="dxa"/>
            <w:tcBorders>
              <w:top w:val="nil"/>
              <w:left w:val="nil"/>
              <w:bottom w:val="nil"/>
              <w:right w:val="nil"/>
            </w:tcBorders>
            <w:shd w:val="clear" w:color="auto" w:fill="auto"/>
            <w:noWrap/>
            <w:hideMark/>
          </w:tcPr>
          <w:p w14:paraId="4779298C"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0.0%</w:t>
            </w:r>
          </w:p>
        </w:tc>
        <w:tc>
          <w:tcPr>
            <w:tcW w:w="575" w:type="dxa"/>
            <w:tcBorders>
              <w:top w:val="nil"/>
              <w:left w:val="nil"/>
              <w:bottom w:val="nil"/>
              <w:right w:val="nil"/>
            </w:tcBorders>
            <w:shd w:val="clear" w:color="auto" w:fill="auto"/>
            <w:noWrap/>
            <w:hideMark/>
          </w:tcPr>
          <w:p w14:paraId="0E3BC311"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0.1%</w:t>
            </w:r>
          </w:p>
        </w:tc>
        <w:tc>
          <w:tcPr>
            <w:tcW w:w="693" w:type="dxa"/>
            <w:tcBorders>
              <w:top w:val="nil"/>
              <w:left w:val="nil"/>
              <w:bottom w:val="nil"/>
              <w:right w:val="nil"/>
            </w:tcBorders>
            <w:shd w:val="clear" w:color="auto" w:fill="auto"/>
            <w:noWrap/>
            <w:hideMark/>
          </w:tcPr>
          <w:p w14:paraId="25B72989"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14.38</w:t>
            </w:r>
          </w:p>
        </w:tc>
        <w:tc>
          <w:tcPr>
            <w:tcW w:w="693" w:type="dxa"/>
            <w:tcBorders>
              <w:top w:val="nil"/>
              <w:left w:val="nil"/>
              <w:bottom w:val="nil"/>
              <w:right w:val="nil"/>
            </w:tcBorders>
            <w:shd w:val="clear" w:color="auto" w:fill="auto"/>
            <w:noWrap/>
            <w:hideMark/>
          </w:tcPr>
          <w:p w14:paraId="7EC135BF"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13 </w:t>
            </w:r>
          </w:p>
        </w:tc>
        <w:tc>
          <w:tcPr>
            <w:tcW w:w="861" w:type="dxa"/>
            <w:tcBorders>
              <w:top w:val="nil"/>
              <w:left w:val="nil"/>
              <w:bottom w:val="nil"/>
              <w:right w:val="nil"/>
            </w:tcBorders>
            <w:shd w:val="clear" w:color="auto" w:fill="auto"/>
            <w:noWrap/>
            <w:hideMark/>
          </w:tcPr>
          <w:p w14:paraId="5537DD71"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58 </w:t>
            </w:r>
          </w:p>
        </w:tc>
      </w:tr>
      <w:tr w:rsidR="00C11EFE" w:rsidRPr="006212A3" w14:paraId="7E5A8F3F" w14:textId="77777777" w:rsidTr="00AA5590">
        <w:trPr>
          <w:trHeight w:hRule="exact" w:val="284"/>
        </w:trPr>
        <w:tc>
          <w:tcPr>
            <w:tcW w:w="675" w:type="dxa"/>
            <w:tcBorders>
              <w:top w:val="nil"/>
              <w:left w:val="nil"/>
              <w:bottom w:val="nil"/>
              <w:right w:val="nil"/>
            </w:tcBorders>
            <w:shd w:val="clear" w:color="auto" w:fill="auto"/>
            <w:noWrap/>
            <w:hideMark/>
          </w:tcPr>
          <w:p w14:paraId="6BA1DEE5"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Yes</w:t>
            </w:r>
          </w:p>
        </w:tc>
        <w:tc>
          <w:tcPr>
            <w:tcW w:w="709" w:type="dxa"/>
            <w:tcBorders>
              <w:top w:val="nil"/>
              <w:left w:val="nil"/>
              <w:bottom w:val="nil"/>
              <w:right w:val="nil"/>
            </w:tcBorders>
            <w:shd w:val="clear" w:color="auto" w:fill="auto"/>
            <w:noWrap/>
            <w:hideMark/>
          </w:tcPr>
          <w:p w14:paraId="3BF0D7ED" w14:textId="050C9ECC"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5</w:t>
            </w:r>
          </w:p>
        </w:tc>
        <w:tc>
          <w:tcPr>
            <w:tcW w:w="709" w:type="dxa"/>
            <w:tcBorders>
              <w:top w:val="nil"/>
              <w:left w:val="nil"/>
              <w:bottom w:val="nil"/>
              <w:right w:val="nil"/>
            </w:tcBorders>
            <w:shd w:val="clear" w:color="auto" w:fill="auto"/>
            <w:noWrap/>
            <w:hideMark/>
          </w:tcPr>
          <w:p w14:paraId="219865C2" w14:textId="7777777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F04A</w:t>
            </w:r>
          </w:p>
        </w:tc>
        <w:tc>
          <w:tcPr>
            <w:tcW w:w="4961" w:type="dxa"/>
            <w:tcBorders>
              <w:top w:val="nil"/>
              <w:left w:val="nil"/>
              <w:bottom w:val="nil"/>
              <w:right w:val="nil"/>
            </w:tcBorders>
            <w:shd w:val="clear" w:color="auto" w:fill="auto"/>
            <w:noWrap/>
            <w:hideMark/>
          </w:tcPr>
          <w:p w14:paraId="6E8481F7" w14:textId="7777777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Cardiac Valve Procedures W CPB Pump W/O Invasive Cardiac Invest, Major Comp</w:t>
            </w:r>
          </w:p>
        </w:tc>
        <w:tc>
          <w:tcPr>
            <w:tcW w:w="567" w:type="dxa"/>
            <w:tcBorders>
              <w:top w:val="nil"/>
              <w:left w:val="nil"/>
              <w:bottom w:val="nil"/>
              <w:right w:val="nil"/>
            </w:tcBorders>
            <w:shd w:val="clear" w:color="auto" w:fill="auto"/>
            <w:noWrap/>
            <w:hideMark/>
          </w:tcPr>
          <w:p w14:paraId="6C7ACD4D" w14:textId="77777777" w:rsidR="00C11EFE" w:rsidRPr="006212A3" w:rsidRDefault="00C11EFE" w:rsidP="00C11EFE">
            <w:pPr>
              <w:jc w:val="right"/>
              <w:rPr>
                <w:rFonts w:asciiTheme="minorHAnsi" w:hAnsiTheme="minorHAnsi" w:cstheme="minorHAnsi"/>
                <w:b/>
                <w:color w:val="000000"/>
                <w:sz w:val="14"/>
                <w:szCs w:val="14"/>
                <w:lang w:val="en-US" w:eastAsia="en-US"/>
              </w:rPr>
            </w:pPr>
            <w:r w:rsidRPr="006212A3">
              <w:rPr>
                <w:rFonts w:asciiTheme="minorHAnsi" w:hAnsiTheme="minorHAnsi" w:cstheme="minorHAnsi"/>
                <w:b/>
                <w:color w:val="000000"/>
                <w:sz w:val="14"/>
                <w:szCs w:val="14"/>
                <w:lang w:val="en-US" w:eastAsia="en-US"/>
              </w:rPr>
              <w:t>16.52</w:t>
            </w:r>
          </w:p>
        </w:tc>
        <w:tc>
          <w:tcPr>
            <w:tcW w:w="851" w:type="dxa"/>
            <w:tcBorders>
              <w:top w:val="nil"/>
              <w:left w:val="nil"/>
              <w:bottom w:val="nil"/>
              <w:right w:val="nil"/>
            </w:tcBorders>
            <w:shd w:val="clear" w:color="auto" w:fill="auto"/>
            <w:noWrap/>
            <w:hideMark/>
          </w:tcPr>
          <w:p w14:paraId="3E22E474"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291</w:t>
            </w:r>
          </w:p>
        </w:tc>
        <w:tc>
          <w:tcPr>
            <w:tcW w:w="954" w:type="dxa"/>
            <w:tcBorders>
              <w:top w:val="nil"/>
              <w:left w:val="nil"/>
              <w:bottom w:val="nil"/>
              <w:right w:val="nil"/>
            </w:tcBorders>
            <w:shd w:val="clear" w:color="auto" w:fill="auto"/>
            <w:noWrap/>
            <w:hideMark/>
          </w:tcPr>
          <w:p w14:paraId="5BA31C1E" w14:textId="7AB8EFDE" w:rsidR="00C11EFE" w:rsidRPr="006212A3"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4,807</w:t>
            </w:r>
          </w:p>
        </w:tc>
        <w:tc>
          <w:tcPr>
            <w:tcW w:w="839" w:type="dxa"/>
            <w:tcBorders>
              <w:top w:val="nil"/>
              <w:left w:val="nil"/>
              <w:bottom w:val="nil"/>
              <w:right w:val="nil"/>
            </w:tcBorders>
            <w:shd w:val="clear" w:color="auto" w:fill="auto"/>
            <w:noWrap/>
            <w:hideMark/>
          </w:tcPr>
          <w:p w14:paraId="1B7A8CE8"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7,096</w:t>
            </w:r>
          </w:p>
        </w:tc>
        <w:tc>
          <w:tcPr>
            <w:tcW w:w="918" w:type="dxa"/>
            <w:tcBorders>
              <w:top w:val="nil"/>
              <w:left w:val="nil"/>
              <w:bottom w:val="nil"/>
              <w:right w:val="nil"/>
            </w:tcBorders>
            <w:shd w:val="clear" w:color="auto" w:fill="auto"/>
            <w:noWrap/>
            <w:hideMark/>
          </w:tcPr>
          <w:p w14:paraId="477C6A3C"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24.4</w:t>
            </w:r>
          </w:p>
        </w:tc>
        <w:tc>
          <w:tcPr>
            <w:tcW w:w="597" w:type="dxa"/>
            <w:tcBorders>
              <w:top w:val="nil"/>
              <w:left w:val="nil"/>
              <w:bottom w:val="nil"/>
              <w:right w:val="nil"/>
            </w:tcBorders>
            <w:shd w:val="clear" w:color="auto" w:fill="auto"/>
            <w:noWrap/>
            <w:hideMark/>
          </w:tcPr>
          <w:p w14:paraId="0B04645B"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0.69</w:t>
            </w:r>
          </w:p>
        </w:tc>
        <w:tc>
          <w:tcPr>
            <w:tcW w:w="575" w:type="dxa"/>
            <w:tcBorders>
              <w:top w:val="nil"/>
              <w:left w:val="nil"/>
              <w:bottom w:val="nil"/>
              <w:right w:val="nil"/>
            </w:tcBorders>
            <w:shd w:val="clear" w:color="auto" w:fill="auto"/>
            <w:noWrap/>
            <w:hideMark/>
          </w:tcPr>
          <w:p w14:paraId="428AA165"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0.0%</w:t>
            </w:r>
          </w:p>
        </w:tc>
        <w:tc>
          <w:tcPr>
            <w:tcW w:w="575" w:type="dxa"/>
            <w:tcBorders>
              <w:top w:val="nil"/>
              <w:left w:val="nil"/>
              <w:bottom w:val="nil"/>
              <w:right w:val="nil"/>
            </w:tcBorders>
            <w:shd w:val="clear" w:color="auto" w:fill="auto"/>
            <w:noWrap/>
            <w:hideMark/>
          </w:tcPr>
          <w:p w14:paraId="5B5E6B38"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0.2%</w:t>
            </w:r>
          </w:p>
        </w:tc>
        <w:tc>
          <w:tcPr>
            <w:tcW w:w="693" w:type="dxa"/>
            <w:tcBorders>
              <w:top w:val="nil"/>
              <w:left w:val="nil"/>
              <w:bottom w:val="nil"/>
              <w:right w:val="nil"/>
            </w:tcBorders>
            <w:shd w:val="clear" w:color="auto" w:fill="auto"/>
            <w:noWrap/>
            <w:hideMark/>
          </w:tcPr>
          <w:p w14:paraId="504420C7"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19.47</w:t>
            </w:r>
          </w:p>
        </w:tc>
        <w:tc>
          <w:tcPr>
            <w:tcW w:w="693" w:type="dxa"/>
            <w:tcBorders>
              <w:top w:val="nil"/>
              <w:left w:val="nil"/>
              <w:bottom w:val="nil"/>
              <w:right w:val="nil"/>
            </w:tcBorders>
            <w:shd w:val="clear" w:color="auto" w:fill="auto"/>
            <w:noWrap/>
            <w:hideMark/>
          </w:tcPr>
          <w:p w14:paraId="60AA5F89"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6 </w:t>
            </w:r>
          </w:p>
        </w:tc>
        <w:tc>
          <w:tcPr>
            <w:tcW w:w="861" w:type="dxa"/>
            <w:tcBorders>
              <w:top w:val="nil"/>
              <w:left w:val="nil"/>
              <w:bottom w:val="nil"/>
              <w:right w:val="nil"/>
            </w:tcBorders>
            <w:shd w:val="clear" w:color="auto" w:fill="auto"/>
            <w:noWrap/>
            <w:hideMark/>
          </w:tcPr>
          <w:p w14:paraId="03200488"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252 </w:t>
            </w:r>
          </w:p>
        </w:tc>
      </w:tr>
      <w:tr w:rsidR="00C11EFE" w:rsidRPr="006212A3" w14:paraId="3CA2F591" w14:textId="77777777" w:rsidTr="00AA5590">
        <w:trPr>
          <w:trHeight w:hRule="exact" w:val="284"/>
        </w:trPr>
        <w:tc>
          <w:tcPr>
            <w:tcW w:w="675" w:type="dxa"/>
            <w:tcBorders>
              <w:top w:val="nil"/>
              <w:left w:val="nil"/>
              <w:bottom w:val="nil"/>
              <w:right w:val="nil"/>
            </w:tcBorders>
            <w:shd w:val="clear" w:color="auto" w:fill="auto"/>
            <w:noWrap/>
            <w:hideMark/>
          </w:tcPr>
          <w:p w14:paraId="73366CC8" w14:textId="7BB0C85E"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Yes</w:t>
            </w:r>
          </w:p>
        </w:tc>
        <w:tc>
          <w:tcPr>
            <w:tcW w:w="709" w:type="dxa"/>
            <w:tcBorders>
              <w:top w:val="nil"/>
              <w:left w:val="nil"/>
              <w:bottom w:val="nil"/>
              <w:right w:val="nil"/>
            </w:tcBorders>
            <w:shd w:val="clear" w:color="auto" w:fill="auto"/>
            <w:noWrap/>
            <w:hideMark/>
          </w:tcPr>
          <w:p w14:paraId="09F82008"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6</w:t>
            </w:r>
          </w:p>
        </w:tc>
        <w:tc>
          <w:tcPr>
            <w:tcW w:w="709" w:type="dxa"/>
            <w:tcBorders>
              <w:top w:val="nil"/>
              <w:left w:val="nil"/>
              <w:bottom w:val="nil"/>
              <w:right w:val="nil"/>
            </w:tcBorders>
            <w:shd w:val="clear" w:color="auto" w:fill="auto"/>
            <w:noWrap/>
            <w:hideMark/>
          </w:tcPr>
          <w:p w14:paraId="0EF191A0" w14:textId="7777777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F01B</w:t>
            </w:r>
          </w:p>
        </w:tc>
        <w:tc>
          <w:tcPr>
            <w:tcW w:w="4961" w:type="dxa"/>
            <w:tcBorders>
              <w:top w:val="nil"/>
              <w:left w:val="nil"/>
              <w:bottom w:val="nil"/>
              <w:right w:val="nil"/>
            </w:tcBorders>
            <w:shd w:val="clear" w:color="auto" w:fill="auto"/>
            <w:noWrap/>
            <w:hideMark/>
          </w:tcPr>
          <w:p w14:paraId="646C5BDF" w14:textId="67A73CE6"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Implantation and Replacement of AICD, Total System, Minor Complexity</w:t>
            </w:r>
          </w:p>
        </w:tc>
        <w:tc>
          <w:tcPr>
            <w:tcW w:w="567" w:type="dxa"/>
            <w:tcBorders>
              <w:top w:val="nil"/>
              <w:left w:val="nil"/>
              <w:bottom w:val="nil"/>
              <w:right w:val="nil"/>
            </w:tcBorders>
            <w:shd w:val="clear" w:color="auto" w:fill="auto"/>
            <w:noWrap/>
            <w:hideMark/>
          </w:tcPr>
          <w:p w14:paraId="2C0D756C" w14:textId="77777777" w:rsidR="00C11EFE" w:rsidRPr="006212A3" w:rsidRDefault="00C11EFE" w:rsidP="00C11EFE">
            <w:pPr>
              <w:jc w:val="right"/>
              <w:rPr>
                <w:rFonts w:asciiTheme="minorHAnsi" w:hAnsiTheme="minorHAnsi" w:cstheme="minorHAnsi"/>
                <w:b/>
                <w:color w:val="000000"/>
                <w:sz w:val="14"/>
                <w:szCs w:val="14"/>
                <w:lang w:val="en-US" w:eastAsia="en-US"/>
              </w:rPr>
            </w:pPr>
            <w:r w:rsidRPr="006212A3">
              <w:rPr>
                <w:rFonts w:asciiTheme="minorHAnsi" w:hAnsiTheme="minorHAnsi" w:cstheme="minorHAnsi"/>
                <w:b/>
                <w:color w:val="000000"/>
                <w:sz w:val="14"/>
                <w:szCs w:val="14"/>
                <w:lang w:val="en-US" w:eastAsia="en-US"/>
              </w:rPr>
              <w:t>16.31</w:t>
            </w:r>
          </w:p>
        </w:tc>
        <w:tc>
          <w:tcPr>
            <w:tcW w:w="851" w:type="dxa"/>
            <w:tcBorders>
              <w:top w:val="nil"/>
              <w:left w:val="nil"/>
              <w:bottom w:val="nil"/>
              <w:right w:val="nil"/>
            </w:tcBorders>
            <w:shd w:val="clear" w:color="auto" w:fill="auto"/>
            <w:noWrap/>
            <w:hideMark/>
          </w:tcPr>
          <w:p w14:paraId="1B5E69EF"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2,363</w:t>
            </w:r>
          </w:p>
        </w:tc>
        <w:tc>
          <w:tcPr>
            <w:tcW w:w="954" w:type="dxa"/>
            <w:tcBorders>
              <w:top w:val="nil"/>
              <w:left w:val="nil"/>
              <w:bottom w:val="nil"/>
              <w:right w:val="nil"/>
            </w:tcBorders>
            <w:shd w:val="clear" w:color="auto" w:fill="auto"/>
            <w:noWrap/>
            <w:hideMark/>
          </w:tcPr>
          <w:p w14:paraId="1012A40F" w14:textId="23D714A2" w:rsidR="00C11EFE" w:rsidRPr="006212A3"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38,541</w:t>
            </w:r>
          </w:p>
        </w:tc>
        <w:tc>
          <w:tcPr>
            <w:tcW w:w="839" w:type="dxa"/>
            <w:tcBorders>
              <w:top w:val="nil"/>
              <w:left w:val="nil"/>
              <w:bottom w:val="nil"/>
              <w:right w:val="nil"/>
            </w:tcBorders>
            <w:shd w:val="clear" w:color="auto" w:fill="auto"/>
            <w:noWrap/>
            <w:hideMark/>
          </w:tcPr>
          <w:p w14:paraId="362C89B3"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5,460</w:t>
            </w:r>
          </w:p>
        </w:tc>
        <w:tc>
          <w:tcPr>
            <w:tcW w:w="918" w:type="dxa"/>
            <w:tcBorders>
              <w:top w:val="nil"/>
              <w:left w:val="nil"/>
              <w:bottom w:val="nil"/>
              <w:right w:val="nil"/>
            </w:tcBorders>
            <w:shd w:val="clear" w:color="auto" w:fill="auto"/>
            <w:noWrap/>
            <w:hideMark/>
          </w:tcPr>
          <w:p w14:paraId="65AB5EFC"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2.3</w:t>
            </w:r>
          </w:p>
        </w:tc>
        <w:tc>
          <w:tcPr>
            <w:tcW w:w="597" w:type="dxa"/>
            <w:tcBorders>
              <w:top w:val="nil"/>
              <w:left w:val="nil"/>
              <w:bottom w:val="nil"/>
              <w:right w:val="nil"/>
            </w:tcBorders>
            <w:shd w:val="clear" w:color="auto" w:fill="auto"/>
            <w:noWrap/>
            <w:hideMark/>
          </w:tcPr>
          <w:p w14:paraId="7A67C3E8"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0.12</w:t>
            </w:r>
          </w:p>
        </w:tc>
        <w:tc>
          <w:tcPr>
            <w:tcW w:w="575" w:type="dxa"/>
            <w:tcBorders>
              <w:top w:val="nil"/>
              <w:left w:val="nil"/>
              <w:bottom w:val="nil"/>
              <w:right w:val="nil"/>
            </w:tcBorders>
            <w:shd w:val="clear" w:color="auto" w:fill="auto"/>
            <w:noWrap/>
            <w:hideMark/>
          </w:tcPr>
          <w:p w14:paraId="79D39DBA"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0.1%</w:t>
            </w:r>
          </w:p>
        </w:tc>
        <w:tc>
          <w:tcPr>
            <w:tcW w:w="575" w:type="dxa"/>
            <w:tcBorders>
              <w:top w:val="nil"/>
              <w:left w:val="nil"/>
              <w:bottom w:val="nil"/>
              <w:right w:val="nil"/>
            </w:tcBorders>
            <w:shd w:val="clear" w:color="auto" w:fill="auto"/>
            <w:noWrap/>
            <w:hideMark/>
          </w:tcPr>
          <w:p w14:paraId="4656F1EA"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1.3%</w:t>
            </w:r>
          </w:p>
        </w:tc>
        <w:tc>
          <w:tcPr>
            <w:tcW w:w="693" w:type="dxa"/>
            <w:tcBorders>
              <w:top w:val="nil"/>
              <w:left w:val="nil"/>
              <w:bottom w:val="nil"/>
              <w:right w:val="nil"/>
            </w:tcBorders>
            <w:shd w:val="clear" w:color="auto" w:fill="auto"/>
            <w:noWrap/>
            <w:hideMark/>
          </w:tcPr>
          <w:p w14:paraId="108B75E7"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22.34</w:t>
            </w:r>
          </w:p>
        </w:tc>
        <w:tc>
          <w:tcPr>
            <w:tcW w:w="693" w:type="dxa"/>
            <w:tcBorders>
              <w:top w:val="nil"/>
              <w:left w:val="nil"/>
              <w:bottom w:val="nil"/>
              <w:right w:val="nil"/>
            </w:tcBorders>
            <w:shd w:val="clear" w:color="auto" w:fill="auto"/>
            <w:noWrap/>
            <w:hideMark/>
          </w:tcPr>
          <w:p w14:paraId="5136D4DE"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5 </w:t>
            </w:r>
          </w:p>
        </w:tc>
        <w:tc>
          <w:tcPr>
            <w:tcW w:w="861" w:type="dxa"/>
            <w:tcBorders>
              <w:top w:val="nil"/>
              <w:left w:val="nil"/>
              <w:bottom w:val="nil"/>
              <w:right w:val="nil"/>
            </w:tcBorders>
            <w:shd w:val="clear" w:color="auto" w:fill="auto"/>
            <w:noWrap/>
            <w:hideMark/>
          </w:tcPr>
          <w:p w14:paraId="3F911A19"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2,448 </w:t>
            </w:r>
          </w:p>
        </w:tc>
      </w:tr>
      <w:tr w:rsidR="00C11EFE" w:rsidRPr="006212A3" w14:paraId="7245EE7F" w14:textId="77777777" w:rsidTr="00AA5590">
        <w:trPr>
          <w:trHeight w:hRule="exact" w:val="284"/>
        </w:trPr>
        <w:tc>
          <w:tcPr>
            <w:tcW w:w="675" w:type="dxa"/>
            <w:tcBorders>
              <w:top w:val="nil"/>
              <w:left w:val="nil"/>
              <w:bottom w:val="nil"/>
              <w:right w:val="nil"/>
            </w:tcBorders>
            <w:shd w:val="clear" w:color="auto" w:fill="auto"/>
            <w:noWrap/>
            <w:hideMark/>
          </w:tcPr>
          <w:p w14:paraId="52B39643" w14:textId="2468C828"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Yes</w:t>
            </w:r>
          </w:p>
        </w:tc>
        <w:tc>
          <w:tcPr>
            <w:tcW w:w="709" w:type="dxa"/>
            <w:tcBorders>
              <w:top w:val="nil"/>
              <w:left w:val="nil"/>
              <w:bottom w:val="nil"/>
              <w:right w:val="nil"/>
            </w:tcBorders>
            <w:shd w:val="clear" w:color="auto" w:fill="auto"/>
            <w:noWrap/>
            <w:hideMark/>
          </w:tcPr>
          <w:p w14:paraId="4E987955"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7</w:t>
            </w:r>
          </w:p>
        </w:tc>
        <w:tc>
          <w:tcPr>
            <w:tcW w:w="709" w:type="dxa"/>
            <w:tcBorders>
              <w:top w:val="nil"/>
              <w:left w:val="nil"/>
              <w:bottom w:val="nil"/>
              <w:right w:val="nil"/>
            </w:tcBorders>
            <w:shd w:val="clear" w:color="auto" w:fill="auto"/>
            <w:noWrap/>
            <w:hideMark/>
          </w:tcPr>
          <w:p w14:paraId="4A73886C" w14:textId="7777777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A06C</w:t>
            </w:r>
          </w:p>
        </w:tc>
        <w:tc>
          <w:tcPr>
            <w:tcW w:w="4961" w:type="dxa"/>
            <w:tcBorders>
              <w:top w:val="nil"/>
              <w:left w:val="nil"/>
              <w:bottom w:val="nil"/>
              <w:right w:val="nil"/>
            </w:tcBorders>
            <w:shd w:val="clear" w:color="auto" w:fill="auto"/>
            <w:noWrap/>
            <w:hideMark/>
          </w:tcPr>
          <w:p w14:paraId="4D456935" w14:textId="651ACB24"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Tracheostomy and/or Ventilation &gt;=96hours, Minor Complexity</w:t>
            </w:r>
          </w:p>
        </w:tc>
        <w:tc>
          <w:tcPr>
            <w:tcW w:w="567" w:type="dxa"/>
            <w:tcBorders>
              <w:top w:val="nil"/>
              <w:left w:val="nil"/>
              <w:bottom w:val="nil"/>
              <w:right w:val="nil"/>
            </w:tcBorders>
            <w:shd w:val="clear" w:color="auto" w:fill="auto"/>
            <w:noWrap/>
            <w:hideMark/>
          </w:tcPr>
          <w:p w14:paraId="7AE1E526" w14:textId="77777777" w:rsidR="00C11EFE" w:rsidRPr="006212A3" w:rsidRDefault="00C11EFE" w:rsidP="00C11EFE">
            <w:pPr>
              <w:jc w:val="right"/>
              <w:rPr>
                <w:rFonts w:asciiTheme="minorHAnsi" w:hAnsiTheme="minorHAnsi" w:cstheme="minorHAnsi"/>
                <w:b/>
                <w:color w:val="000000"/>
                <w:sz w:val="14"/>
                <w:szCs w:val="14"/>
                <w:lang w:val="en-US" w:eastAsia="en-US"/>
              </w:rPr>
            </w:pPr>
            <w:r w:rsidRPr="006212A3">
              <w:rPr>
                <w:rFonts w:asciiTheme="minorHAnsi" w:hAnsiTheme="minorHAnsi" w:cstheme="minorHAnsi"/>
                <w:b/>
                <w:color w:val="000000"/>
                <w:sz w:val="14"/>
                <w:szCs w:val="14"/>
                <w:lang w:val="en-US" w:eastAsia="en-US"/>
              </w:rPr>
              <w:t>16.24</w:t>
            </w:r>
          </w:p>
        </w:tc>
        <w:tc>
          <w:tcPr>
            <w:tcW w:w="851" w:type="dxa"/>
            <w:tcBorders>
              <w:top w:val="nil"/>
              <w:left w:val="nil"/>
              <w:bottom w:val="nil"/>
              <w:right w:val="nil"/>
            </w:tcBorders>
            <w:shd w:val="clear" w:color="auto" w:fill="auto"/>
            <w:noWrap/>
            <w:hideMark/>
          </w:tcPr>
          <w:p w14:paraId="4720ED46"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480</w:t>
            </w:r>
          </w:p>
        </w:tc>
        <w:tc>
          <w:tcPr>
            <w:tcW w:w="954" w:type="dxa"/>
            <w:tcBorders>
              <w:top w:val="nil"/>
              <w:left w:val="nil"/>
              <w:bottom w:val="nil"/>
              <w:right w:val="nil"/>
            </w:tcBorders>
            <w:shd w:val="clear" w:color="auto" w:fill="auto"/>
            <w:noWrap/>
            <w:hideMark/>
          </w:tcPr>
          <w:p w14:paraId="553B63AE" w14:textId="0D3F3D6E" w:rsidR="00C11EFE" w:rsidRPr="006212A3"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7,795</w:t>
            </w:r>
          </w:p>
        </w:tc>
        <w:tc>
          <w:tcPr>
            <w:tcW w:w="839" w:type="dxa"/>
            <w:tcBorders>
              <w:top w:val="nil"/>
              <w:left w:val="nil"/>
              <w:bottom w:val="nil"/>
              <w:right w:val="nil"/>
            </w:tcBorders>
            <w:shd w:val="clear" w:color="auto" w:fill="auto"/>
            <w:noWrap/>
            <w:hideMark/>
          </w:tcPr>
          <w:p w14:paraId="626BEE77"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9,612</w:t>
            </w:r>
          </w:p>
        </w:tc>
        <w:tc>
          <w:tcPr>
            <w:tcW w:w="918" w:type="dxa"/>
            <w:tcBorders>
              <w:top w:val="nil"/>
              <w:left w:val="nil"/>
              <w:bottom w:val="nil"/>
              <w:right w:val="nil"/>
            </w:tcBorders>
            <w:shd w:val="clear" w:color="auto" w:fill="auto"/>
            <w:noWrap/>
            <w:hideMark/>
          </w:tcPr>
          <w:p w14:paraId="61A8266B"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20.0</w:t>
            </w:r>
          </w:p>
        </w:tc>
        <w:tc>
          <w:tcPr>
            <w:tcW w:w="597" w:type="dxa"/>
            <w:tcBorders>
              <w:top w:val="nil"/>
              <w:left w:val="nil"/>
              <w:bottom w:val="nil"/>
              <w:right w:val="nil"/>
            </w:tcBorders>
            <w:shd w:val="clear" w:color="auto" w:fill="auto"/>
            <w:noWrap/>
            <w:hideMark/>
          </w:tcPr>
          <w:p w14:paraId="0AD6B2E3"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0.63</w:t>
            </w:r>
          </w:p>
        </w:tc>
        <w:tc>
          <w:tcPr>
            <w:tcW w:w="575" w:type="dxa"/>
            <w:tcBorders>
              <w:top w:val="nil"/>
              <w:left w:val="nil"/>
              <w:bottom w:val="nil"/>
              <w:right w:val="nil"/>
            </w:tcBorders>
            <w:shd w:val="clear" w:color="auto" w:fill="auto"/>
            <w:noWrap/>
            <w:hideMark/>
          </w:tcPr>
          <w:p w14:paraId="69996409"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0.0%</w:t>
            </w:r>
          </w:p>
        </w:tc>
        <w:tc>
          <w:tcPr>
            <w:tcW w:w="575" w:type="dxa"/>
            <w:tcBorders>
              <w:top w:val="nil"/>
              <w:left w:val="nil"/>
              <w:bottom w:val="nil"/>
              <w:right w:val="nil"/>
            </w:tcBorders>
            <w:shd w:val="clear" w:color="auto" w:fill="auto"/>
            <w:noWrap/>
            <w:hideMark/>
          </w:tcPr>
          <w:p w14:paraId="3C9FA89A"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0.3%</w:t>
            </w:r>
          </w:p>
        </w:tc>
        <w:tc>
          <w:tcPr>
            <w:tcW w:w="693" w:type="dxa"/>
            <w:tcBorders>
              <w:top w:val="nil"/>
              <w:left w:val="nil"/>
              <w:bottom w:val="nil"/>
              <w:right w:val="nil"/>
            </w:tcBorders>
            <w:shd w:val="clear" w:color="auto" w:fill="auto"/>
            <w:noWrap/>
            <w:hideMark/>
          </w:tcPr>
          <w:p w14:paraId="5413F509"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17.37</w:t>
            </w:r>
          </w:p>
        </w:tc>
        <w:tc>
          <w:tcPr>
            <w:tcW w:w="693" w:type="dxa"/>
            <w:tcBorders>
              <w:top w:val="nil"/>
              <w:left w:val="nil"/>
              <w:bottom w:val="nil"/>
              <w:right w:val="nil"/>
            </w:tcBorders>
            <w:shd w:val="clear" w:color="auto" w:fill="auto"/>
            <w:noWrap/>
            <w:hideMark/>
          </w:tcPr>
          <w:p w14:paraId="1CAC32FD"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9 </w:t>
            </w:r>
          </w:p>
        </w:tc>
        <w:tc>
          <w:tcPr>
            <w:tcW w:w="861" w:type="dxa"/>
            <w:tcBorders>
              <w:top w:val="nil"/>
              <w:left w:val="nil"/>
              <w:bottom w:val="nil"/>
              <w:right w:val="nil"/>
            </w:tcBorders>
            <w:shd w:val="clear" w:color="auto" w:fill="auto"/>
            <w:noWrap/>
            <w:hideMark/>
          </w:tcPr>
          <w:p w14:paraId="152CC9C9"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450 </w:t>
            </w:r>
          </w:p>
        </w:tc>
      </w:tr>
      <w:tr w:rsidR="00C11EFE" w:rsidRPr="006212A3" w14:paraId="16843D12" w14:textId="77777777" w:rsidTr="00AA5590">
        <w:trPr>
          <w:trHeight w:hRule="exact" w:val="284"/>
        </w:trPr>
        <w:tc>
          <w:tcPr>
            <w:tcW w:w="675" w:type="dxa"/>
            <w:tcBorders>
              <w:top w:val="nil"/>
              <w:left w:val="nil"/>
              <w:bottom w:val="nil"/>
              <w:right w:val="nil"/>
            </w:tcBorders>
            <w:shd w:val="clear" w:color="auto" w:fill="auto"/>
            <w:noWrap/>
            <w:hideMark/>
          </w:tcPr>
          <w:p w14:paraId="7FDB6D1A" w14:textId="684C9D0B"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No</w:t>
            </w:r>
          </w:p>
        </w:tc>
        <w:tc>
          <w:tcPr>
            <w:tcW w:w="709" w:type="dxa"/>
            <w:tcBorders>
              <w:top w:val="nil"/>
              <w:left w:val="nil"/>
              <w:bottom w:val="nil"/>
              <w:right w:val="nil"/>
            </w:tcBorders>
            <w:shd w:val="clear" w:color="auto" w:fill="auto"/>
            <w:noWrap/>
            <w:hideMark/>
          </w:tcPr>
          <w:p w14:paraId="1FF57F19"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8</w:t>
            </w:r>
          </w:p>
        </w:tc>
        <w:tc>
          <w:tcPr>
            <w:tcW w:w="709" w:type="dxa"/>
            <w:tcBorders>
              <w:top w:val="nil"/>
              <w:left w:val="nil"/>
              <w:bottom w:val="nil"/>
              <w:right w:val="nil"/>
            </w:tcBorders>
            <w:shd w:val="clear" w:color="auto" w:fill="auto"/>
            <w:noWrap/>
            <w:hideMark/>
          </w:tcPr>
          <w:p w14:paraId="2819B747" w14:textId="7777777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P64A</w:t>
            </w:r>
          </w:p>
        </w:tc>
        <w:tc>
          <w:tcPr>
            <w:tcW w:w="4961" w:type="dxa"/>
            <w:tcBorders>
              <w:top w:val="nil"/>
              <w:left w:val="nil"/>
              <w:bottom w:val="nil"/>
              <w:right w:val="nil"/>
            </w:tcBorders>
            <w:shd w:val="clear" w:color="auto" w:fill="auto"/>
            <w:noWrap/>
            <w:hideMark/>
          </w:tcPr>
          <w:p w14:paraId="7D98E66C" w14:textId="7777777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Neonate, </w:t>
            </w:r>
            <w:proofErr w:type="spellStart"/>
            <w:r w:rsidRPr="006212A3">
              <w:rPr>
                <w:rFonts w:asciiTheme="minorHAnsi" w:hAnsiTheme="minorHAnsi" w:cstheme="minorHAnsi"/>
                <w:color w:val="000000"/>
                <w:sz w:val="14"/>
                <w:szCs w:val="14"/>
                <w:lang w:val="en-US" w:eastAsia="en-US"/>
              </w:rPr>
              <w:t>AdmWt</w:t>
            </w:r>
            <w:proofErr w:type="spellEnd"/>
            <w:r w:rsidRPr="006212A3">
              <w:rPr>
                <w:rFonts w:asciiTheme="minorHAnsi" w:hAnsiTheme="minorHAnsi" w:cstheme="minorHAnsi"/>
                <w:color w:val="000000"/>
                <w:sz w:val="14"/>
                <w:szCs w:val="14"/>
                <w:lang w:val="en-US" w:eastAsia="en-US"/>
              </w:rPr>
              <w:t xml:space="preserve"> 1250-1499g W/O Significant OR Proc/Vent&gt;=96hrs, Major Complexity</w:t>
            </w:r>
          </w:p>
        </w:tc>
        <w:tc>
          <w:tcPr>
            <w:tcW w:w="567" w:type="dxa"/>
            <w:tcBorders>
              <w:top w:val="nil"/>
              <w:left w:val="nil"/>
              <w:bottom w:val="nil"/>
              <w:right w:val="nil"/>
            </w:tcBorders>
            <w:shd w:val="clear" w:color="auto" w:fill="auto"/>
            <w:noWrap/>
            <w:hideMark/>
          </w:tcPr>
          <w:p w14:paraId="6DCCAFF2" w14:textId="77777777" w:rsidR="00C11EFE" w:rsidRPr="006212A3" w:rsidRDefault="00C11EFE" w:rsidP="00C11EFE">
            <w:pPr>
              <w:jc w:val="right"/>
              <w:rPr>
                <w:rFonts w:asciiTheme="minorHAnsi" w:hAnsiTheme="minorHAnsi" w:cstheme="minorHAnsi"/>
                <w:b/>
                <w:color w:val="000000"/>
                <w:sz w:val="14"/>
                <w:szCs w:val="14"/>
                <w:lang w:val="en-US" w:eastAsia="en-US"/>
              </w:rPr>
            </w:pPr>
            <w:r w:rsidRPr="006212A3">
              <w:rPr>
                <w:rFonts w:asciiTheme="minorHAnsi" w:hAnsiTheme="minorHAnsi" w:cstheme="minorHAnsi"/>
                <w:b/>
                <w:color w:val="000000"/>
                <w:sz w:val="14"/>
                <w:szCs w:val="14"/>
                <w:lang w:val="en-US" w:eastAsia="en-US"/>
              </w:rPr>
              <w:t>16.00</w:t>
            </w:r>
          </w:p>
        </w:tc>
        <w:tc>
          <w:tcPr>
            <w:tcW w:w="851" w:type="dxa"/>
            <w:tcBorders>
              <w:top w:val="nil"/>
              <w:left w:val="nil"/>
              <w:bottom w:val="nil"/>
              <w:right w:val="nil"/>
            </w:tcBorders>
            <w:shd w:val="clear" w:color="auto" w:fill="auto"/>
            <w:noWrap/>
            <w:hideMark/>
          </w:tcPr>
          <w:p w14:paraId="6086DAB6"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28</w:t>
            </w:r>
          </w:p>
        </w:tc>
        <w:tc>
          <w:tcPr>
            <w:tcW w:w="954" w:type="dxa"/>
            <w:tcBorders>
              <w:top w:val="nil"/>
              <w:left w:val="nil"/>
              <w:bottom w:val="nil"/>
              <w:right w:val="nil"/>
            </w:tcBorders>
            <w:shd w:val="clear" w:color="auto" w:fill="auto"/>
            <w:noWrap/>
            <w:hideMark/>
          </w:tcPr>
          <w:p w14:paraId="30816570" w14:textId="4E246FBD" w:rsidR="00C11EFE" w:rsidRPr="006212A3"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448</w:t>
            </w:r>
          </w:p>
        </w:tc>
        <w:tc>
          <w:tcPr>
            <w:tcW w:w="839" w:type="dxa"/>
            <w:tcBorders>
              <w:top w:val="nil"/>
              <w:left w:val="nil"/>
              <w:bottom w:val="nil"/>
              <w:right w:val="nil"/>
            </w:tcBorders>
            <w:shd w:val="clear" w:color="auto" w:fill="auto"/>
            <w:noWrap/>
            <w:hideMark/>
          </w:tcPr>
          <w:p w14:paraId="6F1D540C"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1,177</w:t>
            </w:r>
          </w:p>
        </w:tc>
        <w:tc>
          <w:tcPr>
            <w:tcW w:w="918" w:type="dxa"/>
            <w:tcBorders>
              <w:top w:val="nil"/>
              <w:left w:val="nil"/>
              <w:bottom w:val="nil"/>
              <w:right w:val="nil"/>
            </w:tcBorders>
            <w:shd w:val="clear" w:color="auto" w:fill="auto"/>
            <w:noWrap/>
            <w:hideMark/>
          </w:tcPr>
          <w:p w14:paraId="532E52CF"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42.6</w:t>
            </w:r>
          </w:p>
        </w:tc>
        <w:tc>
          <w:tcPr>
            <w:tcW w:w="597" w:type="dxa"/>
            <w:tcBorders>
              <w:top w:val="nil"/>
              <w:left w:val="nil"/>
              <w:bottom w:val="nil"/>
              <w:right w:val="nil"/>
            </w:tcBorders>
            <w:shd w:val="clear" w:color="auto" w:fill="auto"/>
            <w:noWrap/>
            <w:hideMark/>
          </w:tcPr>
          <w:p w14:paraId="332BB22E"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1.82</w:t>
            </w:r>
          </w:p>
        </w:tc>
        <w:tc>
          <w:tcPr>
            <w:tcW w:w="575" w:type="dxa"/>
            <w:tcBorders>
              <w:top w:val="nil"/>
              <w:left w:val="nil"/>
              <w:bottom w:val="nil"/>
              <w:right w:val="nil"/>
            </w:tcBorders>
            <w:shd w:val="clear" w:color="auto" w:fill="auto"/>
            <w:noWrap/>
            <w:hideMark/>
          </w:tcPr>
          <w:p w14:paraId="2E5F6687"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0.0%</w:t>
            </w:r>
          </w:p>
        </w:tc>
        <w:tc>
          <w:tcPr>
            <w:tcW w:w="575" w:type="dxa"/>
            <w:tcBorders>
              <w:top w:val="nil"/>
              <w:left w:val="nil"/>
              <w:bottom w:val="nil"/>
              <w:right w:val="nil"/>
            </w:tcBorders>
            <w:shd w:val="clear" w:color="auto" w:fill="auto"/>
            <w:noWrap/>
            <w:hideMark/>
          </w:tcPr>
          <w:p w14:paraId="1CED1E64"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0.0%</w:t>
            </w:r>
          </w:p>
        </w:tc>
        <w:tc>
          <w:tcPr>
            <w:tcW w:w="693" w:type="dxa"/>
            <w:tcBorders>
              <w:top w:val="nil"/>
              <w:left w:val="nil"/>
              <w:bottom w:val="nil"/>
              <w:right w:val="nil"/>
            </w:tcBorders>
            <w:shd w:val="clear" w:color="auto" w:fill="auto"/>
            <w:noWrap/>
            <w:hideMark/>
          </w:tcPr>
          <w:p w14:paraId="4FB39188"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5.89</w:t>
            </w:r>
          </w:p>
        </w:tc>
        <w:tc>
          <w:tcPr>
            <w:tcW w:w="693" w:type="dxa"/>
            <w:tcBorders>
              <w:top w:val="nil"/>
              <w:left w:val="nil"/>
              <w:bottom w:val="nil"/>
              <w:right w:val="nil"/>
            </w:tcBorders>
            <w:shd w:val="clear" w:color="auto" w:fill="auto"/>
            <w:noWrap/>
            <w:hideMark/>
          </w:tcPr>
          <w:p w14:paraId="36E2F8E1"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92 </w:t>
            </w:r>
          </w:p>
        </w:tc>
        <w:tc>
          <w:tcPr>
            <w:tcW w:w="861" w:type="dxa"/>
            <w:tcBorders>
              <w:top w:val="nil"/>
              <w:left w:val="nil"/>
              <w:bottom w:val="nil"/>
              <w:right w:val="nil"/>
            </w:tcBorders>
            <w:shd w:val="clear" w:color="auto" w:fill="auto"/>
            <w:noWrap/>
            <w:hideMark/>
          </w:tcPr>
          <w:p w14:paraId="3C72ADD9"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22 </w:t>
            </w:r>
          </w:p>
        </w:tc>
      </w:tr>
      <w:tr w:rsidR="00C11EFE" w:rsidRPr="006212A3" w14:paraId="14705256" w14:textId="77777777" w:rsidTr="00AA5590">
        <w:trPr>
          <w:trHeight w:hRule="exact" w:val="284"/>
        </w:trPr>
        <w:tc>
          <w:tcPr>
            <w:tcW w:w="675" w:type="dxa"/>
            <w:tcBorders>
              <w:top w:val="nil"/>
              <w:left w:val="nil"/>
              <w:bottom w:val="nil"/>
              <w:right w:val="nil"/>
            </w:tcBorders>
            <w:shd w:val="clear" w:color="auto" w:fill="auto"/>
            <w:noWrap/>
            <w:hideMark/>
          </w:tcPr>
          <w:p w14:paraId="6A2789D8" w14:textId="79BDDB82"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Yes</w:t>
            </w:r>
          </w:p>
        </w:tc>
        <w:tc>
          <w:tcPr>
            <w:tcW w:w="709" w:type="dxa"/>
            <w:tcBorders>
              <w:top w:val="nil"/>
              <w:left w:val="nil"/>
              <w:bottom w:val="nil"/>
              <w:right w:val="nil"/>
            </w:tcBorders>
            <w:shd w:val="clear" w:color="auto" w:fill="auto"/>
            <w:noWrap/>
            <w:hideMark/>
          </w:tcPr>
          <w:p w14:paraId="09E0070D"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9</w:t>
            </w:r>
          </w:p>
        </w:tc>
        <w:tc>
          <w:tcPr>
            <w:tcW w:w="709" w:type="dxa"/>
            <w:tcBorders>
              <w:top w:val="nil"/>
              <w:left w:val="nil"/>
              <w:bottom w:val="nil"/>
              <w:right w:val="nil"/>
            </w:tcBorders>
            <w:shd w:val="clear" w:color="auto" w:fill="auto"/>
            <w:noWrap/>
            <w:hideMark/>
          </w:tcPr>
          <w:p w14:paraId="727B408E" w14:textId="7777777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B60A</w:t>
            </w:r>
          </w:p>
        </w:tc>
        <w:tc>
          <w:tcPr>
            <w:tcW w:w="4961" w:type="dxa"/>
            <w:tcBorders>
              <w:top w:val="nil"/>
              <w:left w:val="nil"/>
              <w:bottom w:val="nil"/>
              <w:right w:val="nil"/>
            </w:tcBorders>
            <w:shd w:val="clear" w:color="auto" w:fill="auto"/>
            <w:noWrap/>
            <w:hideMark/>
          </w:tcPr>
          <w:p w14:paraId="7D6888AF" w14:textId="7777777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Acute Paraplegia and Quadriplegia W or W/O OR Procedures, Major Complexity</w:t>
            </w:r>
          </w:p>
        </w:tc>
        <w:tc>
          <w:tcPr>
            <w:tcW w:w="567" w:type="dxa"/>
            <w:tcBorders>
              <w:top w:val="nil"/>
              <w:left w:val="nil"/>
              <w:bottom w:val="nil"/>
              <w:right w:val="nil"/>
            </w:tcBorders>
            <w:shd w:val="clear" w:color="auto" w:fill="auto"/>
            <w:noWrap/>
            <w:hideMark/>
          </w:tcPr>
          <w:p w14:paraId="2E50A094" w14:textId="77777777" w:rsidR="00C11EFE" w:rsidRPr="006212A3" w:rsidRDefault="00C11EFE" w:rsidP="00C11EFE">
            <w:pPr>
              <w:jc w:val="right"/>
              <w:rPr>
                <w:rFonts w:asciiTheme="minorHAnsi" w:hAnsiTheme="minorHAnsi" w:cstheme="minorHAnsi"/>
                <w:b/>
                <w:color w:val="000000"/>
                <w:sz w:val="14"/>
                <w:szCs w:val="14"/>
                <w:lang w:val="en-US" w:eastAsia="en-US"/>
              </w:rPr>
            </w:pPr>
            <w:r w:rsidRPr="006212A3">
              <w:rPr>
                <w:rFonts w:asciiTheme="minorHAnsi" w:hAnsiTheme="minorHAnsi" w:cstheme="minorHAnsi"/>
                <w:b/>
                <w:color w:val="000000"/>
                <w:sz w:val="14"/>
                <w:szCs w:val="14"/>
                <w:lang w:val="en-US" w:eastAsia="en-US"/>
              </w:rPr>
              <w:t>15.55</w:t>
            </w:r>
          </w:p>
        </w:tc>
        <w:tc>
          <w:tcPr>
            <w:tcW w:w="851" w:type="dxa"/>
            <w:tcBorders>
              <w:top w:val="nil"/>
              <w:left w:val="nil"/>
              <w:bottom w:val="nil"/>
              <w:right w:val="nil"/>
            </w:tcBorders>
            <w:shd w:val="clear" w:color="auto" w:fill="auto"/>
            <w:noWrap/>
            <w:hideMark/>
          </w:tcPr>
          <w:p w14:paraId="662D231B"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10</w:t>
            </w:r>
          </w:p>
        </w:tc>
        <w:tc>
          <w:tcPr>
            <w:tcW w:w="954" w:type="dxa"/>
            <w:tcBorders>
              <w:top w:val="nil"/>
              <w:left w:val="nil"/>
              <w:bottom w:val="nil"/>
              <w:right w:val="nil"/>
            </w:tcBorders>
            <w:shd w:val="clear" w:color="auto" w:fill="auto"/>
            <w:noWrap/>
            <w:hideMark/>
          </w:tcPr>
          <w:p w14:paraId="6CA8BEBD" w14:textId="66DF8A23" w:rsidR="00C11EFE" w:rsidRPr="006212A3"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156</w:t>
            </w:r>
          </w:p>
        </w:tc>
        <w:tc>
          <w:tcPr>
            <w:tcW w:w="839" w:type="dxa"/>
            <w:tcBorders>
              <w:top w:val="nil"/>
              <w:left w:val="nil"/>
              <w:bottom w:val="nil"/>
              <w:right w:val="nil"/>
            </w:tcBorders>
            <w:shd w:val="clear" w:color="auto" w:fill="auto"/>
            <w:noWrap/>
            <w:hideMark/>
          </w:tcPr>
          <w:p w14:paraId="20AA4323"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472</w:t>
            </w:r>
          </w:p>
        </w:tc>
        <w:tc>
          <w:tcPr>
            <w:tcW w:w="918" w:type="dxa"/>
            <w:tcBorders>
              <w:top w:val="nil"/>
              <w:left w:val="nil"/>
              <w:bottom w:val="nil"/>
              <w:right w:val="nil"/>
            </w:tcBorders>
            <w:shd w:val="clear" w:color="auto" w:fill="auto"/>
            <w:noWrap/>
            <w:hideMark/>
          </w:tcPr>
          <w:p w14:paraId="3EDE4D89"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49.5</w:t>
            </w:r>
          </w:p>
        </w:tc>
        <w:tc>
          <w:tcPr>
            <w:tcW w:w="597" w:type="dxa"/>
            <w:tcBorders>
              <w:top w:val="nil"/>
              <w:left w:val="nil"/>
              <w:bottom w:val="nil"/>
              <w:right w:val="nil"/>
            </w:tcBorders>
            <w:shd w:val="clear" w:color="auto" w:fill="auto"/>
            <w:noWrap/>
            <w:hideMark/>
          </w:tcPr>
          <w:p w14:paraId="715166F8"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1.86</w:t>
            </w:r>
          </w:p>
        </w:tc>
        <w:tc>
          <w:tcPr>
            <w:tcW w:w="575" w:type="dxa"/>
            <w:tcBorders>
              <w:top w:val="nil"/>
              <w:left w:val="nil"/>
              <w:bottom w:val="nil"/>
              <w:right w:val="nil"/>
            </w:tcBorders>
            <w:shd w:val="clear" w:color="auto" w:fill="auto"/>
            <w:noWrap/>
            <w:hideMark/>
          </w:tcPr>
          <w:p w14:paraId="5AE82F01"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0.0%</w:t>
            </w:r>
          </w:p>
        </w:tc>
        <w:tc>
          <w:tcPr>
            <w:tcW w:w="575" w:type="dxa"/>
            <w:tcBorders>
              <w:top w:val="nil"/>
              <w:left w:val="nil"/>
              <w:bottom w:val="nil"/>
              <w:right w:val="nil"/>
            </w:tcBorders>
            <w:shd w:val="clear" w:color="auto" w:fill="auto"/>
            <w:noWrap/>
            <w:hideMark/>
          </w:tcPr>
          <w:p w14:paraId="18601D65"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0.0%</w:t>
            </w:r>
          </w:p>
        </w:tc>
        <w:tc>
          <w:tcPr>
            <w:tcW w:w="693" w:type="dxa"/>
            <w:tcBorders>
              <w:top w:val="nil"/>
              <w:left w:val="nil"/>
              <w:bottom w:val="nil"/>
              <w:right w:val="nil"/>
            </w:tcBorders>
            <w:shd w:val="clear" w:color="auto" w:fill="auto"/>
            <w:noWrap/>
            <w:hideMark/>
          </w:tcPr>
          <w:p w14:paraId="3A5471FA"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18.97</w:t>
            </w:r>
          </w:p>
        </w:tc>
        <w:tc>
          <w:tcPr>
            <w:tcW w:w="693" w:type="dxa"/>
            <w:tcBorders>
              <w:top w:val="nil"/>
              <w:left w:val="nil"/>
              <w:bottom w:val="nil"/>
              <w:right w:val="nil"/>
            </w:tcBorders>
            <w:shd w:val="clear" w:color="auto" w:fill="auto"/>
            <w:noWrap/>
            <w:hideMark/>
          </w:tcPr>
          <w:p w14:paraId="54A545D5"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7 </w:t>
            </w:r>
          </w:p>
        </w:tc>
        <w:tc>
          <w:tcPr>
            <w:tcW w:w="861" w:type="dxa"/>
            <w:tcBorders>
              <w:top w:val="nil"/>
              <w:left w:val="nil"/>
              <w:bottom w:val="nil"/>
              <w:right w:val="nil"/>
            </w:tcBorders>
            <w:shd w:val="clear" w:color="auto" w:fill="auto"/>
            <w:noWrap/>
            <w:hideMark/>
          </w:tcPr>
          <w:p w14:paraId="6374D731"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11 </w:t>
            </w:r>
          </w:p>
        </w:tc>
      </w:tr>
      <w:tr w:rsidR="00C11EFE" w:rsidRPr="006212A3" w14:paraId="0DB8AEF3" w14:textId="77777777" w:rsidTr="00AA5590">
        <w:trPr>
          <w:trHeight w:hRule="exact" w:val="284"/>
        </w:trPr>
        <w:tc>
          <w:tcPr>
            <w:tcW w:w="675" w:type="dxa"/>
            <w:tcBorders>
              <w:top w:val="nil"/>
              <w:left w:val="nil"/>
              <w:bottom w:val="nil"/>
              <w:right w:val="nil"/>
            </w:tcBorders>
            <w:shd w:val="clear" w:color="auto" w:fill="auto"/>
            <w:noWrap/>
            <w:hideMark/>
          </w:tcPr>
          <w:p w14:paraId="3413776C" w14:textId="53F3154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Yes</w:t>
            </w:r>
          </w:p>
        </w:tc>
        <w:tc>
          <w:tcPr>
            <w:tcW w:w="709" w:type="dxa"/>
            <w:tcBorders>
              <w:top w:val="nil"/>
              <w:left w:val="nil"/>
              <w:bottom w:val="nil"/>
              <w:right w:val="nil"/>
            </w:tcBorders>
            <w:shd w:val="clear" w:color="auto" w:fill="auto"/>
            <w:noWrap/>
            <w:hideMark/>
          </w:tcPr>
          <w:p w14:paraId="69D93D54"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10</w:t>
            </w:r>
          </w:p>
        </w:tc>
        <w:tc>
          <w:tcPr>
            <w:tcW w:w="709" w:type="dxa"/>
            <w:tcBorders>
              <w:top w:val="nil"/>
              <w:left w:val="nil"/>
              <w:bottom w:val="nil"/>
              <w:right w:val="nil"/>
            </w:tcBorders>
            <w:shd w:val="clear" w:color="auto" w:fill="auto"/>
            <w:noWrap/>
            <w:hideMark/>
          </w:tcPr>
          <w:p w14:paraId="4E12AA37" w14:textId="7777777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I09A</w:t>
            </w:r>
          </w:p>
        </w:tc>
        <w:tc>
          <w:tcPr>
            <w:tcW w:w="4961" w:type="dxa"/>
            <w:tcBorders>
              <w:top w:val="nil"/>
              <w:left w:val="nil"/>
              <w:bottom w:val="nil"/>
              <w:right w:val="nil"/>
            </w:tcBorders>
            <w:shd w:val="clear" w:color="auto" w:fill="auto"/>
            <w:noWrap/>
            <w:hideMark/>
          </w:tcPr>
          <w:p w14:paraId="3D18CCA2" w14:textId="7777777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Spinal Fusion, Major Complexity</w:t>
            </w:r>
          </w:p>
        </w:tc>
        <w:tc>
          <w:tcPr>
            <w:tcW w:w="567" w:type="dxa"/>
            <w:tcBorders>
              <w:top w:val="nil"/>
              <w:left w:val="nil"/>
              <w:bottom w:val="nil"/>
              <w:right w:val="nil"/>
            </w:tcBorders>
            <w:shd w:val="clear" w:color="auto" w:fill="auto"/>
            <w:noWrap/>
            <w:hideMark/>
          </w:tcPr>
          <w:p w14:paraId="7B6F35B8" w14:textId="77777777" w:rsidR="00C11EFE" w:rsidRPr="006212A3" w:rsidRDefault="00C11EFE" w:rsidP="00C11EFE">
            <w:pPr>
              <w:jc w:val="right"/>
              <w:rPr>
                <w:rFonts w:asciiTheme="minorHAnsi" w:hAnsiTheme="minorHAnsi" w:cstheme="minorHAnsi"/>
                <w:b/>
                <w:color w:val="000000"/>
                <w:sz w:val="14"/>
                <w:szCs w:val="14"/>
                <w:lang w:val="en-US" w:eastAsia="en-US"/>
              </w:rPr>
            </w:pPr>
            <w:r w:rsidRPr="006212A3">
              <w:rPr>
                <w:rFonts w:asciiTheme="minorHAnsi" w:hAnsiTheme="minorHAnsi" w:cstheme="minorHAnsi"/>
                <w:b/>
                <w:color w:val="000000"/>
                <w:sz w:val="14"/>
                <w:szCs w:val="14"/>
                <w:lang w:val="en-US" w:eastAsia="en-US"/>
              </w:rPr>
              <w:t>14.72</w:t>
            </w:r>
          </w:p>
        </w:tc>
        <w:tc>
          <w:tcPr>
            <w:tcW w:w="851" w:type="dxa"/>
            <w:tcBorders>
              <w:top w:val="nil"/>
              <w:left w:val="nil"/>
              <w:bottom w:val="nil"/>
              <w:right w:val="nil"/>
            </w:tcBorders>
            <w:shd w:val="clear" w:color="auto" w:fill="auto"/>
            <w:noWrap/>
            <w:hideMark/>
          </w:tcPr>
          <w:p w14:paraId="746CCFFF"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425</w:t>
            </w:r>
          </w:p>
        </w:tc>
        <w:tc>
          <w:tcPr>
            <w:tcW w:w="954" w:type="dxa"/>
            <w:tcBorders>
              <w:top w:val="nil"/>
              <w:left w:val="nil"/>
              <w:bottom w:val="nil"/>
              <w:right w:val="nil"/>
            </w:tcBorders>
            <w:shd w:val="clear" w:color="auto" w:fill="auto"/>
            <w:noWrap/>
            <w:hideMark/>
          </w:tcPr>
          <w:p w14:paraId="0D746918" w14:textId="28C350CF" w:rsidR="00C11EFE" w:rsidRPr="006212A3"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6,256</w:t>
            </w:r>
          </w:p>
        </w:tc>
        <w:tc>
          <w:tcPr>
            <w:tcW w:w="839" w:type="dxa"/>
            <w:tcBorders>
              <w:top w:val="nil"/>
              <w:left w:val="nil"/>
              <w:bottom w:val="nil"/>
              <w:right w:val="nil"/>
            </w:tcBorders>
            <w:shd w:val="clear" w:color="auto" w:fill="auto"/>
            <w:noWrap/>
            <w:hideMark/>
          </w:tcPr>
          <w:p w14:paraId="45F07025"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8,477</w:t>
            </w:r>
          </w:p>
        </w:tc>
        <w:tc>
          <w:tcPr>
            <w:tcW w:w="918" w:type="dxa"/>
            <w:tcBorders>
              <w:top w:val="nil"/>
              <w:left w:val="nil"/>
              <w:bottom w:val="nil"/>
              <w:right w:val="nil"/>
            </w:tcBorders>
            <w:shd w:val="clear" w:color="auto" w:fill="auto"/>
            <w:noWrap/>
            <w:hideMark/>
          </w:tcPr>
          <w:p w14:paraId="340B1EA6"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20.0</w:t>
            </w:r>
          </w:p>
        </w:tc>
        <w:tc>
          <w:tcPr>
            <w:tcW w:w="597" w:type="dxa"/>
            <w:tcBorders>
              <w:top w:val="nil"/>
              <w:left w:val="nil"/>
              <w:bottom w:val="nil"/>
              <w:right w:val="nil"/>
            </w:tcBorders>
            <w:shd w:val="clear" w:color="auto" w:fill="auto"/>
            <w:noWrap/>
            <w:hideMark/>
          </w:tcPr>
          <w:p w14:paraId="29A38CAA"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0.50</w:t>
            </w:r>
          </w:p>
        </w:tc>
        <w:tc>
          <w:tcPr>
            <w:tcW w:w="575" w:type="dxa"/>
            <w:tcBorders>
              <w:top w:val="nil"/>
              <w:left w:val="nil"/>
              <w:bottom w:val="nil"/>
              <w:right w:val="nil"/>
            </w:tcBorders>
            <w:shd w:val="clear" w:color="auto" w:fill="auto"/>
            <w:noWrap/>
            <w:hideMark/>
          </w:tcPr>
          <w:p w14:paraId="02581EBE"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0.0%</w:t>
            </w:r>
          </w:p>
        </w:tc>
        <w:tc>
          <w:tcPr>
            <w:tcW w:w="575" w:type="dxa"/>
            <w:tcBorders>
              <w:top w:val="nil"/>
              <w:left w:val="nil"/>
              <w:bottom w:val="nil"/>
              <w:right w:val="nil"/>
            </w:tcBorders>
            <w:shd w:val="clear" w:color="auto" w:fill="auto"/>
            <w:noWrap/>
            <w:hideMark/>
          </w:tcPr>
          <w:p w14:paraId="09A00F5B"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0.2%</w:t>
            </w:r>
          </w:p>
        </w:tc>
        <w:tc>
          <w:tcPr>
            <w:tcW w:w="693" w:type="dxa"/>
            <w:tcBorders>
              <w:top w:val="nil"/>
              <w:left w:val="nil"/>
              <w:bottom w:val="nil"/>
              <w:right w:val="nil"/>
            </w:tcBorders>
            <w:shd w:val="clear" w:color="auto" w:fill="auto"/>
            <w:noWrap/>
            <w:hideMark/>
          </w:tcPr>
          <w:p w14:paraId="5C79CF9B"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16.24</w:t>
            </w:r>
          </w:p>
        </w:tc>
        <w:tc>
          <w:tcPr>
            <w:tcW w:w="693" w:type="dxa"/>
            <w:tcBorders>
              <w:top w:val="nil"/>
              <w:left w:val="nil"/>
              <w:bottom w:val="nil"/>
              <w:right w:val="nil"/>
            </w:tcBorders>
            <w:shd w:val="clear" w:color="auto" w:fill="auto"/>
            <w:noWrap/>
            <w:hideMark/>
          </w:tcPr>
          <w:p w14:paraId="481E4AF6"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10 </w:t>
            </w:r>
          </w:p>
        </w:tc>
        <w:tc>
          <w:tcPr>
            <w:tcW w:w="861" w:type="dxa"/>
            <w:tcBorders>
              <w:top w:val="nil"/>
              <w:left w:val="nil"/>
              <w:bottom w:val="nil"/>
              <w:right w:val="nil"/>
            </w:tcBorders>
            <w:shd w:val="clear" w:color="auto" w:fill="auto"/>
            <w:noWrap/>
            <w:hideMark/>
          </w:tcPr>
          <w:p w14:paraId="4D2E8BDE"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562 </w:t>
            </w:r>
          </w:p>
        </w:tc>
      </w:tr>
      <w:tr w:rsidR="00C11EFE" w:rsidRPr="006212A3" w14:paraId="5F87B636" w14:textId="77777777" w:rsidTr="00AA5590">
        <w:trPr>
          <w:trHeight w:hRule="exact" w:val="284"/>
        </w:trPr>
        <w:tc>
          <w:tcPr>
            <w:tcW w:w="675" w:type="dxa"/>
            <w:tcBorders>
              <w:top w:val="nil"/>
              <w:left w:val="nil"/>
              <w:bottom w:val="nil"/>
              <w:right w:val="nil"/>
            </w:tcBorders>
            <w:shd w:val="clear" w:color="auto" w:fill="auto"/>
            <w:noWrap/>
            <w:hideMark/>
          </w:tcPr>
          <w:p w14:paraId="011C57F4" w14:textId="6866AC03"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No</w:t>
            </w:r>
          </w:p>
        </w:tc>
        <w:tc>
          <w:tcPr>
            <w:tcW w:w="709" w:type="dxa"/>
            <w:tcBorders>
              <w:top w:val="nil"/>
              <w:left w:val="nil"/>
              <w:bottom w:val="nil"/>
              <w:right w:val="nil"/>
            </w:tcBorders>
            <w:shd w:val="clear" w:color="auto" w:fill="auto"/>
            <w:noWrap/>
            <w:hideMark/>
          </w:tcPr>
          <w:p w14:paraId="3766DD8B"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11</w:t>
            </w:r>
          </w:p>
        </w:tc>
        <w:tc>
          <w:tcPr>
            <w:tcW w:w="709" w:type="dxa"/>
            <w:tcBorders>
              <w:top w:val="nil"/>
              <w:left w:val="nil"/>
              <w:bottom w:val="nil"/>
              <w:right w:val="nil"/>
            </w:tcBorders>
            <w:shd w:val="clear" w:color="auto" w:fill="auto"/>
            <w:noWrap/>
            <w:hideMark/>
          </w:tcPr>
          <w:p w14:paraId="004DF64B" w14:textId="7777777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P03B</w:t>
            </w:r>
          </w:p>
        </w:tc>
        <w:tc>
          <w:tcPr>
            <w:tcW w:w="4961" w:type="dxa"/>
            <w:tcBorders>
              <w:top w:val="nil"/>
              <w:left w:val="nil"/>
              <w:bottom w:val="nil"/>
              <w:right w:val="nil"/>
            </w:tcBorders>
            <w:shd w:val="clear" w:color="auto" w:fill="auto"/>
            <w:noWrap/>
            <w:hideMark/>
          </w:tcPr>
          <w:p w14:paraId="49EE3D30" w14:textId="7777777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Neonate, </w:t>
            </w:r>
            <w:proofErr w:type="spellStart"/>
            <w:r w:rsidRPr="006212A3">
              <w:rPr>
                <w:rFonts w:asciiTheme="minorHAnsi" w:hAnsiTheme="minorHAnsi" w:cstheme="minorHAnsi"/>
                <w:color w:val="000000"/>
                <w:sz w:val="14"/>
                <w:szCs w:val="14"/>
                <w:lang w:val="en-US" w:eastAsia="en-US"/>
              </w:rPr>
              <w:t>AdmWt</w:t>
            </w:r>
            <w:proofErr w:type="spellEnd"/>
            <w:r w:rsidRPr="006212A3">
              <w:rPr>
                <w:rFonts w:asciiTheme="minorHAnsi" w:hAnsiTheme="minorHAnsi" w:cstheme="minorHAnsi"/>
                <w:color w:val="000000"/>
                <w:sz w:val="14"/>
                <w:szCs w:val="14"/>
                <w:lang w:val="en-US" w:eastAsia="en-US"/>
              </w:rPr>
              <w:t xml:space="preserve"> 1000-1499g W Significant OR Proc/Vent&gt;=96hrs, Minor Complexity</w:t>
            </w:r>
          </w:p>
        </w:tc>
        <w:tc>
          <w:tcPr>
            <w:tcW w:w="567" w:type="dxa"/>
            <w:tcBorders>
              <w:top w:val="nil"/>
              <w:left w:val="nil"/>
              <w:bottom w:val="nil"/>
              <w:right w:val="nil"/>
            </w:tcBorders>
            <w:shd w:val="clear" w:color="auto" w:fill="auto"/>
            <w:noWrap/>
            <w:hideMark/>
          </w:tcPr>
          <w:p w14:paraId="53AE3F24" w14:textId="77777777" w:rsidR="00C11EFE" w:rsidRPr="006212A3" w:rsidRDefault="00C11EFE" w:rsidP="00C11EFE">
            <w:pPr>
              <w:jc w:val="right"/>
              <w:rPr>
                <w:rFonts w:asciiTheme="minorHAnsi" w:hAnsiTheme="minorHAnsi" w:cstheme="minorHAnsi"/>
                <w:b/>
                <w:color w:val="000000"/>
                <w:sz w:val="14"/>
                <w:szCs w:val="14"/>
                <w:lang w:val="en-US" w:eastAsia="en-US"/>
              </w:rPr>
            </w:pPr>
            <w:r w:rsidRPr="006212A3">
              <w:rPr>
                <w:rFonts w:asciiTheme="minorHAnsi" w:hAnsiTheme="minorHAnsi" w:cstheme="minorHAnsi"/>
                <w:b/>
                <w:color w:val="000000"/>
                <w:sz w:val="14"/>
                <w:szCs w:val="14"/>
                <w:lang w:val="en-US" w:eastAsia="en-US"/>
              </w:rPr>
              <w:t>14.32</w:t>
            </w:r>
          </w:p>
        </w:tc>
        <w:tc>
          <w:tcPr>
            <w:tcW w:w="851" w:type="dxa"/>
            <w:tcBorders>
              <w:top w:val="nil"/>
              <w:left w:val="nil"/>
              <w:bottom w:val="nil"/>
              <w:right w:val="nil"/>
            </w:tcBorders>
            <w:shd w:val="clear" w:color="auto" w:fill="auto"/>
            <w:noWrap/>
            <w:hideMark/>
          </w:tcPr>
          <w:p w14:paraId="5EB93519"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45</w:t>
            </w:r>
          </w:p>
        </w:tc>
        <w:tc>
          <w:tcPr>
            <w:tcW w:w="954" w:type="dxa"/>
            <w:tcBorders>
              <w:top w:val="nil"/>
              <w:left w:val="nil"/>
              <w:bottom w:val="nil"/>
              <w:right w:val="nil"/>
            </w:tcBorders>
            <w:shd w:val="clear" w:color="auto" w:fill="auto"/>
            <w:noWrap/>
            <w:hideMark/>
          </w:tcPr>
          <w:p w14:paraId="0236E4F1" w14:textId="67FFE4D9" w:rsidR="00C11EFE" w:rsidRPr="006212A3"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644</w:t>
            </w:r>
          </w:p>
        </w:tc>
        <w:tc>
          <w:tcPr>
            <w:tcW w:w="839" w:type="dxa"/>
            <w:tcBorders>
              <w:top w:val="nil"/>
              <w:left w:val="nil"/>
              <w:bottom w:val="nil"/>
              <w:right w:val="nil"/>
            </w:tcBorders>
            <w:shd w:val="clear" w:color="auto" w:fill="auto"/>
            <w:noWrap/>
            <w:hideMark/>
          </w:tcPr>
          <w:p w14:paraId="0EF99166"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1,430</w:t>
            </w:r>
          </w:p>
        </w:tc>
        <w:tc>
          <w:tcPr>
            <w:tcW w:w="918" w:type="dxa"/>
            <w:tcBorders>
              <w:top w:val="nil"/>
              <w:left w:val="nil"/>
              <w:bottom w:val="nil"/>
              <w:right w:val="nil"/>
            </w:tcBorders>
            <w:shd w:val="clear" w:color="auto" w:fill="auto"/>
            <w:noWrap/>
            <w:hideMark/>
          </w:tcPr>
          <w:p w14:paraId="174BB11A"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31.9</w:t>
            </w:r>
          </w:p>
        </w:tc>
        <w:tc>
          <w:tcPr>
            <w:tcW w:w="597" w:type="dxa"/>
            <w:tcBorders>
              <w:top w:val="nil"/>
              <w:left w:val="nil"/>
              <w:bottom w:val="nil"/>
              <w:right w:val="nil"/>
            </w:tcBorders>
            <w:shd w:val="clear" w:color="auto" w:fill="auto"/>
            <w:noWrap/>
            <w:hideMark/>
          </w:tcPr>
          <w:p w14:paraId="4DD60205"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2.76</w:t>
            </w:r>
          </w:p>
        </w:tc>
        <w:tc>
          <w:tcPr>
            <w:tcW w:w="575" w:type="dxa"/>
            <w:tcBorders>
              <w:top w:val="nil"/>
              <w:left w:val="nil"/>
              <w:bottom w:val="nil"/>
              <w:right w:val="nil"/>
            </w:tcBorders>
            <w:shd w:val="clear" w:color="auto" w:fill="auto"/>
            <w:noWrap/>
            <w:hideMark/>
          </w:tcPr>
          <w:p w14:paraId="26184FE9"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0.0%</w:t>
            </w:r>
          </w:p>
        </w:tc>
        <w:tc>
          <w:tcPr>
            <w:tcW w:w="575" w:type="dxa"/>
            <w:tcBorders>
              <w:top w:val="nil"/>
              <w:left w:val="nil"/>
              <w:bottom w:val="nil"/>
              <w:right w:val="nil"/>
            </w:tcBorders>
            <w:shd w:val="clear" w:color="auto" w:fill="auto"/>
            <w:noWrap/>
            <w:hideMark/>
          </w:tcPr>
          <w:p w14:paraId="0DBE6C2C"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0.0%</w:t>
            </w:r>
          </w:p>
        </w:tc>
        <w:tc>
          <w:tcPr>
            <w:tcW w:w="693" w:type="dxa"/>
            <w:tcBorders>
              <w:top w:val="nil"/>
              <w:left w:val="nil"/>
              <w:bottom w:val="nil"/>
              <w:right w:val="nil"/>
            </w:tcBorders>
            <w:shd w:val="clear" w:color="auto" w:fill="auto"/>
            <w:noWrap/>
            <w:hideMark/>
          </w:tcPr>
          <w:p w14:paraId="5D48953F"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w:t>
            </w:r>
          </w:p>
        </w:tc>
        <w:tc>
          <w:tcPr>
            <w:tcW w:w="693" w:type="dxa"/>
            <w:tcBorders>
              <w:top w:val="nil"/>
              <w:left w:val="nil"/>
              <w:bottom w:val="nil"/>
              <w:right w:val="nil"/>
            </w:tcBorders>
            <w:shd w:val="clear" w:color="auto" w:fill="auto"/>
            <w:noWrap/>
            <w:hideMark/>
          </w:tcPr>
          <w:p w14:paraId="449273BE"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w:t>
            </w:r>
          </w:p>
        </w:tc>
        <w:tc>
          <w:tcPr>
            <w:tcW w:w="861" w:type="dxa"/>
            <w:tcBorders>
              <w:top w:val="nil"/>
              <w:left w:val="nil"/>
              <w:bottom w:val="nil"/>
              <w:right w:val="nil"/>
            </w:tcBorders>
            <w:shd w:val="clear" w:color="auto" w:fill="auto"/>
            <w:noWrap/>
            <w:hideMark/>
          </w:tcPr>
          <w:p w14:paraId="416F2268"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w:t>
            </w:r>
          </w:p>
        </w:tc>
      </w:tr>
      <w:tr w:rsidR="00C11EFE" w:rsidRPr="006212A3" w14:paraId="5AFDE8AD" w14:textId="77777777" w:rsidTr="00AA5590">
        <w:trPr>
          <w:trHeight w:hRule="exact" w:val="284"/>
        </w:trPr>
        <w:tc>
          <w:tcPr>
            <w:tcW w:w="675" w:type="dxa"/>
            <w:tcBorders>
              <w:top w:val="nil"/>
              <w:left w:val="nil"/>
              <w:bottom w:val="nil"/>
              <w:right w:val="nil"/>
            </w:tcBorders>
            <w:shd w:val="clear" w:color="auto" w:fill="auto"/>
            <w:noWrap/>
            <w:hideMark/>
          </w:tcPr>
          <w:p w14:paraId="74662BED"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Yes</w:t>
            </w:r>
          </w:p>
        </w:tc>
        <w:tc>
          <w:tcPr>
            <w:tcW w:w="709" w:type="dxa"/>
            <w:tcBorders>
              <w:top w:val="nil"/>
              <w:left w:val="nil"/>
              <w:bottom w:val="nil"/>
              <w:right w:val="nil"/>
            </w:tcBorders>
            <w:shd w:val="clear" w:color="auto" w:fill="auto"/>
            <w:noWrap/>
            <w:hideMark/>
          </w:tcPr>
          <w:p w14:paraId="0EB01C09"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12</w:t>
            </w:r>
          </w:p>
        </w:tc>
        <w:tc>
          <w:tcPr>
            <w:tcW w:w="709" w:type="dxa"/>
            <w:tcBorders>
              <w:top w:val="nil"/>
              <w:left w:val="nil"/>
              <w:bottom w:val="nil"/>
              <w:right w:val="nil"/>
            </w:tcBorders>
            <w:shd w:val="clear" w:color="auto" w:fill="auto"/>
            <w:noWrap/>
            <w:hideMark/>
          </w:tcPr>
          <w:p w14:paraId="15303F58" w14:textId="7777777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I06Z</w:t>
            </w:r>
          </w:p>
        </w:tc>
        <w:tc>
          <w:tcPr>
            <w:tcW w:w="4961" w:type="dxa"/>
            <w:tcBorders>
              <w:top w:val="nil"/>
              <w:left w:val="nil"/>
              <w:bottom w:val="nil"/>
              <w:right w:val="nil"/>
            </w:tcBorders>
            <w:shd w:val="clear" w:color="auto" w:fill="auto"/>
            <w:noWrap/>
            <w:hideMark/>
          </w:tcPr>
          <w:p w14:paraId="76FABDAD" w14:textId="7777777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Spinal Fusion for Deformity</w:t>
            </w:r>
          </w:p>
        </w:tc>
        <w:tc>
          <w:tcPr>
            <w:tcW w:w="567" w:type="dxa"/>
            <w:tcBorders>
              <w:top w:val="nil"/>
              <w:left w:val="nil"/>
              <w:bottom w:val="nil"/>
              <w:right w:val="nil"/>
            </w:tcBorders>
            <w:shd w:val="clear" w:color="auto" w:fill="auto"/>
            <w:noWrap/>
            <w:hideMark/>
          </w:tcPr>
          <w:p w14:paraId="0C4B8438" w14:textId="77777777" w:rsidR="00C11EFE" w:rsidRPr="006212A3" w:rsidRDefault="00C11EFE" w:rsidP="00C11EFE">
            <w:pPr>
              <w:jc w:val="right"/>
              <w:rPr>
                <w:rFonts w:asciiTheme="minorHAnsi" w:hAnsiTheme="minorHAnsi" w:cstheme="minorHAnsi"/>
                <w:b/>
                <w:color w:val="000000"/>
                <w:sz w:val="14"/>
                <w:szCs w:val="14"/>
                <w:lang w:val="en-US" w:eastAsia="en-US"/>
              </w:rPr>
            </w:pPr>
            <w:r w:rsidRPr="006212A3">
              <w:rPr>
                <w:rFonts w:asciiTheme="minorHAnsi" w:hAnsiTheme="minorHAnsi" w:cstheme="minorHAnsi"/>
                <w:b/>
                <w:color w:val="000000"/>
                <w:sz w:val="14"/>
                <w:szCs w:val="14"/>
                <w:lang w:val="en-US" w:eastAsia="en-US"/>
              </w:rPr>
              <w:t>14.11</w:t>
            </w:r>
          </w:p>
        </w:tc>
        <w:tc>
          <w:tcPr>
            <w:tcW w:w="851" w:type="dxa"/>
            <w:tcBorders>
              <w:top w:val="nil"/>
              <w:left w:val="nil"/>
              <w:bottom w:val="nil"/>
              <w:right w:val="nil"/>
            </w:tcBorders>
            <w:shd w:val="clear" w:color="auto" w:fill="auto"/>
            <w:noWrap/>
            <w:hideMark/>
          </w:tcPr>
          <w:p w14:paraId="481C2140"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1,209</w:t>
            </w:r>
          </w:p>
        </w:tc>
        <w:tc>
          <w:tcPr>
            <w:tcW w:w="954" w:type="dxa"/>
            <w:tcBorders>
              <w:top w:val="nil"/>
              <w:left w:val="nil"/>
              <w:bottom w:val="nil"/>
              <w:right w:val="nil"/>
            </w:tcBorders>
            <w:shd w:val="clear" w:color="auto" w:fill="auto"/>
            <w:noWrap/>
            <w:hideMark/>
          </w:tcPr>
          <w:p w14:paraId="7A3463F8" w14:textId="5EFB35E4" w:rsidR="00C11EFE" w:rsidRPr="006212A3"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17,059</w:t>
            </w:r>
          </w:p>
        </w:tc>
        <w:tc>
          <w:tcPr>
            <w:tcW w:w="839" w:type="dxa"/>
            <w:tcBorders>
              <w:top w:val="nil"/>
              <w:left w:val="nil"/>
              <w:bottom w:val="nil"/>
              <w:right w:val="nil"/>
            </w:tcBorders>
            <w:shd w:val="clear" w:color="auto" w:fill="auto"/>
            <w:noWrap/>
            <w:hideMark/>
          </w:tcPr>
          <w:p w14:paraId="46EC2B7C"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11,867</w:t>
            </w:r>
          </w:p>
        </w:tc>
        <w:tc>
          <w:tcPr>
            <w:tcW w:w="918" w:type="dxa"/>
            <w:tcBorders>
              <w:top w:val="nil"/>
              <w:left w:val="nil"/>
              <w:bottom w:val="nil"/>
              <w:right w:val="nil"/>
            </w:tcBorders>
            <w:shd w:val="clear" w:color="auto" w:fill="auto"/>
            <w:noWrap/>
            <w:hideMark/>
          </w:tcPr>
          <w:p w14:paraId="6D4D20C4"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9.8</w:t>
            </w:r>
          </w:p>
        </w:tc>
        <w:tc>
          <w:tcPr>
            <w:tcW w:w="597" w:type="dxa"/>
            <w:tcBorders>
              <w:top w:val="nil"/>
              <w:left w:val="nil"/>
              <w:bottom w:val="nil"/>
              <w:right w:val="nil"/>
            </w:tcBorders>
            <w:shd w:val="clear" w:color="auto" w:fill="auto"/>
            <w:noWrap/>
            <w:hideMark/>
          </w:tcPr>
          <w:p w14:paraId="42EEEE8C"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0.31</w:t>
            </w:r>
          </w:p>
        </w:tc>
        <w:tc>
          <w:tcPr>
            <w:tcW w:w="575" w:type="dxa"/>
            <w:tcBorders>
              <w:top w:val="nil"/>
              <w:left w:val="nil"/>
              <w:bottom w:val="nil"/>
              <w:right w:val="nil"/>
            </w:tcBorders>
            <w:shd w:val="clear" w:color="auto" w:fill="auto"/>
            <w:noWrap/>
            <w:hideMark/>
          </w:tcPr>
          <w:p w14:paraId="634247B3"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0.0%</w:t>
            </w:r>
          </w:p>
        </w:tc>
        <w:tc>
          <w:tcPr>
            <w:tcW w:w="575" w:type="dxa"/>
            <w:tcBorders>
              <w:top w:val="nil"/>
              <w:left w:val="nil"/>
              <w:bottom w:val="nil"/>
              <w:right w:val="nil"/>
            </w:tcBorders>
            <w:shd w:val="clear" w:color="auto" w:fill="auto"/>
            <w:noWrap/>
            <w:hideMark/>
          </w:tcPr>
          <w:p w14:paraId="00C58BE0"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0.6%</w:t>
            </w:r>
          </w:p>
        </w:tc>
        <w:tc>
          <w:tcPr>
            <w:tcW w:w="693" w:type="dxa"/>
            <w:tcBorders>
              <w:top w:val="nil"/>
              <w:left w:val="nil"/>
              <w:bottom w:val="nil"/>
              <w:right w:val="nil"/>
            </w:tcBorders>
            <w:shd w:val="clear" w:color="auto" w:fill="auto"/>
            <w:noWrap/>
            <w:hideMark/>
          </w:tcPr>
          <w:p w14:paraId="3593CECB"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15.41</w:t>
            </w:r>
          </w:p>
        </w:tc>
        <w:tc>
          <w:tcPr>
            <w:tcW w:w="693" w:type="dxa"/>
            <w:tcBorders>
              <w:top w:val="nil"/>
              <w:left w:val="nil"/>
              <w:bottom w:val="nil"/>
              <w:right w:val="nil"/>
            </w:tcBorders>
            <w:shd w:val="clear" w:color="auto" w:fill="auto"/>
            <w:noWrap/>
            <w:hideMark/>
          </w:tcPr>
          <w:p w14:paraId="027100FE"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11 </w:t>
            </w:r>
          </w:p>
        </w:tc>
        <w:tc>
          <w:tcPr>
            <w:tcW w:w="861" w:type="dxa"/>
            <w:tcBorders>
              <w:top w:val="nil"/>
              <w:left w:val="nil"/>
              <w:bottom w:val="nil"/>
              <w:right w:val="nil"/>
            </w:tcBorders>
            <w:shd w:val="clear" w:color="auto" w:fill="auto"/>
            <w:noWrap/>
            <w:hideMark/>
          </w:tcPr>
          <w:p w14:paraId="443FB48A"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820 </w:t>
            </w:r>
          </w:p>
        </w:tc>
      </w:tr>
      <w:tr w:rsidR="00C11EFE" w:rsidRPr="006212A3" w14:paraId="1D6D37F0" w14:textId="77777777" w:rsidTr="00AA5590">
        <w:trPr>
          <w:trHeight w:hRule="exact" w:val="284"/>
        </w:trPr>
        <w:tc>
          <w:tcPr>
            <w:tcW w:w="675" w:type="dxa"/>
            <w:tcBorders>
              <w:top w:val="nil"/>
              <w:left w:val="nil"/>
              <w:bottom w:val="nil"/>
              <w:right w:val="nil"/>
            </w:tcBorders>
            <w:shd w:val="clear" w:color="auto" w:fill="auto"/>
            <w:noWrap/>
            <w:hideMark/>
          </w:tcPr>
          <w:p w14:paraId="59D41DD2"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Yes</w:t>
            </w:r>
          </w:p>
        </w:tc>
        <w:tc>
          <w:tcPr>
            <w:tcW w:w="709" w:type="dxa"/>
            <w:tcBorders>
              <w:top w:val="nil"/>
              <w:left w:val="nil"/>
              <w:bottom w:val="nil"/>
              <w:right w:val="nil"/>
            </w:tcBorders>
            <w:shd w:val="clear" w:color="auto" w:fill="auto"/>
            <w:noWrap/>
            <w:hideMark/>
          </w:tcPr>
          <w:p w14:paraId="3988ED7C"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13</w:t>
            </w:r>
          </w:p>
        </w:tc>
        <w:tc>
          <w:tcPr>
            <w:tcW w:w="709" w:type="dxa"/>
            <w:tcBorders>
              <w:top w:val="nil"/>
              <w:left w:val="nil"/>
              <w:bottom w:val="nil"/>
              <w:right w:val="nil"/>
            </w:tcBorders>
            <w:shd w:val="clear" w:color="auto" w:fill="auto"/>
            <w:noWrap/>
            <w:hideMark/>
          </w:tcPr>
          <w:p w14:paraId="550B92F9" w14:textId="7777777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F03A</w:t>
            </w:r>
          </w:p>
        </w:tc>
        <w:tc>
          <w:tcPr>
            <w:tcW w:w="4961" w:type="dxa"/>
            <w:tcBorders>
              <w:top w:val="nil"/>
              <w:left w:val="nil"/>
              <w:bottom w:val="nil"/>
              <w:right w:val="nil"/>
            </w:tcBorders>
            <w:shd w:val="clear" w:color="auto" w:fill="auto"/>
            <w:noWrap/>
            <w:hideMark/>
          </w:tcPr>
          <w:p w14:paraId="38124DFF" w14:textId="0265F2A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Cardiac Valve Procedures W CPB Pump W Invasive Cardiac Investigation, Major Comp</w:t>
            </w:r>
          </w:p>
        </w:tc>
        <w:tc>
          <w:tcPr>
            <w:tcW w:w="567" w:type="dxa"/>
            <w:tcBorders>
              <w:top w:val="nil"/>
              <w:left w:val="nil"/>
              <w:bottom w:val="nil"/>
              <w:right w:val="nil"/>
            </w:tcBorders>
            <w:shd w:val="clear" w:color="auto" w:fill="auto"/>
            <w:noWrap/>
            <w:hideMark/>
          </w:tcPr>
          <w:p w14:paraId="31470CEC" w14:textId="77777777" w:rsidR="00C11EFE" w:rsidRPr="006212A3" w:rsidRDefault="00C11EFE" w:rsidP="00C11EFE">
            <w:pPr>
              <w:jc w:val="right"/>
              <w:rPr>
                <w:rFonts w:asciiTheme="minorHAnsi" w:hAnsiTheme="minorHAnsi" w:cstheme="minorHAnsi"/>
                <w:b/>
                <w:color w:val="000000"/>
                <w:sz w:val="14"/>
                <w:szCs w:val="14"/>
                <w:lang w:val="en-US" w:eastAsia="en-US"/>
              </w:rPr>
            </w:pPr>
            <w:r w:rsidRPr="006212A3">
              <w:rPr>
                <w:rFonts w:asciiTheme="minorHAnsi" w:hAnsiTheme="minorHAnsi" w:cstheme="minorHAnsi"/>
                <w:b/>
                <w:color w:val="000000"/>
                <w:sz w:val="14"/>
                <w:szCs w:val="14"/>
                <w:lang w:val="en-US" w:eastAsia="en-US"/>
              </w:rPr>
              <w:t>13.83</w:t>
            </w:r>
          </w:p>
        </w:tc>
        <w:tc>
          <w:tcPr>
            <w:tcW w:w="851" w:type="dxa"/>
            <w:tcBorders>
              <w:top w:val="nil"/>
              <w:left w:val="nil"/>
              <w:bottom w:val="nil"/>
              <w:right w:val="nil"/>
            </w:tcBorders>
            <w:shd w:val="clear" w:color="auto" w:fill="auto"/>
            <w:noWrap/>
            <w:hideMark/>
          </w:tcPr>
          <w:p w14:paraId="0DC7990C"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336</w:t>
            </w:r>
          </w:p>
        </w:tc>
        <w:tc>
          <w:tcPr>
            <w:tcW w:w="954" w:type="dxa"/>
            <w:tcBorders>
              <w:top w:val="nil"/>
              <w:left w:val="nil"/>
              <w:bottom w:val="nil"/>
              <w:right w:val="nil"/>
            </w:tcBorders>
            <w:shd w:val="clear" w:color="auto" w:fill="auto"/>
            <w:noWrap/>
            <w:hideMark/>
          </w:tcPr>
          <w:p w14:paraId="3D4716A2" w14:textId="664F5C98" w:rsidR="00C11EFE" w:rsidRPr="006212A3"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4,647</w:t>
            </w:r>
          </w:p>
        </w:tc>
        <w:tc>
          <w:tcPr>
            <w:tcW w:w="839" w:type="dxa"/>
            <w:tcBorders>
              <w:top w:val="nil"/>
              <w:left w:val="nil"/>
              <w:bottom w:val="nil"/>
              <w:right w:val="nil"/>
            </w:tcBorders>
            <w:shd w:val="clear" w:color="auto" w:fill="auto"/>
            <w:noWrap/>
            <w:hideMark/>
          </w:tcPr>
          <w:p w14:paraId="6B3C244F"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6,721</w:t>
            </w:r>
          </w:p>
        </w:tc>
        <w:tc>
          <w:tcPr>
            <w:tcW w:w="918" w:type="dxa"/>
            <w:tcBorders>
              <w:top w:val="nil"/>
              <w:left w:val="nil"/>
              <w:bottom w:val="nil"/>
              <w:right w:val="nil"/>
            </w:tcBorders>
            <w:shd w:val="clear" w:color="auto" w:fill="auto"/>
            <w:noWrap/>
            <w:hideMark/>
          </w:tcPr>
          <w:p w14:paraId="7D49D445"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20.0</w:t>
            </w:r>
          </w:p>
        </w:tc>
        <w:tc>
          <w:tcPr>
            <w:tcW w:w="597" w:type="dxa"/>
            <w:tcBorders>
              <w:top w:val="nil"/>
              <w:left w:val="nil"/>
              <w:bottom w:val="nil"/>
              <w:right w:val="nil"/>
            </w:tcBorders>
            <w:shd w:val="clear" w:color="auto" w:fill="auto"/>
            <w:noWrap/>
            <w:hideMark/>
          </w:tcPr>
          <w:p w14:paraId="146158B9"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0.38</w:t>
            </w:r>
          </w:p>
        </w:tc>
        <w:tc>
          <w:tcPr>
            <w:tcW w:w="575" w:type="dxa"/>
            <w:tcBorders>
              <w:top w:val="nil"/>
              <w:left w:val="nil"/>
              <w:bottom w:val="nil"/>
              <w:right w:val="nil"/>
            </w:tcBorders>
            <w:shd w:val="clear" w:color="auto" w:fill="auto"/>
            <w:noWrap/>
            <w:hideMark/>
          </w:tcPr>
          <w:p w14:paraId="75957C35"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0.0%</w:t>
            </w:r>
          </w:p>
        </w:tc>
        <w:tc>
          <w:tcPr>
            <w:tcW w:w="575" w:type="dxa"/>
            <w:tcBorders>
              <w:top w:val="nil"/>
              <w:left w:val="nil"/>
              <w:bottom w:val="nil"/>
              <w:right w:val="nil"/>
            </w:tcBorders>
            <w:shd w:val="clear" w:color="auto" w:fill="auto"/>
            <w:noWrap/>
            <w:hideMark/>
          </w:tcPr>
          <w:p w14:paraId="02CAF6A4"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0.2%</w:t>
            </w:r>
          </w:p>
        </w:tc>
        <w:tc>
          <w:tcPr>
            <w:tcW w:w="693" w:type="dxa"/>
            <w:tcBorders>
              <w:top w:val="nil"/>
              <w:left w:val="nil"/>
              <w:bottom w:val="nil"/>
              <w:right w:val="nil"/>
            </w:tcBorders>
            <w:shd w:val="clear" w:color="auto" w:fill="auto"/>
            <w:noWrap/>
            <w:hideMark/>
          </w:tcPr>
          <w:p w14:paraId="3F64AEF2"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17.48</w:t>
            </w:r>
          </w:p>
        </w:tc>
        <w:tc>
          <w:tcPr>
            <w:tcW w:w="693" w:type="dxa"/>
            <w:tcBorders>
              <w:top w:val="nil"/>
              <w:left w:val="nil"/>
              <w:bottom w:val="nil"/>
              <w:right w:val="nil"/>
            </w:tcBorders>
            <w:shd w:val="clear" w:color="auto" w:fill="auto"/>
            <w:noWrap/>
            <w:hideMark/>
          </w:tcPr>
          <w:p w14:paraId="14984AB1"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8 </w:t>
            </w:r>
          </w:p>
        </w:tc>
        <w:tc>
          <w:tcPr>
            <w:tcW w:w="861" w:type="dxa"/>
            <w:tcBorders>
              <w:top w:val="nil"/>
              <w:left w:val="nil"/>
              <w:bottom w:val="nil"/>
              <w:right w:val="nil"/>
            </w:tcBorders>
            <w:shd w:val="clear" w:color="auto" w:fill="auto"/>
            <w:noWrap/>
            <w:hideMark/>
          </w:tcPr>
          <w:p w14:paraId="31762B70"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288 </w:t>
            </w:r>
          </w:p>
        </w:tc>
      </w:tr>
      <w:tr w:rsidR="00C11EFE" w:rsidRPr="006212A3" w14:paraId="4AB60709" w14:textId="77777777" w:rsidTr="00AA5590">
        <w:trPr>
          <w:trHeight w:hRule="exact" w:val="284"/>
        </w:trPr>
        <w:tc>
          <w:tcPr>
            <w:tcW w:w="675" w:type="dxa"/>
            <w:tcBorders>
              <w:top w:val="nil"/>
              <w:left w:val="nil"/>
              <w:bottom w:val="nil"/>
              <w:right w:val="nil"/>
            </w:tcBorders>
            <w:shd w:val="clear" w:color="auto" w:fill="auto"/>
            <w:noWrap/>
            <w:hideMark/>
          </w:tcPr>
          <w:p w14:paraId="0207BA46"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Yes</w:t>
            </w:r>
          </w:p>
        </w:tc>
        <w:tc>
          <w:tcPr>
            <w:tcW w:w="709" w:type="dxa"/>
            <w:tcBorders>
              <w:top w:val="nil"/>
              <w:left w:val="nil"/>
              <w:bottom w:val="nil"/>
              <w:right w:val="nil"/>
            </w:tcBorders>
            <w:shd w:val="clear" w:color="auto" w:fill="auto"/>
            <w:noWrap/>
            <w:hideMark/>
          </w:tcPr>
          <w:p w14:paraId="7D81B8DD"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14</w:t>
            </w:r>
          </w:p>
        </w:tc>
        <w:tc>
          <w:tcPr>
            <w:tcW w:w="709" w:type="dxa"/>
            <w:tcBorders>
              <w:top w:val="nil"/>
              <w:left w:val="nil"/>
              <w:bottom w:val="nil"/>
              <w:right w:val="nil"/>
            </w:tcBorders>
            <w:shd w:val="clear" w:color="auto" w:fill="auto"/>
            <w:noWrap/>
            <w:hideMark/>
          </w:tcPr>
          <w:p w14:paraId="749DE148" w14:textId="7777777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F07A</w:t>
            </w:r>
          </w:p>
        </w:tc>
        <w:tc>
          <w:tcPr>
            <w:tcW w:w="4961" w:type="dxa"/>
            <w:tcBorders>
              <w:top w:val="nil"/>
              <w:left w:val="nil"/>
              <w:bottom w:val="nil"/>
              <w:right w:val="nil"/>
            </w:tcBorders>
            <w:shd w:val="clear" w:color="auto" w:fill="auto"/>
            <w:noWrap/>
            <w:hideMark/>
          </w:tcPr>
          <w:p w14:paraId="67D886C2" w14:textId="718A8D8E"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Other Cardiothoracic/Vascular Procedures W CPB Pump, Major Complexity</w:t>
            </w:r>
          </w:p>
        </w:tc>
        <w:tc>
          <w:tcPr>
            <w:tcW w:w="567" w:type="dxa"/>
            <w:tcBorders>
              <w:top w:val="nil"/>
              <w:left w:val="nil"/>
              <w:bottom w:val="nil"/>
              <w:right w:val="nil"/>
            </w:tcBorders>
            <w:shd w:val="clear" w:color="auto" w:fill="auto"/>
            <w:noWrap/>
            <w:hideMark/>
          </w:tcPr>
          <w:p w14:paraId="78B6A733" w14:textId="77777777" w:rsidR="00C11EFE" w:rsidRPr="006212A3" w:rsidRDefault="00C11EFE" w:rsidP="00C11EFE">
            <w:pPr>
              <w:jc w:val="right"/>
              <w:rPr>
                <w:rFonts w:asciiTheme="minorHAnsi" w:hAnsiTheme="minorHAnsi" w:cstheme="minorHAnsi"/>
                <w:b/>
                <w:color w:val="000000"/>
                <w:sz w:val="14"/>
                <w:szCs w:val="14"/>
                <w:lang w:val="en-US" w:eastAsia="en-US"/>
              </w:rPr>
            </w:pPr>
            <w:r w:rsidRPr="006212A3">
              <w:rPr>
                <w:rFonts w:asciiTheme="minorHAnsi" w:hAnsiTheme="minorHAnsi" w:cstheme="minorHAnsi"/>
                <w:b/>
                <w:color w:val="000000"/>
                <w:sz w:val="14"/>
                <w:szCs w:val="14"/>
                <w:lang w:val="en-US" w:eastAsia="en-US"/>
              </w:rPr>
              <w:t>13.20</w:t>
            </w:r>
          </w:p>
        </w:tc>
        <w:tc>
          <w:tcPr>
            <w:tcW w:w="851" w:type="dxa"/>
            <w:tcBorders>
              <w:top w:val="nil"/>
              <w:left w:val="nil"/>
              <w:bottom w:val="nil"/>
              <w:right w:val="nil"/>
            </w:tcBorders>
            <w:shd w:val="clear" w:color="auto" w:fill="auto"/>
            <w:noWrap/>
            <w:hideMark/>
          </w:tcPr>
          <w:p w14:paraId="123950DB"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25</w:t>
            </w:r>
          </w:p>
        </w:tc>
        <w:tc>
          <w:tcPr>
            <w:tcW w:w="954" w:type="dxa"/>
            <w:tcBorders>
              <w:top w:val="nil"/>
              <w:left w:val="nil"/>
              <w:bottom w:val="nil"/>
              <w:right w:val="nil"/>
            </w:tcBorders>
            <w:shd w:val="clear" w:color="auto" w:fill="auto"/>
            <w:noWrap/>
            <w:hideMark/>
          </w:tcPr>
          <w:p w14:paraId="3BDFA8D1" w14:textId="0DA01B39" w:rsidR="00C11EFE" w:rsidRPr="006212A3"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330</w:t>
            </w:r>
          </w:p>
        </w:tc>
        <w:tc>
          <w:tcPr>
            <w:tcW w:w="839" w:type="dxa"/>
            <w:tcBorders>
              <w:top w:val="nil"/>
              <w:left w:val="nil"/>
              <w:bottom w:val="nil"/>
              <w:right w:val="nil"/>
            </w:tcBorders>
            <w:shd w:val="clear" w:color="auto" w:fill="auto"/>
            <w:noWrap/>
            <w:hideMark/>
          </w:tcPr>
          <w:p w14:paraId="0E5C29CD"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442</w:t>
            </w:r>
          </w:p>
        </w:tc>
        <w:tc>
          <w:tcPr>
            <w:tcW w:w="918" w:type="dxa"/>
            <w:tcBorders>
              <w:top w:val="nil"/>
              <w:left w:val="nil"/>
              <w:bottom w:val="nil"/>
              <w:right w:val="nil"/>
            </w:tcBorders>
            <w:shd w:val="clear" w:color="auto" w:fill="auto"/>
            <w:noWrap/>
            <w:hideMark/>
          </w:tcPr>
          <w:p w14:paraId="00BC6914"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17.7</w:t>
            </w:r>
          </w:p>
        </w:tc>
        <w:tc>
          <w:tcPr>
            <w:tcW w:w="597" w:type="dxa"/>
            <w:tcBorders>
              <w:top w:val="nil"/>
              <w:left w:val="nil"/>
              <w:bottom w:val="nil"/>
              <w:right w:val="nil"/>
            </w:tcBorders>
            <w:shd w:val="clear" w:color="auto" w:fill="auto"/>
            <w:noWrap/>
            <w:hideMark/>
          </w:tcPr>
          <w:p w14:paraId="5717E24E"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1.11</w:t>
            </w:r>
          </w:p>
        </w:tc>
        <w:tc>
          <w:tcPr>
            <w:tcW w:w="575" w:type="dxa"/>
            <w:tcBorders>
              <w:top w:val="nil"/>
              <w:left w:val="nil"/>
              <w:bottom w:val="nil"/>
              <w:right w:val="nil"/>
            </w:tcBorders>
            <w:shd w:val="clear" w:color="auto" w:fill="auto"/>
            <w:noWrap/>
            <w:hideMark/>
          </w:tcPr>
          <w:p w14:paraId="4A51B376"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0.0%</w:t>
            </w:r>
          </w:p>
        </w:tc>
        <w:tc>
          <w:tcPr>
            <w:tcW w:w="575" w:type="dxa"/>
            <w:tcBorders>
              <w:top w:val="nil"/>
              <w:left w:val="nil"/>
              <w:bottom w:val="nil"/>
              <w:right w:val="nil"/>
            </w:tcBorders>
            <w:shd w:val="clear" w:color="auto" w:fill="auto"/>
            <w:noWrap/>
            <w:hideMark/>
          </w:tcPr>
          <w:p w14:paraId="3B5E951A"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0.0%</w:t>
            </w:r>
          </w:p>
        </w:tc>
        <w:tc>
          <w:tcPr>
            <w:tcW w:w="693" w:type="dxa"/>
            <w:tcBorders>
              <w:top w:val="nil"/>
              <w:left w:val="nil"/>
              <w:bottom w:val="nil"/>
              <w:right w:val="nil"/>
            </w:tcBorders>
            <w:shd w:val="clear" w:color="auto" w:fill="auto"/>
            <w:noWrap/>
            <w:hideMark/>
          </w:tcPr>
          <w:p w14:paraId="368ADB1D"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13.74</w:t>
            </w:r>
          </w:p>
        </w:tc>
        <w:tc>
          <w:tcPr>
            <w:tcW w:w="693" w:type="dxa"/>
            <w:tcBorders>
              <w:top w:val="nil"/>
              <w:left w:val="nil"/>
              <w:bottom w:val="nil"/>
              <w:right w:val="nil"/>
            </w:tcBorders>
            <w:shd w:val="clear" w:color="auto" w:fill="auto"/>
            <w:noWrap/>
            <w:hideMark/>
          </w:tcPr>
          <w:p w14:paraId="0804CB1E"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14 </w:t>
            </w:r>
          </w:p>
        </w:tc>
        <w:tc>
          <w:tcPr>
            <w:tcW w:w="861" w:type="dxa"/>
            <w:tcBorders>
              <w:top w:val="nil"/>
              <w:left w:val="nil"/>
              <w:bottom w:val="nil"/>
              <w:right w:val="nil"/>
            </w:tcBorders>
            <w:shd w:val="clear" w:color="auto" w:fill="auto"/>
            <w:noWrap/>
            <w:hideMark/>
          </w:tcPr>
          <w:p w14:paraId="3AF100BC"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21 </w:t>
            </w:r>
          </w:p>
        </w:tc>
      </w:tr>
      <w:tr w:rsidR="00C11EFE" w:rsidRPr="006212A3" w14:paraId="3EBDD645" w14:textId="77777777" w:rsidTr="00AA5590">
        <w:trPr>
          <w:trHeight w:hRule="exact" w:val="284"/>
        </w:trPr>
        <w:tc>
          <w:tcPr>
            <w:tcW w:w="675" w:type="dxa"/>
            <w:tcBorders>
              <w:top w:val="nil"/>
              <w:left w:val="nil"/>
              <w:bottom w:val="nil"/>
              <w:right w:val="nil"/>
            </w:tcBorders>
            <w:shd w:val="clear" w:color="auto" w:fill="auto"/>
            <w:noWrap/>
            <w:hideMark/>
          </w:tcPr>
          <w:p w14:paraId="4438BCD6"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Yes</w:t>
            </w:r>
          </w:p>
        </w:tc>
        <w:tc>
          <w:tcPr>
            <w:tcW w:w="709" w:type="dxa"/>
            <w:tcBorders>
              <w:top w:val="nil"/>
              <w:left w:val="nil"/>
              <w:bottom w:val="nil"/>
              <w:right w:val="nil"/>
            </w:tcBorders>
            <w:shd w:val="clear" w:color="auto" w:fill="auto"/>
            <w:noWrap/>
            <w:hideMark/>
          </w:tcPr>
          <w:p w14:paraId="4FB12C0B"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15</w:t>
            </w:r>
          </w:p>
        </w:tc>
        <w:tc>
          <w:tcPr>
            <w:tcW w:w="709" w:type="dxa"/>
            <w:tcBorders>
              <w:top w:val="nil"/>
              <w:left w:val="nil"/>
              <w:bottom w:val="nil"/>
              <w:right w:val="nil"/>
            </w:tcBorders>
            <w:shd w:val="clear" w:color="auto" w:fill="auto"/>
            <w:noWrap/>
            <w:hideMark/>
          </w:tcPr>
          <w:p w14:paraId="5AF374B7" w14:textId="7777777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K01A</w:t>
            </w:r>
          </w:p>
        </w:tc>
        <w:tc>
          <w:tcPr>
            <w:tcW w:w="4961" w:type="dxa"/>
            <w:tcBorders>
              <w:top w:val="nil"/>
              <w:left w:val="nil"/>
              <w:bottom w:val="nil"/>
              <w:right w:val="nil"/>
            </w:tcBorders>
            <w:shd w:val="clear" w:color="auto" w:fill="auto"/>
            <w:noWrap/>
            <w:hideMark/>
          </w:tcPr>
          <w:p w14:paraId="48D17EB3" w14:textId="7777777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OR Procedures for Diabetic Complications, Major Complexity</w:t>
            </w:r>
          </w:p>
        </w:tc>
        <w:tc>
          <w:tcPr>
            <w:tcW w:w="567" w:type="dxa"/>
            <w:tcBorders>
              <w:top w:val="nil"/>
              <w:left w:val="nil"/>
              <w:bottom w:val="nil"/>
              <w:right w:val="nil"/>
            </w:tcBorders>
            <w:shd w:val="clear" w:color="auto" w:fill="auto"/>
            <w:noWrap/>
            <w:hideMark/>
          </w:tcPr>
          <w:p w14:paraId="27F67A49" w14:textId="77777777" w:rsidR="00C11EFE" w:rsidRPr="006212A3" w:rsidRDefault="00C11EFE" w:rsidP="00C11EFE">
            <w:pPr>
              <w:jc w:val="right"/>
              <w:rPr>
                <w:rFonts w:asciiTheme="minorHAnsi" w:hAnsiTheme="minorHAnsi" w:cstheme="minorHAnsi"/>
                <w:b/>
                <w:color w:val="000000"/>
                <w:sz w:val="14"/>
                <w:szCs w:val="14"/>
                <w:lang w:val="en-US" w:eastAsia="en-US"/>
              </w:rPr>
            </w:pPr>
            <w:r w:rsidRPr="006212A3">
              <w:rPr>
                <w:rFonts w:asciiTheme="minorHAnsi" w:hAnsiTheme="minorHAnsi" w:cstheme="minorHAnsi"/>
                <w:b/>
                <w:color w:val="000000"/>
                <w:sz w:val="14"/>
                <w:szCs w:val="14"/>
                <w:lang w:val="en-US" w:eastAsia="en-US"/>
              </w:rPr>
              <w:t>12.44</w:t>
            </w:r>
          </w:p>
        </w:tc>
        <w:tc>
          <w:tcPr>
            <w:tcW w:w="851" w:type="dxa"/>
            <w:tcBorders>
              <w:top w:val="nil"/>
              <w:left w:val="nil"/>
              <w:bottom w:val="nil"/>
              <w:right w:val="nil"/>
            </w:tcBorders>
            <w:shd w:val="clear" w:color="auto" w:fill="auto"/>
            <w:noWrap/>
            <w:hideMark/>
          </w:tcPr>
          <w:p w14:paraId="35BE1385"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63</w:t>
            </w:r>
          </w:p>
        </w:tc>
        <w:tc>
          <w:tcPr>
            <w:tcW w:w="954" w:type="dxa"/>
            <w:tcBorders>
              <w:top w:val="nil"/>
              <w:left w:val="nil"/>
              <w:bottom w:val="nil"/>
              <w:right w:val="nil"/>
            </w:tcBorders>
            <w:shd w:val="clear" w:color="auto" w:fill="auto"/>
            <w:noWrap/>
            <w:hideMark/>
          </w:tcPr>
          <w:p w14:paraId="57FF965A" w14:textId="524111AD" w:rsidR="00C11EFE" w:rsidRPr="006212A3"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784</w:t>
            </w:r>
          </w:p>
        </w:tc>
        <w:tc>
          <w:tcPr>
            <w:tcW w:w="839" w:type="dxa"/>
            <w:tcBorders>
              <w:top w:val="nil"/>
              <w:left w:val="nil"/>
              <w:bottom w:val="nil"/>
              <w:right w:val="nil"/>
            </w:tcBorders>
            <w:shd w:val="clear" w:color="auto" w:fill="auto"/>
            <w:noWrap/>
            <w:hideMark/>
          </w:tcPr>
          <w:p w14:paraId="0337EE04"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2,824</w:t>
            </w:r>
          </w:p>
        </w:tc>
        <w:tc>
          <w:tcPr>
            <w:tcW w:w="918" w:type="dxa"/>
            <w:tcBorders>
              <w:top w:val="nil"/>
              <w:left w:val="nil"/>
              <w:bottom w:val="nil"/>
              <w:right w:val="nil"/>
            </w:tcBorders>
            <w:shd w:val="clear" w:color="auto" w:fill="auto"/>
            <w:noWrap/>
            <w:hideMark/>
          </w:tcPr>
          <w:p w14:paraId="13B2B179"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44.6</w:t>
            </w:r>
          </w:p>
        </w:tc>
        <w:tc>
          <w:tcPr>
            <w:tcW w:w="597" w:type="dxa"/>
            <w:tcBorders>
              <w:top w:val="nil"/>
              <w:left w:val="nil"/>
              <w:bottom w:val="nil"/>
              <w:right w:val="nil"/>
            </w:tcBorders>
            <w:shd w:val="clear" w:color="auto" w:fill="auto"/>
            <w:noWrap/>
            <w:hideMark/>
          </w:tcPr>
          <w:p w14:paraId="494F3445"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1.36</w:t>
            </w:r>
          </w:p>
        </w:tc>
        <w:tc>
          <w:tcPr>
            <w:tcW w:w="575" w:type="dxa"/>
            <w:tcBorders>
              <w:top w:val="nil"/>
              <w:left w:val="nil"/>
              <w:bottom w:val="nil"/>
              <w:right w:val="nil"/>
            </w:tcBorders>
            <w:shd w:val="clear" w:color="auto" w:fill="auto"/>
            <w:noWrap/>
            <w:hideMark/>
          </w:tcPr>
          <w:p w14:paraId="7E950637"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0.0%</w:t>
            </w:r>
          </w:p>
        </w:tc>
        <w:tc>
          <w:tcPr>
            <w:tcW w:w="575" w:type="dxa"/>
            <w:tcBorders>
              <w:top w:val="nil"/>
              <w:left w:val="nil"/>
              <w:bottom w:val="nil"/>
              <w:right w:val="nil"/>
            </w:tcBorders>
            <w:shd w:val="clear" w:color="auto" w:fill="auto"/>
            <w:noWrap/>
            <w:hideMark/>
          </w:tcPr>
          <w:p w14:paraId="361C734D"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0.0%</w:t>
            </w:r>
          </w:p>
        </w:tc>
        <w:tc>
          <w:tcPr>
            <w:tcW w:w="693" w:type="dxa"/>
            <w:tcBorders>
              <w:top w:val="nil"/>
              <w:left w:val="nil"/>
              <w:bottom w:val="nil"/>
              <w:right w:val="nil"/>
            </w:tcBorders>
            <w:shd w:val="clear" w:color="auto" w:fill="auto"/>
            <w:noWrap/>
            <w:hideMark/>
          </w:tcPr>
          <w:p w14:paraId="7C802C9B"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12.01</w:t>
            </w:r>
          </w:p>
        </w:tc>
        <w:tc>
          <w:tcPr>
            <w:tcW w:w="693" w:type="dxa"/>
            <w:tcBorders>
              <w:top w:val="nil"/>
              <w:left w:val="nil"/>
              <w:bottom w:val="nil"/>
              <w:right w:val="nil"/>
            </w:tcBorders>
            <w:shd w:val="clear" w:color="auto" w:fill="auto"/>
            <w:noWrap/>
            <w:hideMark/>
          </w:tcPr>
          <w:p w14:paraId="5C3C3C21"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20 </w:t>
            </w:r>
          </w:p>
        </w:tc>
        <w:tc>
          <w:tcPr>
            <w:tcW w:w="861" w:type="dxa"/>
            <w:tcBorders>
              <w:top w:val="nil"/>
              <w:left w:val="nil"/>
              <w:bottom w:val="nil"/>
              <w:right w:val="nil"/>
            </w:tcBorders>
            <w:shd w:val="clear" w:color="auto" w:fill="auto"/>
            <w:noWrap/>
            <w:hideMark/>
          </w:tcPr>
          <w:p w14:paraId="0DDBA7B7"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80 </w:t>
            </w:r>
          </w:p>
        </w:tc>
      </w:tr>
      <w:tr w:rsidR="00C11EFE" w:rsidRPr="006212A3" w14:paraId="19AF6F9D" w14:textId="77777777" w:rsidTr="00AA5590">
        <w:trPr>
          <w:trHeight w:hRule="exact" w:val="284"/>
        </w:trPr>
        <w:tc>
          <w:tcPr>
            <w:tcW w:w="675" w:type="dxa"/>
            <w:tcBorders>
              <w:top w:val="nil"/>
              <w:left w:val="nil"/>
              <w:bottom w:val="nil"/>
              <w:right w:val="nil"/>
            </w:tcBorders>
            <w:shd w:val="clear" w:color="auto" w:fill="auto"/>
            <w:noWrap/>
            <w:hideMark/>
          </w:tcPr>
          <w:p w14:paraId="13D1F727"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Yes</w:t>
            </w:r>
          </w:p>
        </w:tc>
        <w:tc>
          <w:tcPr>
            <w:tcW w:w="709" w:type="dxa"/>
            <w:tcBorders>
              <w:top w:val="nil"/>
              <w:left w:val="nil"/>
              <w:bottom w:val="nil"/>
              <w:right w:val="nil"/>
            </w:tcBorders>
            <w:shd w:val="clear" w:color="auto" w:fill="auto"/>
            <w:noWrap/>
            <w:hideMark/>
          </w:tcPr>
          <w:p w14:paraId="79033DB9"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16</w:t>
            </w:r>
          </w:p>
        </w:tc>
        <w:tc>
          <w:tcPr>
            <w:tcW w:w="709" w:type="dxa"/>
            <w:tcBorders>
              <w:top w:val="nil"/>
              <w:left w:val="nil"/>
              <w:bottom w:val="nil"/>
              <w:right w:val="nil"/>
            </w:tcBorders>
            <w:shd w:val="clear" w:color="auto" w:fill="auto"/>
            <w:noWrap/>
            <w:hideMark/>
          </w:tcPr>
          <w:p w14:paraId="0C63E902" w14:textId="7777777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F05A</w:t>
            </w:r>
          </w:p>
        </w:tc>
        <w:tc>
          <w:tcPr>
            <w:tcW w:w="4961" w:type="dxa"/>
            <w:tcBorders>
              <w:top w:val="nil"/>
              <w:left w:val="nil"/>
              <w:bottom w:val="nil"/>
              <w:right w:val="nil"/>
            </w:tcBorders>
            <w:shd w:val="clear" w:color="auto" w:fill="auto"/>
            <w:noWrap/>
            <w:hideMark/>
          </w:tcPr>
          <w:p w14:paraId="6FEE9C82" w14:textId="3E6F543C"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Coronary Bypass W Invasive Cardiac Investigation, Major Complexity</w:t>
            </w:r>
          </w:p>
        </w:tc>
        <w:tc>
          <w:tcPr>
            <w:tcW w:w="567" w:type="dxa"/>
            <w:tcBorders>
              <w:top w:val="nil"/>
              <w:left w:val="nil"/>
              <w:bottom w:val="nil"/>
              <w:right w:val="nil"/>
            </w:tcBorders>
            <w:shd w:val="clear" w:color="auto" w:fill="auto"/>
            <w:noWrap/>
            <w:hideMark/>
          </w:tcPr>
          <w:p w14:paraId="2FF71C91" w14:textId="77777777" w:rsidR="00C11EFE" w:rsidRPr="006212A3" w:rsidRDefault="00C11EFE" w:rsidP="00C11EFE">
            <w:pPr>
              <w:jc w:val="right"/>
              <w:rPr>
                <w:rFonts w:asciiTheme="minorHAnsi" w:hAnsiTheme="minorHAnsi" w:cstheme="minorHAnsi"/>
                <w:b/>
                <w:color w:val="000000"/>
                <w:sz w:val="14"/>
                <w:szCs w:val="14"/>
                <w:lang w:val="en-US" w:eastAsia="en-US"/>
              </w:rPr>
            </w:pPr>
            <w:r w:rsidRPr="006212A3">
              <w:rPr>
                <w:rFonts w:asciiTheme="minorHAnsi" w:hAnsiTheme="minorHAnsi" w:cstheme="minorHAnsi"/>
                <w:b/>
                <w:color w:val="000000"/>
                <w:sz w:val="14"/>
                <w:szCs w:val="14"/>
                <w:lang w:val="en-US" w:eastAsia="en-US"/>
              </w:rPr>
              <w:t>12.03</w:t>
            </w:r>
          </w:p>
        </w:tc>
        <w:tc>
          <w:tcPr>
            <w:tcW w:w="851" w:type="dxa"/>
            <w:tcBorders>
              <w:top w:val="nil"/>
              <w:left w:val="nil"/>
              <w:bottom w:val="nil"/>
              <w:right w:val="nil"/>
            </w:tcBorders>
            <w:shd w:val="clear" w:color="auto" w:fill="auto"/>
            <w:noWrap/>
            <w:hideMark/>
          </w:tcPr>
          <w:p w14:paraId="360FAB89"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433</w:t>
            </w:r>
          </w:p>
        </w:tc>
        <w:tc>
          <w:tcPr>
            <w:tcW w:w="954" w:type="dxa"/>
            <w:tcBorders>
              <w:top w:val="nil"/>
              <w:left w:val="nil"/>
              <w:bottom w:val="nil"/>
              <w:right w:val="nil"/>
            </w:tcBorders>
            <w:shd w:val="clear" w:color="auto" w:fill="auto"/>
            <w:noWrap/>
            <w:hideMark/>
          </w:tcPr>
          <w:p w14:paraId="12347DD7" w14:textId="25500DFD" w:rsidR="00C11EFE" w:rsidRPr="006212A3"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5,209</w:t>
            </w:r>
          </w:p>
        </w:tc>
        <w:tc>
          <w:tcPr>
            <w:tcW w:w="839" w:type="dxa"/>
            <w:tcBorders>
              <w:top w:val="nil"/>
              <w:left w:val="nil"/>
              <w:bottom w:val="nil"/>
              <w:right w:val="nil"/>
            </w:tcBorders>
            <w:shd w:val="clear" w:color="auto" w:fill="auto"/>
            <w:noWrap/>
            <w:hideMark/>
          </w:tcPr>
          <w:p w14:paraId="02CC5722"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7,439</w:t>
            </w:r>
          </w:p>
        </w:tc>
        <w:tc>
          <w:tcPr>
            <w:tcW w:w="918" w:type="dxa"/>
            <w:tcBorders>
              <w:top w:val="nil"/>
              <w:left w:val="nil"/>
              <w:bottom w:val="nil"/>
              <w:right w:val="nil"/>
            </w:tcBorders>
            <w:shd w:val="clear" w:color="auto" w:fill="auto"/>
            <w:noWrap/>
            <w:hideMark/>
          </w:tcPr>
          <w:p w14:paraId="74376567"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17.2</w:t>
            </w:r>
          </w:p>
        </w:tc>
        <w:tc>
          <w:tcPr>
            <w:tcW w:w="597" w:type="dxa"/>
            <w:tcBorders>
              <w:top w:val="nil"/>
              <w:left w:val="nil"/>
              <w:bottom w:val="nil"/>
              <w:right w:val="nil"/>
            </w:tcBorders>
            <w:shd w:val="clear" w:color="auto" w:fill="auto"/>
            <w:noWrap/>
            <w:hideMark/>
          </w:tcPr>
          <w:p w14:paraId="0C3A0727"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0.39</w:t>
            </w:r>
          </w:p>
        </w:tc>
        <w:tc>
          <w:tcPr>
            <w:tcW w:w="575" w:type="dxa"/>
            <w:tcBorders>
              <w:top w:val="nil"/>
              <w:left w:val="nil"/>
              <w:bottom w:val="nil"/>
              <w:right w:val="nil"/>
            </w:tcBorders>
            <w:shd w:val="clear" w:color="auto" w:fill="auto"/>
            <w:noWrap/>
            <w:hideMark/>
          </w:tcPr>
          <w:p w14:paraId="29310869"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0.0%</w:t>
            </w:r>
          </w:p>
        </w:tc>
        <w:tc>
          <w:tcPr>
            <w:tcW w:w="575" w:type="dxa"/>
            <w:tcBorders>
              <w:top w:val="nil"/>
              <w:left w:val="nil"/>
              <w:bottom w:val="nil"/>
              <w:right w:val="nil"/>
            </w:tcBorders>
            <w:shd w:val="clear" w:color="auto" w:fill="auto"/>
            <w:noWrap/>
            <w:hideMark/>
          </w:tcPr>
          <w:p w14:paraId="591C622F"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0.2%</w:t>
            </w:r>
          </w:p>
        </w:tc>
        <w:tc>
          <w:tcPr>
            <w:tcW w:w="693" w:type="dxa"/>
            <w:tcBorders>
              <w:top w:val="nil"/>
              <w:left w:val="nil"/>
              <w:bottom w:val="nil"/>
              <w:right w:val="nil"/>
            </w:tcBorders>
            <w:shd w:val="clear" w:color="auto" w:fill="auto"/>
            <w:noWrap/>
            <w:hideMark/>
          </w:tcPr>
          <w:p w14:paraId="30EF8E33"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14.47</w:t>
            </w:r>
          </w:p>
        </w:tc>
        <w:tc>
          <w:tcPr>
            <w:tcW w:w="693" w:type="dxa"/>
            <w:tcBorders>
              <w:top w:val="nil"/>
              <w:left w:val="nil"/>
              <w:bottom w:val="nil"/>
              <w:right w:val="nil"/>
            </w:tcBorders>
            <w:shd w:val="clear" w:color="auto" w:fill="auto"/>
            <w:noWrap/>
            <w:hideMark/>
          </w:tcPr>
          <w:p w14:paraId="712F0E4B"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12 </w:t>
            </w:r>
          </w:p>
        </w:tc>
        <w:tc>
          <w:tcPr>
            <w:tcW w:w="861" w:type="dxa"/>
            <w:tcBorders>
              <w:top w:val="nil"/>
              <w:left w:val="nil"/>
              <w:bottom w:val="nil"/>
              <w:right w:val="nil"/>
            </w:tcBorders>
            <w:shd w:val="clear" w:color="auto" w:fill="auto"/>
            <w:noWrap/>
            <w:hideMark/>
          </w:tcPr>
          <w:p w14:paraId="3544564C"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358 </w:t>
            </w:r>
          </w:p>
        </w:tc>
      </w:tr>
      <w:tr w:rsidR="00C11EFE" w:rsidRPr="006212A3" w14:paraId="02B0E794" w14:textId="77777777" w:rsidTr="00AA5590">
        <w:trPr>
          <w:trHeight w:hRule="exact" w:val="284"/>
        </w:trPr>
        <w:tc>
          <w:tcPr>
            <w:tcW w:w="675" w:type="dxa"/>
            <w:tcBorders>
              <w:top w:val="nil"/>
              <w:left w:val="nil"/>
              <w:bottom w:val="nil"/>
              <w:right w:val="nil"/>
            </w:tcBorders>
            <w:shd w:val="clear" w:color="auto" w:fill="auto"/>
            <w:noWrap/>
            <w:hideMark/>
          </w:tcPr>
          <w:p w14:paraId="7A5990E1"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No</w:t>
            </w:r>
          </w:p>
        </w:tc>
        <w:tc>
          <w:tcPr>
            <w:tcW w:w="709" w:type="dxa"/>
            <w:tcBorders>
              <w:top w:val="nil"/>
              <w:left w:val="nil"/>
              <w:bottom w:val="nil"/>
              <w:right w:val="nil"/>
            </w:tcBorders>
            <w:shd w:val="clear" w:color="auto" w:fill="auto"/>
            <w:noWrap/>
            <w:hideMark/>
          </w:tcPr>
          <w:p w14:paraId="59180671"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17</w:t>
            </w:r>
          </w:p>
        </w:tc>
        <w:tc>
          <w:tcPr>
            <w:tcW w:w="709" w:type="dxa"/>
            <w:tcBorders>
              <w:top w:val="nil"/>
              <w:left w:val="nil"/>
              <w:bottom w:val="nil"/>
              <w:right w:val="nil"/>
            </w:tcBorders>
            <w:shd w:val="clear" w:color="auto" w:fill="auto"/>
            <w:noWrap/>
            <w:hideMark/>
          </w:tcPr>
          <w:p w14:paraId="09BBFCE3" w14:textId="7777777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F08A</w:t>
            </w:r>
          </w:p>
        </w:tc>
        <w:tc>
          <w:tcPr>
            <w:tcW w:w="4961" w:type="dxa"/>
            <w:tcBorders>
              <w:top w:val="nil"/>
              <w:left w:val="nil"/>
              <w:bottom w:val="nil"/>
              <w:right w:val="nil"/>
            </w:tcBorders>
            <w:shd w:val="clear" w:color="auto" w:fill="auto"/>
            <w:noWrap/>
            <w:hideMark/>
          </w:tcPr>
          <w:p w14:paraId="0BE15028" w14:textId="0A1F1BBE"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Major Reconstructive Vascular Procedures W/O CPB Pump, Major Complexity</w:t>
            </w:r>
          </w:p>
        </w:tc>
        <w:tc>
          <w:tcPr>
            <w:tcW w:w="567" w:type="dxa"/>
            <w:tcBorders>
              <w:top w:val="nil"/>
              <w:left w:val="nil"/>
              <w:bottom w:val="nil"/>
              <w:right w:val="nil"/>
            </w:tcBorders>
            <w:shd w:val="clear" w:color="auto" w:fill="auto"/>
            <w:noWrap/>
            <w:hideMark/>
          </w:tcPr>
          <w:p w14:paraId="5DCCD124" w14:textId="77777777" w:rsidR="00C11EFE" w:rsidRPr="006212A3" w:rsidRDefault="00C11EFE" w:rsidP="00C11EFE">
            <w:pPr>
              <w:jc w:val="right"/>
              <w:rPr>
                <w:rFonts w:asciiTheme="minorHAnsi" w:hAnsiTheme="minorHAnsi" w:cstheme="minorHAnsi"/>
                <w:b/>
                <w:color w:val="000000"/>
                <w:sz w:val="14"/>
                <w:szCs w:val="14"/>
                <w:lang w:val="en-US" w:eastAsia="en-US"/>
              </w:rPr>
            </w:pPr>
            <w:r w:rsidRPr="006212A3">
              <w:rPr>
                <w:rFonts w:asciiTheme="minorHAnsi" w:hAnsiTheme="minorHAnsi" w:cstheme="minorHAnsi"/>
                <w:b/>
                <w:color w:val="000000"/>
                <w:sz w:val="14"/>
                <w:szCs w:val="14"/>
                <w:lang w:val="en-US" w:eastAsia="en-US"/>
              </w:rPr>
              <w:t>11.95</w:t>
            </w:r>
          </w:p>
        </w:tc>
        <w:tc>
          <w:tcPr>
            <w:tcW w:w="851" w:type="dxa"/>
            <w:tcBorders>
              <w:top w:val="nil"/>
              <w:left w:val="nil"/>
              <w:bottom w:val="nil"/>
              <w:right w:val="nil"/>
            </w:tcBorders>
            <w:shd w:val="clear" w:color="auto" w:fill="auto"/>
            <w:noWrap/>
            <w:hideMark/>
          </w:tcPr>
          <w:p w14:paraId="15803E47"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275</w:t>
            </w:r>
          </w:p>
        </w:tc>
        <w:tc>
          <w:tcPr>
            <w:tcW w:w="954" w:type="dxa"/>
            <w:tcBorders>
              <w:top w:val="nil"/>
              <w:left w:val="nil"/>
              <w:bottom w:val="nil"/>
              <w:right w:val="nil"/>
            </w:tcBorders>
            <w:shd w:val="clear" w:color="auto" w:fill="auto"/>
            <w:noWrap/>
            <w:hideMark/>
          </w:tcPr>
          <w:p w14:paraId="73E1E85B" w14:textId="0B356B38" w:rsidR="00C11EFE" w:rsidRPr="006212A3"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3,286</w:t>
            </w:r>
          </w:p>
        </w:tc>
        <w:tc>
          <w:tcPr>
            <w:tcW w:w="839" w:type="dxa"/>
            <w:tcBorders>
              <w:top w:val="nil"/>
              <w:left w:val="nil"/>
              <w:bottom w:val="nil"/>
              <w:right w:val="nil"/>
            </w:tcBorders>
            <w:shd w:val="clear" w:color="auto" w:fill="auto"/>
            <w:noWrap/>
            <w:hideMark/>
          </w:tcPr>
          <w:p w14:paraId="3C9BDE99"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6,419</w:t>
            </w:r>
          </w:p>
        </w:tc>
        <w:tc>
          <w:tcPr>
            <w:tcW w:w="918" w:type="dxa"/>
            <w:tcBorders>
              <w:top w:val="nil"/>
              <w:left w:val="nil"/>
              <w:bottom w:val="nil"/>
              <w:right w:val="nil"/>
            </w:tcBorders>
            <w:shd w:val="clear" w:color="auto" w:fill="auto"/>
            <w:noWrap/>
            <w:hideMark/>
          </w:tcPr>
          <w:p w14:paraId="42B77105"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23.3</w:t>
            </w:r>
          </w:p>
        </w:tc>
        <w:tc>
          <w:tcPr>
            <w:tcW w:w="597" w:type="dxa"/>
            <w:tcBorders>
              <w:top w:val="nil"/>
              <w:left w:val="nil"/>
              <w:bottom w:val="nil"/>
              <w:right w:val="nil"/>
            </w:tcBorders>
            <w:shd w:val="clear" w:color="auto" w:fill="auto"/>
            <w:noWrap/>
            <w:hideMark/>
          </w:tcPr>
          <w:p w14:paraId="127793B4"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0.58</w:t>
            </w:r>
          </w:p>
        </w:tc>
        <w:tc>
          <w:tcPr>
            <w:tcW w:w="575" w:type="dxa"/>
            <w:tcBorders>
              <w:top w:val="nil"/>
              <w:left w:val="nil"/>
              <w:bottom w:val="nil"/>
              <w:right w:val="nil"/>
            </w:tcBorders>
            <w:shd w:val="clear" w:color="auto" w:fill="auto"/>
            <w:noWrap/>
            <w:hideMark/>
          </w:tcPr>
          <w:p w14:paraId="106A0D6D"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0.0%</w:t>
            </w:r>
          </w:p>
        </w:tc>
        <w:tc>
          <w:tcPr>
            <w:tcW w:w="575" w:type="dxa"/>
            <w:tcBorders>
              <w:top w:val="nil"/>
              <w:left w:val="nil"/>
              <w:bottom w:val="nil"/>
              <w:right w:val="nil"/>
            </w:tcBorders>
            <w:shd w:val="clear" w:color="auto" w:fill="auto"/>
            <w:noWrap/>
            <w:hideMark/>
          </w:tcPr>
          <w:p w14:paraId="4F91C871"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0.1%</w:t>
            </w:r>
          </w:p>
        </w:tc>
        <w:tc>
          <w:tcPr>
            <w:tcW w:w="693" w:type="dxa"/>
            <w:tcBorders>
              <w:top w:val="nil"/>
              <w:left w:val="nil"/>
              <w:bottom w:val="nil"/>
              <w:right w:val="nil"/>
            </w:tcBorders>
            <w:shd w:val="clear" w:color="auto" w:fill="auto"/>
            <w:noWrap/>
            <w:hideMark/>
          </w:tcPr>
          <w:p w14:paraId="26C37995"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10.61</w:t>
            </w:r>
          </w:p>
        </w:tc>
        <w:tc>
          <w:tcPr>
            <w:tcW w:w="693" w:type="dxa"/>
            <w:tcBorders>
              <w:top w:val="nil"/>
              <w:left w:val="nil"/>
              <w:bottom w:val="nil"/>
              <w:right w:val="nil"/>
            </w:tcBorders>
            <w:shd w:val="clear" w:color="auto" w:fill="auto"/>
            <w:noWrap/>
            <w:hideMark/>
          </w:tcPr>
          <w:p w14:paraId="341C1D80"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29 </w:t>
            </w:r>
          </w:p>
        </w:tc>
        <w:tc>
          <w:tcPr>
            <w:tcW w:w="861" w:type="dxa"/>
            <w:tcBorders>
              <w:top w:val="nil"/>
              <w:left w:val="nil"/>
              <w:bottom w:val="nil"/>
              <w:right w:val="nil"/>
            </w:tcBorders>
            <w:shd w:val="clear" w:color="auto" w:fill="auto"/>
            <w:noWrap/>
            <w:hideMark/>
          </w:tcPr>
          <w:p w14:paraId="35A47F35"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208 </w:t>
            </w:r>
          </w:p>
        </w:tc>
      </w:tr>
      <w:tr w:rsidR="00C11EFE" w:rsidRPr="006212A3" w14:paraId="690B081B" w14:textId="77777777" w:rsidTr="00AA5590">
        <w:trPr>
          <w:trHeight w:hRule="exact" w:val="284"/>
        </w:trPr>
        <w:tc>
          <w:tcPr>
            <w:tcW w:w="675" w:type="dxa"/>
            <w:tcBorders>
              <w:top w:val="nil"/>
              <w:left w:val="nil"/>
              <w:bottom w:val="nil"/>
              <w:right w:val="nil"/>
            </w:tcBorders>
            <w:shd w:val="clear" w:color="auto" w:fill="auto"/>
            <w:noWrap/>
            <w:hideMark/>
          </w:tcPr>
          <w:p w14:paraId="57B0CBA4"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Yes</w:t>
            </w:r>
          </w:p>
        </w:tc>
        <w:tc>
          <w:tcPr>
            <w:tcW w:w="709" w:type="dxa"/>
            <w:tcBorders>
              <w:top w:val="nil"/>
              <w:left w:val="nil"/>
              <w:bottom w:val="nil"/>
              <w:right w:val="nil"/>
            </w:tcBorders>
            <w:shd w:val="clear" w:color="auto" w:fill="auto"/>
            <w:noWrap/>
            <w:hideMark/>
          </w:tcPr>
          <w:p w14:paraId="3481393C"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18</w:t>
            </w:r>
          </w:p>
        </w:tc>
        <w:tc>
          <w:tcPr>
            <w:tcW w:w="709" w:type="dxa"/>
            <w:tcBorders>
              <w:top w:val="nil"/>
              <w:left w:val="nil"/>
              <w:bottom w:val="nil"/>
              <w:right w:val="nil"/>
            </w:tcBorders>
            <w:shd w:val="clear" w:color="auto" w:fill="auto"/>
            <w:noWrap/>
            <w:hideMark/>
          </w:tcPr>
          <w:p w14:paraId="5C7D776E" w14:textId="7777777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I31A</w:t>
            </w:r>
          </w:p>
        </w:tc>
        <w:tc>
          <w:tcPr>
            <w:tcW w:w="4961" w:type="dxa"/>
            <w:tcBorders>
              <w:top w:val="nil"/>
              <w:left w:val="nil"/>
              <w:bottom w:val="nil"/>
              <w:right w:val="nil"/>
            </w:tcBorders>
            <w:shd w:val="clear" w:color="auto" w:fill="auto"/>
            <w:noWrap/>
            <w:hideMark/>
          </w:tcPr>
          <w:p w14:paraId="545B9F7C" w14:textId="7777777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Revision of Hip Replacement, Major Complexity</w:t>
            </w:r>
          </w:p>
        </w:tc>
        <w:tc>
          <w:tcPr>
            <w:tcW w:w="567" w:type="dxa"/>
            <w:tcBorders>
              <w:top w:val="nil"/>
              <w:left w:val="nil"/>
              <w:bottom w:val="nil"/>
              <w:right w:val="nil"/>
            </w:tcBorders>
            <w:shd w:val="clear" w:color="auto" w:fill="auto"/>
            <w:noWrap/>
            <w:hideMark/>
          </w:tcPr>
          <w:p w14:paraId="5A0240CC" w14:textId="77777777" w:rsidR="00C11EFE" w:rsidRPr="006212A3" w:rsidRDefault="00C11EFE" w:rsidP="00C11EFE">
            <w:pPr>
              <w:jc w:val="right"/>
              <w:rPr>
                <w:rFonts w:asciiTheme="minorHAnsi" w:hAnsiTheme="minorHAnsi" w:cstheme="minorHAnsi"/>
                <w:b/>
                <w:color w:val="000000"/>
                <w:sz w:val="14"/>
                <w:szCs w:val="14"/>
                <w:lang w:val="en-US" w:eastAsia="en-US"/>
              </w:rPr>
            </w:pPr>
            <w:r w:rsidRPr="006212A3">
              <w:rPr>
                <w:rFonts w:asciiTheme="minorHAnsi" w:hAnsiTheme="minorHAnsi" w:cstheme="minorHAnsi"/>
                <w:b/>
                <w:color w:val="000000"/>
                <w:sz w:val="14"/>
                <w:szCs w:val="14"/>
                <w:lang w:val="en-US" w:eastAsia="en-US"/>
              </w:rPr>
              <w:t>11.91</w:t>
            </w:r>
          </w:p>
        </w:tc>
        <w:tc>
          <w:tcPr>
            <w:tcW w:w="851" w:type="dxa"/>
            <w:tcBorders>
              <w:top w:val="nil"/>
              <w:left w:val="nil"/>
              <w:bottom w:val="nil"/>
              <w:right w:val="nil"/>
            </w:tcBorders>
            <w:shd w:val="clear" w:color="auto" w:fill="auto"/>
            <w:noWrap/>
            <w:hideMark/>
          </w:tcPr>
          <w:p w14:paraId="237CA967"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283</w:t>
            </w:r>
          </w:p>
        </w:tc>
        <w:tc>
          <w:tcPr>
            <w:tcW w:w="954" w:type="dxa"/>
            <w:tcBorders>
              <w:top w:val="nil"/>
              <w:left w:val="nil"/>
              <w:bottom w:val="nil"/>
              <w:right w:val="nil"/>
            </w:tcBorders>
            <w:shd w:val="clear" w:color="auto" w:fill="auto"/>
            <w:noWrap/>
            <w:hideMark/>
          </w:tcPr>
          <w:p w14:paraId="007B9F5A" w14:textId="1B5F01B0" w:rsidR="00C11EFE" w:rsidRPr="006212A3"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3,371</w:t>
            </w:r>
          </w:p>
        </w:tc>
        <w:tc>
          <w:tcPr>
            <w:tcW w:w="839" w:type="dxa"/>
            <w:tcBorders>
              <w:top w:val="nil"/>
              <w:left w:val="nil"/>
              <w:bottom w:val="nil"/>
              <w:right w:val="nil"/>
            </w:tcBorders>
            <w:shd w:val="clear" w:color="auto" w:fill="auto"/>
            <w:noWrap/>
            <w:hideMark/>
          </w:tcPr>
          <w:p w14:paraId="219CE563"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6,707</w:t>
            </w:r>
          </w:p>
        </w:tc>
        <w:tc>
          <w:tcPr>
            <w:tcW w:w="918" w:type="dxa"/>
            <w:tcBorders>
              <w:top w:val="nil"/>
              <w:left w:val="nil"/>
              <w:bottom w:val="nil"/>
              <w:right w:val="nil"/>
            </w:tcBorders>
            <w:shd w:val="clear" w:color="auto" w:fill="auto"/>
            <w:noWrap/>
            <w:hideMark/>
          </w:tcPr>
          <w:p w14:paraId="1B18C875"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23.7</w:t>
            </w:r>
          </w:p>
        </w:tc>
        <w:tc>
          <w:tcPr>
            <w:tcW w:w="597" w:type="dxa"/>
            <w:tcBorders>
              <w:top w:val="nil"/>
              <w:left w:val="nil"/>
              <w:bottom w:val="nil"/>
              <w:right w:val="nil"/>
            </w:tcBorders>
            <w:shd w:val="clear" w:color="auto" w:fill="auto"/>
            <w:noWrap/>
            <w:hideMark/>
          </w:tcPr>
          <w:p w14:paraId="20CEE60B"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0.49</w:t>
            </w:r>
          </w:p>
        </w:tc>
        <w:tc>
          <w:tcPr>
            <w:tcW w:w="575" w:type="dxa"/>
            <w:tcBorders>
              <w:top w:val="nil"/>
              <w:left w:val="nil"/>
              <w:bottom w:val="nil"/>
              <w:right w:val="nil"/>
            </w:tcBorders>
            <w:shd w:val="clear" w:color="auto" w:fill="auto"/>
            <w:noWrap/>
            <w:hideMark/>
          </w:tcPr>
          <w:p w14:paraId="3C5BF24D"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0.0%</w:t>
            </w:r>
          </w:p>
        </w:tc>
        <w:tc>
          <w:tcPr>
            <w:tcW w:w="575" w:type="dxa"/>
            <w:tcBorders>
              <w:top w:val="nil"/>
              <w:left w:val="nil"/>
              <w:bottom w:val="nil"/>
              <w:right w:val="nil"/>
            </w:tcBorders>
            <w:shd w:val="clear" w:color="auto" w:fill="auto"/>
            <w:noWrap/>
            <w:hideMark/>
          </w:tcPr>
          <w:p w14:paraId="2E6B3BF1"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0.1%</w:t>
            </w:r>
          </w:p>
        </w:tc>
        <w:tc>
          <w:tcPr>
            <w:tcW w:w="693" w:type="dxa"/>
            <w:tcBorders>
              <w:top w:val="nil"/>
              <w:left w:val="nil"/>
              <w:bottom w:val="nil"/>
              <w:right w:val="nil"/>
            </w:tcBorders>
            <w:shd w:val="clear" w:color="auto" w:fill="auto"/>
            <w:noWrap/>
            <w:hideMark/>
          </w:tcPr>
          <w:p w14:paraId="62E7651D"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12.21</w:t>
            </w:r>
          </w:p>
        </w:tc>
        <w:tc>
          <w:tcPr>
            <w:tcW w:w="693" w:type="dxa"/>
            <w:tcBorders>
              <w:top w:val="nil"/>
              <w:left w:val="nil"/>
              <w:bottom w:val="nil"/>
              <w:right w:val="nil"/>
            </w:tcBorders>
            <w:shd w:val="clear" w:color="auto" w:fill="auto"/>
            <w:noWrap/>
            <w:hideMark/>
          </w:tcPr>
          <w:p w14:paraId="621EFE32"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19 </w:t>
            </w:r>
          </w:p>
        </w:tc>
        <w:tc>
          <w:tcPr>
            <w:tcW w:w="861" w:type="dxa"/>
            <w:tcBorders>
              <w:top w:val="nil"/>
              <w:left w:val="nil"/>
              <w:bottom w:val="nil"/>
              <w:right w:val="nil"/>
            </w:tcBorders>
            <w:shd w:val="clear" w:color="auto" w:fill="auto"/>
            <w:noWrap/>
            <w:hideMark/>
          </w:tcPr>
          <w:p w14:paraId="5A0ABD3F"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251 </w:t>
            </w:r>
          </w:p>
        </w:tc>
      </w:tr>
      <w:tr w:rsidR="00C11EFE" w:rsidRPr="006212A3" w14:paraId="6056A481" w14:textId="77777777" w:rsidTr="00AA5590">
        <w:trPr>
          <w:trHeight w:hRule="exact" w:val="284"/>
        </w:trPr>
        <w:tc>
          <w:tcPr>
            <w:tcW w:w="675" w:type="dxa"/>
            <w:tcBorders>
              <w:top w:val="nil"/>
              <w:left w:val="nil"/>
              <w:bottom w:val="nil"/>
              <w:right w:val="nil"/>
            </w:tcBorders>
            <w:shd w:val="clear" w:color="auto" w:fill="auto"/>
            <w:noWrap/>
            <w:hideMark/>
          </w:tcPr>
          <w:p w14:paraId="6742D510"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No</w:t>
            </w:r>
          </w:p>
        </w:tc>
        <w:tc>
          <w:tcPr>
            <w:tcW w:w="709" w:type="dxa"/>
            <w:tcBorders>
              <w:top w:val="nil"/>
              <w:left w:val="nil"/>
              <w:bottom w:val="nil"/>
              <w:right w:val="nil"/>
            </w:tcBorders>
            <w:shd w:val="clear" w:color="auto" w:fill="auto"/>
            <w:noWrap/>
            <w:hideMark/>
          </w:tcPr>
          <w:p w14:paraId="09F4BE2D"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19</w:t>
            </w:r>
          </w:p>
        </w:tc>
        <w:tc>
          <w:tcPr>
            <w:tcW w:w="709" w:type="dxa"/>
            <w:tcBorders>
              <w:top w:val="nil"/>
              <w:left w:val="nil"/>
              <w:bottom w:val="nil"/>
              <w:right w:val="nil"/>
            </w:tcBorders>
            <w:shd w:val="clear" w:color="auto" w:fill="auto"/>
            <w:noWrap/>
            <w:hideMark/>
          </w:tcPr>
          <w:p w14:paraId="0D308564" w14:textId="7777777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G01A</w:t>
            </w:r>
          </w:p>
        </w:tc>
        <w:tc>
          <w:tcPr>
            <w:tcW w:w="4961" w:type="dxa"/>
            <w:tcBorders>
              <w:top w:val="nil"/>
              <w:left w:val="nil"/>
              <w:bottom w:val="nil"/>
              <w:right w:val="nil"/>
            </w:tcBorders>
            <w:shd w:val="clear" w:color="auto" w:fill="auto"/>
            <w:noWrap/>
            <w:hideMark/>
          </w:tcPr>
          <w:p w14:paraId="1979F3EB" w14:textId="7777777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Rectal Resection, Major Complexity</w:t>
            </w:r>
          </w:p>
        </w:tc>
        <w:tc>
          <w:tcPr>
            <w:tcW w:w="567" w:type="dxa"/>
            <w:tcBorders>
              <w:top w:val="nil"/>
              <w:left w:val="nil"/>
              <w:bottom w:val="nil"/>
              <w:right w:val="nil"/>
            </w:tcBorders>
            <w:shd w:val="clear" w:color="auto" w:fill="auto"/>
            <w:noWrap/>
            <w:hideMark/>
          </w:tcPr>
          <w:p w14:paraId="768F46C0" w14:textId="77777777" w:rsidR="00C11EFE" w:rsidRPr="006212A3" w:rsidRDefault="00C11EFE" w:rsidP="00C11EFE">
            <w:pPr>
              <w:jc w:val="right"/>
              <w:rPr>
                <w:rFonts w:asciiTheme="minorHAnsi" w:hAnsiTheme="minorHAnsi" w:cstheme="minorHAnsi"/>
                <w:b/>
                <w:color w:val="000000"/>
                <w:sz w:val="14"/>
                <w:szCs w:val="14"/>
                <w:lang w:val="en-US" w:eastAsia="en-US"/>
              </w:rPr>
            </w:pPr>
            <w:r w:rsidRPr="006212A3">
              <w:rPr>
                <w:rFonts w:asciiTheme="minorHAnsi" w:hAnsiTheme="minorHAnsi" w:cstheme="minorHAnsi"/>
                <w:b/>
                <w:color w:val="000000"/>
                <w:sz w:val="14"/>
                <w:szCs w:val="14"/>
                <w:lang w:val="en-US" w:eastAsia="en-US"/>
              </w:rPr>
              <w:t>11.45</w:t>
            </w:r>
          </w:p>
        </w:tc>
        <w:tc>
          <w:tcPr>
            <w:tcW w:w="851" w:type="dxa"/>
            <w:tcBorders>
              <w:top w:val="nil"/>
              <w:left w:val="nil"/>
              <w:bottom w:val="nil"/>
              <w:right w:val="nil"/>
            </w:tcBorders>
            <w:shd w:val="clear" w:color="auto" w:fill="auto"/>
            <w:noWrap/>
            <w:hideMark/>
          </w:tcPr>
          <w:p w14:paraId="719A1F6B"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300</w:t>
            </w:r>
          </w:p>
        </w:tc>
        <w:tc>
          <w:tcPr>
            <w:tcW w:w="954" w:type="dxa"/>
            <w:tcBorders>
              <w:top w:val="nil"/>
              <w:left w:val="nil"/>
              <w:bottom w:val="nil"/>
              <w:right w:val="nil"/>
            </w:tcBorders>
            <w:shd w:val="clear" w:color="auto" w:fill="auto"/>
            <w:noWrap/>
            <w:hideMark/>
          </w:tcPr>
          <w:p w14:paraId="40B44CD3" w14:textId="26D07536" w:rsidR="00C11EFE" w:rsidRPr="006212A3"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3,435</w:t>
            </w:r>
          </w:p>
        </w:tc>
        <w:tc>
          <w:tcPr>
            <w:tcW w:w="839" w:type="dxa"/>
            <w:tcBorders>
              <w:top w:val="nil"/>
              <w:left w:val="nil"/>
              <w:bottom w:val="nil"/>
              <w:right w:val="nil"/>
            </w:tcBorders>
            <w:shd w:val="clear" w:color="auto" w:fill="auto"/>
            <w:noWrap/>
            <w:hideMark/>
          </w:tcPr>
          <w:p w14:paraId="5FF4055B"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8,013</w:t>
            </w:r>
          </w:p>
        </w:tc>
        <w:tc>
          <w:tcPr>
            <w:tcW w:w="918" w:type="dxa"/>
            <w:tcBorders>
              <w:top w:val="nil"/>
              <w:left w:val="nil"/>
              <w:bottom w:val="nil"/>
              <w:right w:val="nil"/>
            </w:tcBorders>
            <w:shd w:val="clear" w:color="auto" w:fill="auto"/>
            <w:noWrap/>
            <w:hideMark/>
          </w:tcPr>
          <w:p w14:paraId="2F7E5192"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26.7</w:t>
            </w:r>
          </w:p>
        </w:tc>
        <w:tc>
          <w:tcPr>
            <w:tcW w:w="597" w:type="dxa"/>
            <w:tcBorders>
              <w:top w:val="nil"/>
              <w:left w:val="nil"/>
              <w:bottom w:val="nil"/>
              <w:right w:val="nil"/>
            </w:tcBorders>
            <w:shd w:val="clear" w:color="auto" w:fill="auto"/>
            <w:noWrap/>
            <w:hideMark/>
          </w:tcPr>
          <w:p w14:paraId="1C0C1BE4"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0.47</w:t>
            </w:r>
          </w:p>
        </w:tc>
        <w:tc>
          <w:tcPr>
            <w:tcW w:w="575" w:type="dxa"/>
            <w:tcBorders>
              <w:top w:val="nil"/>
              <w:left w:val="nil"/>
              <w:bottom w:val="nil"/>
              <w:right w:val="nil"/>
            </w:tcBorders>
            <w:shd w:val="clear" w:color="auto" w:fill="auto"/>
            <w:noWrap/>
            <w:hideMark/>
          </w:tcPr>
          <w:p w14:paraId="1796C91B"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0.0%</w:t>
            </w:r>
          </w:p>
        </w:tc>
        <w:tc>
          <w:tcPr>
            <w:tcW w:w="575" w:type="dxa"/>
            <w:tcBorders>
              <w:top w:val="nil"/>
              <w:left w:val="nil"/>
              <w:bottom w:val="nil"/>
              <w:right w:val="nil"/>
            </w:tcBorders>
            <w:shd w:val="clear" w:color="auto" w:fill="auto"/>
            <w:noWrap/>
            <w:hideMark/>
          </w:tcPr>
          <w:p w14:paraId="0EADCB08"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0.1%</w:t>
            </w:r>
          </w:p>
        </w:tc>
        <w:tc>
          <w:tcPr>
            <w:tcW w:w="693" w:type="dxa"/>
            <w:tcBorders>
              <w:top w:val="nil"/>
              <w:left w:val="nil"/>
              <w:bottom w:val="nil"/>
              <w:right w:val="nil"/>
            </w:tcBorders>
            <w:shd w:val="clear" w:color="auto" w:fill="auto"/>
            <w:noWrap/>
            <w:hideMark/>
          </w:tcPr>
          <w:p w14:paraId="3C52AA8D"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11.69</w:t>
            </w:r>
          </w:p>
        </w:tc>
        <w:tc>
          <w:tcPr>
            <w:tcW w:w="693" w:type="dxa"/>
            <w:tcBorders>
              <w:top w:val="nil"/>
              <w:left w:val="nil"/>
              <w:bottom w:val="nil"/>
              <w:right w:val="nil"/>
            </w:tcBorders>
            <w:shd w:val="clear" w:color="auto" w:fill="auto"/>
            <w:noWrap/>
            <w:hideMark/>
          </w:tcPr>
          <w:p w14:paraId="4A65C959"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22 </w:t>
            </w:r>
          </w:p>
        </w:tc>
        <w:tc>
          <w:tcPr>
            <w:tcW w:w="861" w:type="dxa"/>
            <w:tcBorders>
              <w:top w:val="nil"/>
              <w:left w:val="nil"/>
              <w:bottom w:val="nil"/>
              <w:right w:val="nil"/>
            </w:tcBorders>
            <w:shd w:val="clear" w:color="auto" w:fill="auto"/>
            <w:noWrap/>
            <w:hideMark/>
          </w:tcPr>
          <w:p w14:paraId="3DEA4B46"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266 </w:t>
            </w:r>
          </w:p>
        </w:tc>
      </w:tr>
      <w:tr w:rsidR="00C11EFE" w:rsidRPr="006212A3" w14:paraId="2A869AFE" w14:textId="77777777" w:rsidTr="00AA5590">
        <w:trPr>
          <w:trHeight w:hRule="exact" w:val="284"/>
        </w:trPr>
        <w:tc>
          <w:tcPr>
            <w:tcW w:w="675" w:type="dxa"/>
            <w:tcBorders>
              <w:top w:val="nil"/>
              <w:left w:val="nil"/>
              <w:bottom w:val="nil"/>
              <w:right w:val="nil"/>
            </w:tcBorders>
            <w:shd w:val="clear" w:color="auto" w:fill="auto"/>
            <w:noWrap/>
            <w:hideMark/>
          </w:tcPr>
          <w:p w14:paraId="76F1CE2A"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Yes</w:t>
            </w:r>
          </w:p>
        </w:tc>
        <w:tc>
          <w:tcPr>
            <w:tcW w:w="709" w:type="dxa"/>
            <w:tcBorders>
              <w:top w:val="nil"/>
              <w:left w:val="nil"/>
              <w:bottom w:val="nil"/>
              <w:right w:val="nil"/>
            </w:tcBorders>
            <w:shd w:val="clear" w:color="auto" w:fill="auto"/>
            <w:noWrap/>
            <w:hideMark/>
          </w:tcPr>
          <w:p w14:paraId="357F1147" w14:textId="77777777" w:rsidR="00C11EFE" w:rsidRPr="006212A3" w:rsidRDefault="00C11EFE" w:rsidP="00C11EFE">
            <w:pPr>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20</w:t>
            </w:r>
          </w:p>
        </w:tc>
        <w:tc>
          <w:tcPr>
            <w:tcW w:w="709" w:type="dxa"/>
            <w:tcBorders>
              <w:top w:val="nil"/>
              <w:left w:val="nil"/>
              <w:bottom w:val="nil"/>
              <w:right w:val="nil"/>
            </w:tcBorders>
            <w:shd w:val="clear" w:color="auto" w:fill="auto"/>
            <w:noWrap/>
            <w:hideMark/>
          </w:tcPr>
          <w:p w14:paraId="66C6998C" w14:textId="7777777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F06A</w:t>
            </w:r>
          </w:p>
        </w:tc>
        <w:tc>
          <w:tcPr>
            <w:tcW w:w="4961" w:type="dxa"/>
            <w:tcBorders>
              <w:top w:val="nil"/>
              <w:left w:val="nil"/>
              <w:bottom w:val="nil"/>
              <w:right w:val="nil"/>
            </w:tcBorders>
            <w:shd w:val="clear" w:color="auto" w:fill="auto"/>
            <w:noWrap/>
            <w:hideMark/>
          </w:tcPr>
          <w:p w14:paraId="6BFD7802" w14:textId="0C0FDB57" w:rsidR="00C11EFE" w:rsidRPr="006212A3" w:rsidRDefault="00C11EFE" w:rsidP="00C11EFE">
            <w:pP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Coronary Bypass W/O Invasive Cardiac Investigation, Major Complexity</w:t>
            </w:r>
          </w:p>
        </w:tc>
        <w:tc>
          <w:tcPr>
            <w:tcW w:w="567" w:type="dxa"/>
            <w:tcBorders>
              <w:top w:val="nil"/>
              <w:left w:val="nil"/>
              <w:bottom w:val="nil"/>
              <w:right w:val="nil"/>
            </w:tcBorders>
            <w:shd w:val="clear" w:color="auto" w:fill="auto"/>
            <w:noWrap/>
            <w:hideMark/>
          </w:tcPr>
          <w:p w14:paraId="75F1D0FF" w14:textId="77777777" w:rsidR="00C11EFE" w:rsidRPr="006212A3" w:rsidRDefault="00C11EFE" w:rsidP="00C11EFE">
            <w:pPr>
              <w:jc w:val="right"/>
              <w:rPr>
                <w:rFonts w:asciiTheme="minorHAnsi" w:hAnsiTheme="minorHAnsi" w:cstheme="minorHAnsi"/>
                <w:b/>
                <w:color w:val="000000"/>
                <w:sz w:val="14"/>
                <w:szCs w:val="14"/>
                <w:lang w:val="en-US" w:eastAsia="en-US"/>
              </w:rPr>
            </w:pPr>
            <w:r w:rsidRPr="006212A3">
              <w:rPr>
                <w:rFonts w:asciiTheme="minorHAnsi" w:hAnsiTheme="minorHAnsi" w:cstheme="minorHAnsi"/>
                <w:b/>
                <w:color w:val="000000"/>
                <w:sz w:val="14"/>
                <w:szCs w:val="14"/>
                <w:lang w:val="en-US" w:eastAsia="en-US"/>
              </w:rPr>
              <w:t>11.16</w:t>
            </w:r>
          </w:p>
        </w:tc>
        <w:tc>
          <w:tcPr>
            <w:tcW w:w="851" w:type="dxa"/>
            <w:tcBorders>
              <w:top w:val="nil"/>
              <w:left w:val="nil"/>
              <w:bottom w:val="nil"/>
              <w:right w:val="nil"/>
            </w:tcBorders>
            <w:shd w:val="clear" w:color="auto" w:fill="auto"/>
            <w:noWrap/>
            <w:hideMark/>
          </w:tcPr>
          <w:p w14:paraId="58EBB29B"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546</w:t>
            </w:r>
          </w:p>
        </w:tc>
        <w:tc>
          <w:tcPr>
            <w:tcW w:w="954" w:type="dxa"/>
            <w:tcBorders>
              <w:top w:val="nil"/>
              <w:left w:val="nil"/>
              <w:bottom w:val="nil"/>
              <w:right w:val="nil"/>
            </w:tcBorders>
            <w:shd w:val="clear" w:color="auto" w:fill="auto"/>
            <w:noWrap/>
            <w:hideMark/>
          </w:tcPr>
          <w:p w14:paraId="652FDAC5" w14:textId="262D5BE8" w:rsidR="00C11EFE" w:rsidRPr="006212A3"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6,093</w:t>
            </w:r>
          </w:p>
        </w:tc>
        <w:tc>
          <w:tcPr>
            <w:tcW w:w="839" w:type="dxa"/>
            <w:tcBorders>
              <w:top w:val="nil"/>
              <w:left w:val="nil"/>
              <w:bottom w:val="nil"/>
              <w:right w:val="nil"/>
            </w:tcBorders>
            <w:shd w:val="clear" w:color="auto" w:fill="auto"/>
            <w:noWrap/>
            <w:hideMark/>
          </w:tcPr>
          <w:p w14:paraId="77E89812"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8,659</w:t>
            </w:r>
          </w:p>
        </w:tc>
        <w:tc>
          <w:tcPr>
            <w:tcW w:w="918" w:type="dxa"/>
            <w:tcBorders>
              <w:top w:val="nil"/>
              <w:left w:val="nil"/>
              <w:bottom w:val="nil"/>
              <w:right w:val="nil"/>
            </w:tcBorders>
            <w:shd w:val="clear" w:color="auto" w:fill="auto"/>
            <w:noWrap/>
            <w:hideMark/>
          </w:tcPr>
          <w:p w14:paraId="311EE8F2"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15.9</w:t>
            </w:r>
          </w:p>
        </w:tc>
        <w:tc>
          <w:tcPr>
            <w:tcW w:w="597" w:type="dxa"/>
            <w:tcBorders>
              <w:top w:val="nil"/>
              <w:left w:val="nil"/>
              <w:bottom w:val="nil"/>
              <w:right w:val="nil"/>
            </w:tcBorders>
            <w:shd w:val="clear" w:color="auto" w:fill="auto"/>
            <w:noWrap/>
            <w:hideMark/>
          </w:tcPr>
          <w:p w14:paraId="09DB4FE1"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0.33</w:t>
            </w:r>
          </w:p>
        </w:tc>
        <w:tc>
          <w:tcPr>
            <w:tcW w:w="575" w:type="dxa"/>
            <w:tcBorders>
              <w:top w:val="nil"/>
              <w:left w:val="nil"/>
              <w:bottom w:val="nil"/>
              <w:right w:val="nil"/>
            </w:tcBorders>
            <w:shd w:val="clear" w:color="auto" w:fill="auto"/>
            <w:noWrap/>
            <w:hideMark/>
          </w:tcPr>
          <w:p w14:paraId="3D94148C"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0.0%</w:t>
            </w:r>
          </w:p>
        </w:tc>
        <w:tc>
          <w:tcPr>
            <w:tcW w:w="575" w:type="dxa"/>
            <w:tcBorders>
              <w:top w:val="nil"/>
              <w:left w:val="nil"/>
              <w:bottom w:val="nil"/>
              <w:right w:val="nil"/>
            </w:tcBorders>
            <w:shd w:val="clear" w:color="auto" w:fill="auto"/>
            <w:noWrap/>
            <w:hideMark/>
          </w:tcPr>
          <w:p w14:paraId="74E52655"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0.2%</w:t>
            </w:r>
          </w:p>
        </w:tc>
        <w:tc>
          <w:tcPr>
            <w:tcW w:w="693" w:type="dxa"/>
            <w:tcBorders>
              <w:top w:val="nil"/>
              <w:left w:val="nil"/>
              <w:bottom w:val="nil"/>
              <w:right w:val="nil"/>
            </w:tcBorders>
            <w:shd w:val="clear" w:color="auto" w:fill="auto"/>
            <w:noWrap/>
            <w:hideMark/>
          </w:tcPr>
          <w:p w14:paraId="15FC852A"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12.47</w:t>
            </w:r>
          </w:p>
        </w:tc>
        <w:tc>
          <w:tcPr>
            <w:tcW w:w="693" w:type="dxa"/>
            <w:tcBorders>
              <w:top w:val="nil"/>
              <w:left w:val="nil"/>
              <w:bottom w:val="nil"/>
              <w:right w:val="nil"/>
            </w:tcBorders>
            <w:shd w:val="clear" w:color="auto" w:fill="auto"/>
            <w:noWrap/>
            <w:hideMark/>
          </w:tcPr>
          <w:p w14:paraId="138D6085"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17 </w:t>
            </w:r>
          </w:p>
        </w:tc>
        <w:tc>
          <w:tcPr>
            <w:tcW w:w="861" w:type="dxa"/>
            <w:tcBorders>
              <w:top w:val="nil"/>
              <w:left w:val="nil"/>
              <w:bottom w:val="nil"/>
              <w:right w:val="nil"/>
            </w:tcBorders>
            <w:shd w:val="clear" w:color="auto" w:fill="auto"/>
            <w:noWrap/>
            <w:hideMark/>
          </w:tcPr>
          <w:p w14:paraId="31BC9400" w14:textId="77777777" w:rsidR="00C11EFE" w:rsidRPr="006212A3" w:rsidRDefault="00C11EFE" w:rsidP="00C11EFE">
            <w:pPr>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370 </w:t>
            </w:r>
          </w:p>
        </w:tc>
      </w:tr>
      <w:tr w:rsidR="00155707" w:rsidRPr="006212A3" w14:paraId="788397DE" w14:textId="77777777" w:rsidTr="00B55B42">
        <w:trPr>
          <w:trHeight w:val="221"/>
        </w:trPr>
        <w:tc>
          <w:tcPr>
            <w:tcW w:w="675" w:type="dxa"/>
            <w:tcBorders>
              <w:top w:val="single" w:sz="4" w:space="0" w:color="auto"/>
              <w:left w:val="nil"/>
              <w:bottom w:val="nil"/>
              <w:right w:val="nil"/>
            </w:tcBorders>
            <w:shd w:val="clear" w:color="auto" w:fill="auto"/>
            <w:noWrap/>
            <w:hideMark/>
          </w:tcPr>
          <w:p w14:paraId="08F4D7B2" w14:textId="77777777" w:rsidR="002D278B" w:rsidRPr="006212A3" w:rsidRDefault="002D278B" w:rsidP="00B55B42">
            <w:pPr>
              <w:spacing w:after="0"/>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16</w:t>
            </w:r>
          </w:p>
        </w:tc>
        <w:tc>
          <w:tcPr>
            <w:tcW w:w="6379" w:type="dxa"/>
            <w:gridSpan w:val="3"/>
            <w:tcBorders>
              <w:top w:val="single" w:sz="4" w:space="0" w:color="auto"/>
              <w:left w:val="nil"/>
              <w:bottom w:val="nil"/>
              <w:right w:val="nil"/>
            </w:tcBorders>
            <w:shd w:val="clear" w:color="auto" w:fill="auto"/>
            <w:noWrap/>
            <w:hideMark/>
          </w:tcPr>
          <w:p w14:paraId="34037DD7" w14:textId="77777777" w:rsidR="002D278B" w:rsidRPr="006212A3" w:rsidRDefault="002D278B" w:rsidP="00B55B42">
            <w:pPr>
              <w:spacing w:after="0"/>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Sub-total, top 20 highest cost weight</w:t>
            </w:r>
          </w:p>
        </w:tc>
        <w:tc>
          <w:tcPr>
            <w:tcW w:w="567" w:type="dxa"/>
            <w:tcBorders>
              <w:top w:val="single" w:sz="4" w:space="0" w:color="auto"/>
              <w:left w:val="nil"/>
              <w:bottom w:val="nil"/>
              <w:right w:val="nil"/>
            </w:tcBorders>
            <w:shd w:val="clear" w:color="auto" w:fill="auto"/>
            <w:noWrap/>
            <w:hideMark/>
          </w:tcPr>
          <w:p w14:paraId="04FF6119" w14:textId="77777777" w:rsidR="002D278B" w:rsidRPr="006212A3" w:rsidRDefault="002D278B" w:rsidP="00B55B42">
            <w:pPr>
              <w:spacing w:after="0"/>
              <w:jc w:val="right"/>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15.85</w:t>
            </w:r>
          </w:p>
        </w:tc>
        <w:tc>
          <w:tcPr>
            <w:tcW w:w="851" w:type="dxa"/>
            <w:tcBorders>
              <w:top w:val="single" w:sz="4" w:space="0" w:color="auto"/>
              <w:left w:val="nil"/>
              <w:bottom w:val="nil"/>
              <w:right w:val="nil"/>
            </w:tcBorders>
            <w:shd w:val="clear" w:color="auto" w:fill="auto"/>
            <w:noWrap/>
            <w:hideMark/>
          </w:tcPr>
          <w:p w14:paraId="543CB434" w14:textId="77777777" w:rsidR="002D278B" w:rsidRPr="006212A3" w:rsidRDefault="002D278B" w:rsidP="00B55B42">
            <w:pPr>
              <w:spacing w:after="0"/>
              <w:jc w:val="right"/>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8,241</w:t>
            </w:r>
          </w:p>
        </w:tc>
        <w:tc>
          <w:tcPr>
            <w:tcW w:w="954" w:type="dxa"/>
            <w:tcBorders>
              <w:top w:val="single" w:sz="4" w:space="0" w:color="auto"/>
              <w:left w:val="nil"/>
              <w:bottom w:val="nil"/>
              <w:right w:val="nil"/>
            </w:tcBorders>
            <w:shd w:val="clear" w:color="auto" w:fill="auto"/>
            <w:noWrap/>
            <w:hideMark/>
          </w:tcPr>
          <w:p w14:paraId="37DA0A9B" w14:textId="352B8B1B" w:rsidR="002D278B" w:rsidRPr="006212A3" w:rsidRDefault="002D278B" w:rsidP="00C11EFE">
            <w:pPr>
              <w:spacing w:after="0"/>
              <w:jc w:val="right"/>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130,6</w:t>
            </w:r>
            <w:r w:rsidR="00C11EFE">
              <w:rPr>
                <w:rFonts w:asciiTheme="minorHAnsi" w:hAnsiTheme="minorHAnsi" w:cstheme="minorHAnsi"/>
                <w:b/>
                <w:bCs/>
                <w:color w:val="000000"/>
                <w:sz w:val="14"/>
                <w:szCs w:val="14"/>
                <w:lang w:val="en-US" w:eastAsia="en-US"/>
              </w:rPr>
              <w:t>50</w:t>
            </w:r>
          </w:p>
        </w:tc>
        <w:tc>
          <w:tcPr>
            <w:tcW w:w="839" w:type="dxa"/>
            <w:tcBorders>
              <w:top w:val="single" w:sz="4" w:space="0" w:color="auto"/>
              <w:left w:val="nil"/>
              <w:bottom w:val="nil"/>
              <w:right w:val="nil"/>
            </w:tcBorders>
            <w:shd w:val="clear" w:color="auto" w:fill="auto"/>
            <w:noWrap/>
            <w:hideMark/>
          </w:tcPr>
          <w:p w14:paraId="42D59C5F" w14:textId="77777777" w:rsidR="002D278B" w:rsidRPr="006212A3" w:rsidRDefault="002D278B" w:rsidP="00B55B42">
            <w:pPr>
              <w:spacing w:after="0"/>
              <w:jc w:val="right"/>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127,776</w:t>
            </w:r>
          </w:p>
        </w:tc>
        <w:tc>
          <w:tcPr>
            <w:tcW w:w="918" w:type="dxa"/>
            <w:tcBorders>
              <w:top w:val="single" w:sz="4" w:space="0" w:color="auto"/>
              <w:left w:val="nil"/>
              <w:bottom w:val="nil"/>
              <w:right w:val="nil"/>
            </w:tcBorders>
            <w:shd w:val="clear" w:color="auto" w:fill="auto"/>
            <w:noWrap/>
            <w:hideMark/>
          </w:tcPr>
          <w:p w14:paraId="17DCCDF8" w14:textId="77777777" w:rsidR="002D278B" w:rsidRPr="006212A3" w:rsidRDefault="002D278B" w:rsidP="00B55B42">
            <w:pPr>
              <w:spacing w:after="0"/>
              <w:jc w:val="right"/>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15.5</w:t>
            </w:r>
          </w:p>
        </w:tc>
        <w:tc>
          <w:tcPr>
            <w:tcW w:w="597" w:type="dxa"/>
            <w:tcBorders>
              <w:top w:val="single" w:sz="4" w:space="0" w:color="auto"/>
              <w:left w:val="nil"/>
              <w:bottom w:val="nil"/>
              <w:right w:val="nil"/>
            </w:tcBorders>
            <w:shd w:val="clear" w:color="auto" w:fill="auto"/>
            <w:noWrap/>
            <w:hideMark/>
          </w:tcPr>
          <w:p w14:paraId="0CD65453" w14:textId="77777777" w:rsidR="002D278B" w:rsidRPr="006212A3" w:rsidRDefault="002D278B" w:rsidP="00B55B42">
            <w:pPr>
              <w:spacing w:after="0"/>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w:t>
            </w:r>
          </w:p>
        </w:tc>
        <w:tc>
          <w:tcPr>
            <w:tcW w:w="575" w:type="dxa"/>
            <w:tcBorders>
              <w:top w:val="single" w:sz="4" w:space="0" w:color="auto"/>
              <w:left w:val="nil"/>
              <w:bottom w:val="nil"/>
              <w:right w:val="nil"/>
            </w:tcBorders>
            <w:shd w:val="clear" w:color="auto" w:fill="auto"/>
            <w:noWrap/>
            <w:hideMark/>
          </w:tcPr>
          <w:p w14:paraId="156DB498" w14:textId="77777777" w:rsidR="002D278B" w:rsidRPr="006212A3" w:rsidRDefault="002D278B" w:rsidP="00B55B42">
            <w:pPr>
              <w:spacing w:after="0"/>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0.3%</w:t>
            </w:r>
          </w:p>
        </w:tc>
        <w:tc>
          <w:tcPr>
            <w:tcW w:w="575" w:type="dxa"/>
            <w:tcBorders>
              <w:top w:val="single" w:sz="4" w:space="0" w:color="auto"/>
              <w:left w:val="nil"/>
              <w:bottom w:val="nil"/>
              <w:right w:val="nil"/>
            </w:tcBorders>
            <w:shd w:val="clear" w:color="auto" w:fill="auto"/>
            <w:noWrap/>
            <w:hideMark/>
          </w:tcPr>
          <w:p w14:paraId="2CB5E6CA" w14:textId="77777777" w:rsidR="002D278B" w:rsidRPr="006212A3" w:rsidRDefault="002D278B" w:rsidP="00B55B42">
            <w:pPr>
              <w:spacing w:after="0"/>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4.3%</w:t>
            </w:r>
          </w:p>
        </w:tc>
        <w:tc>
          <w:tcPr>
            <w:tcW w:w="693" w:type="dxa"/>
            <w:tcBorders>
              <w:top w:val="single" w:sz="4" w:space="0" w:color="auto"/>
              <w:left w:val="nil"/>
              <w:bottom w:val="nil"/>
              <w:right w:val="nil"/>
            </w:tcBorders>
            <w:shd w:val="clear" w:color="auto" w:fill="auto"/>
            <w:noWrap/>
            <w:hideMark/>
          </w:tcPr>
          <w:p w14:paraId="5963965E" w14:textId="77777777" w:rsidR="002D278B" w:rsidRPr="006212A3" w:rsidRDefault="002D278B" w:rsidP="00B55B42">
            <w:pPr>
              <w:spacing w:after="0"/>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 </w:t>
            </w:r>
          </w:p>
        </w:tc>
        <w:tc>
          <w:tcPr>
            <w:tcW w:w="693" w:type="dxa"/>
            <w:tcBorders>
              <w:top w:val="single" w:sz="4" w:space="0" w:color="auto"/>
              <w:left w:val="nil"/>
              <w:bottom w:val="nil"/>
              <w:right w:val="nil"/>
            </w:tcBorders>
            <w:shd w:val="clear" w:color="auto" w:fill="auto"/>
            <w:noWrap/>
            <w:hideMark/>
          </w:tcPr>
          <w:p w14:paraId="5C8C7CD2" w14:textId="77777777" w:rsidR="002D278B" w:rsidRPr="006212A3" w:rsidRDefault="002D278B" w:rsidP="00B55B42">
            <w:pPr>
              <w:spacing w:after="0"/>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 </w:t>
            </w:r>
          </w:p>
        </w:tc>
        <w:tc>
          <w:tcPr>
            <w:tcW w:w="861" w:type="dxa"/>
            <w:tcBorders>
              <w:top w:val="single" w:sz="4" w:space="0" w:color="auto"/>
              <w:left w:val="nil"/>
              <w:bottom w:val="nil"/>
              <w:right w:val="nil"/>
            </w:tcBorders>
            <w:shd w:val="clear" w:color="auto" w:fill="auto"/>
            <w:noWrap/>
            <w:hideMark/>
          </w:tcPr>
          <w:p w14:paraId="149D7AFA" w14:textId="77777777" w:rsidR="002D278B" w:rsidRPr="006212A3" w:rsidRDefault="002D278B" w:rsidP="00B55B42">
            <w:pPr>
              <w:spacing w:after="0"/>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 </w:t>
            </w:r>
          </w:p>
        </w:tc>
      </w:tr>
      <w:tr w:rsidR="00B55B42" w:rsidRPr="006212A3" w14:paraId="0B71CA7C" w14:textId="77777777" w:rsidTr="00D82B6B">
        <w:trPr>
          <w:trHeight w:val="221"/>
        </w:trPr>
        <w:tc>
          <w:tcPr>
            <w:tcW w:w="675" w:type="dxa"/>
            <w:tcBorders>
              <w:top w:val="nil"/>
              <w:left w:val="nil"/>
              <w:bottom w:val="nil"/>
              <w:right w:val="nil"/>
            </w:tcBorders>
            <w:shd w:val="clear" w:color="auto" w:fill="auto"/>
            <w:noWrap/>
            <w:hideMark/>
          </w:tcPr>
          <w:p w14:paraId="6B6611B0" w14:textId="77777777" w:rsidR="00B55B42" w:rsidRPr="006212A3" w:rsidRDefault="00B55B42" w:rsidP="00B55B42">
            <w:pPr>
              <w:spacing w:after="0"/>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xml:space="preserve">in </w:t>
            </w:r>
          </w:p>
        </w:tc>
        <w:tc>
          <w:tcPr>
            <w:tcW w:w="6379" w:type="dxa"/>
            <w:gridSpan w:val="3"/>
            <w:tcBorders>
              <w:top w:val="nil"/>
              <w:left w:val="nil"/>
              <w:bottom w:val="nil"/>
              <w:right w:val="nil"/>
            </w:tcBorders>
            <w:shd w:val="clear" w:color="auto" w:fill="auto"/>
            <w:noWrap/>
            <w:hideMark/>
          </w:tcPr>
          <w:p w14:paraId="1DF4A831" w14:textId="5C353746" w:rsidR="00B55B42" w:rsidRPr="006212A3" w:rsidRDefault="00B55B42" w:rsidP="00B55B42">
            <w:pPr>
              <w:spacing w:after="0"/>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All DRG</w:t>
            </w:r>
            <w:r>
              <w:rPr>
                <w:rFonts w:asciiTheme="minorHAnsi" w:hAnsiTheme="minorHAnsi" w:cstheme="minorHAnsi"/>
                <w:b/>
                <w:bCs/>
                <w:color w:val="000000"/>
                <w:sz w:val="14"/>
                <w:szCs w:val="14"/>
                <w:lang w:val="en-US" w:eastAsia="en-US"/>
              </w:rPr>
              <w:t>’s</w:t>
            </w:r>
          </w:p>
        </w:tc>
        <w:tc>
          <w:tcPr>
            <w:tcW w:w="567" w:type="dxa"/>
            <w:tcBorders>
              <w:top w:val="nil"/>
              <w:left w:val="nil"/>
              <w:bottom w:val="nil"/>
              <w:right w:val="nil"/>
            </w:tcBorders>
            <w:shd w:val="clear" w:color="auto" w:fill="auto"/>
            <w:noWrap/>
            <w:hideMark/>
          </w:tcPr>
          <w:p w14:paraId="4DE50F3B" w14:textId="77777777" w:rsidR="00B55B42" w:rsidRPr="006212A3" w:rsidRDefault="00B55B42" w:rsidP="00B55B42">
            <w:pPr>
              <w:spacing w:after="0"/>
              <w:jc w:val="right"/>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1.00</w:t>
            </w:r>
          </w:p>
        </w:tc>
        <w:tc>
          <w:tcPr>
            <w:tcW w:w="851" w:type="dxa"/>
            <w:tcBorders>
              <w:top w:val="nil"/>
              <w:left w:val="nil"/>
              <w:bottom w:val="nil"/>
              <w:right w:val="nil"/>
            </w:tcBorders>
            <w:shd w:val="clear" w:color="auto" w:fill="auto"/>
            <w:noWrap/>
            <w:hideMark/>
          </w:tcPr>
          <w:p w14:paraId="67862372" w14:textId="4E51F6F8" w:rsidR="00B55B42" w:rsidRPr="006212A3" w:rsidRDefault="00B55B42" w:rsidP="00B55B42">
            <w:pPr>
              <w:spacing w:after="0"/>
              <w:jc w:val="right"/>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3,051,681</w:t>
            </w:r>
          </w:p>
        </w:tc>
        <w:tc>
          <w:tcPr>
            <w:tcW w:w="954" w:type="dxa"/>
            <w:tcBorders>
              <w:top w:val="nil"/>
              <w:left w:val="nil"/>
              <w:bottom w:val="nil"/>
              <w:right w:val="nil"/>
            </w:tcBorders>
            <w:shd w:val="clear" w:color="auto" w:fill="auto"/>
            <w:noWrap/>
            <w:hideMark/>
          </w:tcPr>
          <w:p w14:paraId="200AC487" w14:textId="6C3A1ECD" w:rsidR="00B55B42" w:rsidRPr="006212A3" w:rsidRDefault="00B55B42" w:rsidP="00B55B42">
            <w:pPr>
              <w:spacing w:after="0"/>
              <w:jc w:val="right"/>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3,051,681</w:t>
            </w:r>
          </w:p>
        </w:tc>
        <w:tc>
          <w:tcPr>
            <w:tcW w:w="839" w:type="dxa"/>
            <w:tcBorders>
              <w:top w:val="nil"/>
              <w:left w:val="nil"/>
              <w:bottom w:val="nil"/>
              <w:right w:val="nil"/>
            </w:tcBorders>
            <w:shd w:val="clear" w:color="auto" w:fill="auto"/>
            <w:noWrap/>
            <w:hideMark/>
          </w:tcPr>
          <w:p w14:paraId="58222909" w14:textId="77777777" w:rsidR="00B55B42" w:rsidRPr="006212A3" w:rsidRDefault="00B55B42" w:rsidP="00B55B42">
            <w:pPr>
              <w:spacing w:after="0"/>
              <w:jc w:val="right"/>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7,153,742</w:t>
            </w:r>
          </w:p>
        </w:tc>
        <w:tc>
          <w:tcPr>
            <w:tcW w:w="918" w:type="dxa"/>
            <w:tcBorders>
              <w:top w:val="nil"/>
              <w:left w:val="nil"/>
              <w:bottom w:val="nil"/>
              <w:right w:val="nil"/>
            </w:tcBorders>
            <w:shd w:val="clear" w:color="auto" w:fill="auto"/>
            <w:noWrap/>
            <w:hideMark/>
          </w:tcPr>
          <w:p w14:paraId="318D2EBD" w14:textId="77777777" w:rsidR="00B55B42" w:rsidRPr="006212A3" w:rsidRDefault="00B55B42" w:rsidP="00B55B42">
            <w:pPr>
              <w:spacing w:after="0"/>
              <w:jc w:val="right"/>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2.3</w:t>
            </w:r>
          </w:p>
        </w:tc>
        <w:tc>
          <w:tcPr>
            <w:tcW w:w="597" w:type="dxa"/>
            <w:tcBorders>
              <w:top w:val="nil"/>
              <w:left w:val="nil"/>
              <w:bottom w:val="nil"/>
              <w:right w:val="nil"/>
            </w:tcBorders>
            <w:shd w:val="clear" w:color="auto" w:fill="auto"/>
            <w:noWrap/>
            <w:hideMark/>
          </w:tcPr>
          <w:p w14:paraId="1046D4CA" w14:textId="77777777" w:rsidR="00B55B42" w:rsidRPr="006212A3" w:rsidRDefault="00B55B42" w:rsidP="00B55B42">
            <w:pPr>
              <w:spacing w:after="0"/>
              <w:jc w:val="right"/>
              <w:rPr>
                <w:rFonts w:asciiTheme="minorHAnsi" w:hAnsiTheme="minorHAnsi" w:cstheme="minorHAnsi"/>
                <w:b/>
                <w:bCs/>
                <w:color w:val="000000"/>
                <w:sz w:val="14"/>
                <w:szCs w:val="14"/>
                <w:lang w:val="en-US" w:eastAsia="en-US"/>
              </w:rPr>
            </w:pPr>
          </w:p>
        </w:tc>
        <w:tc>
          <w:tcPr>
            <w:tcW w:w="575" w:type="dxa"/>
            <w:tcBorders>
              <w:top w:val="nil"/>
              <w:left w:val="nil"/>
              <w:bottom w:val="nil"/>
              <w:right w:val="nil"/>
            </w:tcBorders>
            <w:shd w:val="clear" w:color="auto" w:fill="auto"/>
            <w:noWrap/>
            <w:hideMark/>
          </w:tcPr>
          <w:p w14:paraId="085E11D8" w14:textId="77777777" w:rsidR="00B55B42" w:rsidRPr="006212A3" w:rsidRDefault="00B55B42" w:rsidP="00B55B42">
            <w:pPr>
              <w:spacing w:after="0"/>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100%</w:t>
            </w:r>
          </w:p>
        </w:tc>
        <w:tc>
          <w:tcPr>
            <w:tcW w:w="575" w:type="dxa"/>
            <w:tcBorders>
              <w:top w:val="nil"/>
              <w:left w:val="nil"/>
              <w:bottom w:val="nil"/>
              <w:right w:val="nil"/>
            </w:tcBorders>
            <w:shd w:val="clear" w:color="auto" w:fill="auto"/>
            <w:noWrap/>
            <w:hideMark/>
          </w:tcPr>
          <w:p w14:paraId="1BDF3163" w14:textId="77777777" w:rsidR="00B55B42" w:rsidRPr="006212A3" w:rsidRDefault="00B55B42" w:rsidP="00B55B42">
            <w:pPr>
              <w:spacing w:after="0"/>
              <w:jc w:val="right"/>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100%</w:t>
            </w:r>
          </w:p>
        </w:tc>
        <w:tc>
          <w:tcPr>
            <w:tcW w:w="693" w:type="dxa"/>
            <w:tcBorders>
              <w:top w:val="nil"/>
              <w:left w:val="nil"/>
              <w:bottom w:val="nil"/>
              <w:right w:val="nil"/>
            </w:tcBorders>
            <w:shd w:val="clear" w:color="auto" w:fill="auto"/>
            <w:noWrap/>
            <w:hideMark/>
          </w:tcPr>
          <w:p w14:paraId="5C7652FE" w14:textId="77777777" w:rsidR="00B55B42" w:rsidRPr="006212A3" w:rsidRDefault="00B55B42" w:rsidP="00B55B42">
            <w:pPr>
              <w:spacing w:after="0"/>
              <w:jc w:val="right"/>
              <w:rPr>
                <w:rFonts w:asciiTheme="minorHAnsi" w:hAnsiTheme="minorHAnsi" w:cstheme="minorHAnsi"/>
                <w:color w:val="000000"/>
                <w:sz w:val="14"/>
                <w:szCs w:val="14"/>
                <w:lang w:val="en-US" w:eastAsia="en-US"/>
              </w:rPr>
            </w:pPr>
          </w:p>
        </w:tc>
        <w:tc>
          <w:tcPr>
            <w:tcW w:w="693" w:type="dxa"/>
            <w:tcBorders>
              <w:top w:val="nil"/>
              <w:left w:val="nil"/>
              <w:bottom w:val="nil"/>
              <w:right w:val="nil"/>
            </w:tcBorders>
            <w:shd w:val="clear" w:color="auto" w:fill="auto"/>
            <w:noWrap/>
            <w:hideMark/>
          </w:tcPr>
          <w:p w14:paraId="425AC4AC" w14:textId="77777777" w:rsidR="00B55B42" w:rsidRPr="006212A3" w:rsidRDefault="00B55B42" w:rsidP="00B55B42">
            <w:pPr>
              <w:spacing w:after="0"/>
              <w:rPr>
                <w:rFonts w:asciiTheme="minorHAnsi" w:hAnsiTheme="minorHAnsi" w:cstheme="minorHAnsi"/>
                <w:sz w:val="14"/>
                <w:lang w:val="en-US" w:eastAsia="en-US"/>
              </w:rPr>
            </w:pPr>
          </w:p>
        </w:tc>
        <w:tc>
          <w:tcPr>
            <w:tcW w:w="861" w:type="dxa"/>
            <w:tcBorders>
              <w:top w:val="nil"/>
              <w:left w:val="nil"/>
              <w:bottom w:val="nil"/>
              <w:right w:val="nil"/>
            </w:tcBorders>
            <w:shd w:val="clear" w:color="auto" w:fill="auto"/>
            <w:noWrap/>
            <w:hideMark/>
          </w:tcPr>
          <w:p w14:paraId="2F37D1A1" w14:textId="77777777" w:rsidR="00B55B42" w:rsidRPr="006212A3" w:rsidRDefault="00B55B42" w:rsidP="00B55B42">
            <w:pPr>
              <w:spacing w:after="0"/>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 </w:t>
            </w:r>
          </w:p>
        </w:tc>
      </w:tr>
      <w:tr w:rsidR="00155707" w:rsidRPr="006212A3" w14:paraId="713BCB71" w14:textId="77777777" w:rsidTr="00B55B42">
        <w:trPr>
          <w:trHeight w:val="221"/>
        </w:trPr>
        <w:tc>
          <w:tcPr>
            <w:tcW w:w="675" w:type="dxa"/>
            <w:tcBorders>
              <w:top w:val="nil"/>
              <w:left w:val="nil"/>
              <w:bottom w:val="single" w:sz="4" w:space="0" w:color="auto"/>
              <w:right w:val="nil"/>
            </w:tcBorders>
            <w:shd w:val="clear" w:color="auto" w:fill="auto"/>
            <w:noWrap/>
            <w:hideMark/>
          </w:tcPr>
          <w:p w14:paraId="2771A4FB" w14:textId="77777777" w:rsidR="002D278B" w:rsidRPr="006212A3" w:rsidRDefault="002D278B" w:rsidP="00B55B42">
            <w:pPr>
              <w:spacing w:after="0"/>
              <w:jc w:val="center"/>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Top 20</w:t>
            </w:r>
          </w:p>
        </w:tc>
        <w:tc>
          <w:tcPr>
            <w:tcW w:w="6379" w:type="dxa"/>
            <w:gridSpan w:val="3"/>
            <w:tcBorders>
              <w:top w:val="nil"/>
              <w:left w:val="nil"/>
              <w:bottom w:val="single" w:sz="4" w:space="0" w:color="auto"/>
              <w:right w:val="nil"/>
            </w:tcBorders>
            <w:shd w:val="clear" w:color="auto" w:fill="auto"/>
            <w:noWrap/>
            <w:hideMark/>
          </w:tcPr>
          <w:p w14:paraId="4DD2F1EC" w14:textId="6E3CA6F9" w:rsidR="002D278B" w:rsidRPr="006212A3" w:rsidRDefault="002D278B" w:rsidP="00164B39">
            <w:pPr>
              <w:spacing w:after="0"/>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Top 20 % of all DRGs</w:t>
            </w:r>
          </w:p>
        </w:tc>
        <w:tc>
          <w:tcPr>
            <w:tcW w:w="567" w:type="dxa"/>
            <w:tcBorders>
              <w:top w:val="nil"/>
              <w:left w:val="nil"/>
              <w:bottom w:val="single" w:sz="4" w:space="0" w:color="auto"/>
              <w:right w:val="nil"/>
            </w:tcBorders>
            <w:shd w:val="clear" w:color="auto" w:fill="auto"/>
            <w:noWrap/>
            <w:hideMark/>
          </w:tcPr>
          <w:p w14:paraId="3097C22D" w14:textId="77777777" w:rsidR="002D278B" w:rsidRPr="006212A3" w:rsidRDefault="002D278B" w:rsidP="00B55B42">
            <w:pPr>
              <w:spacing w:after="0"/>
              <w:rPr>
                <w:rFonts w:asciiTheme="minorHAnsi" w:hAnsiTheme="minorHAnsi" w:cstheme="minorHAnsi"/>
                <w:b/>
                <w:color w:val="000000"/>
                <w:sz w:val="14"/>
                <w:szCs w:val="14"/>
                <w:lang w:val="en-US" w:eastAsia="en-US"/>
              </w:rPr>
            </w:pPr>
            <w:r w:rsidRPr="006212A3">
              <w:rPr>
                <w:rFonts w:asciiTheme="minorHAnsi" w:hAnsiTheme="minorHAnsi" w:cstheme="minorHAnsi"/>
                <w:b/>
                <w:color w:val="000000"/>
                <w:sz w:val="14"/>
                <w:szCs w:val="14"/>
                <w:lang w:val="en-US" w:eastAsia="en-US"/>
              </w:rPr>
              <w:t> </w:t>
            </w:r>
          </w:p>
        </w:tc>
        <w:tc>
          <w:tcPr>
            <w:tcW w:w="851" w:type="dxa"/>
            <w:tcBorders>
              <w:top w:val="nil"/>
              <w:left w:val="nil"/>
              <w:bottom w:val="single" w:sz="4" w:space="0" w:color="auto"/>
              <w:right w:val="nil"/>
            </w:tcBorders>
            <w:shd w:val="clear" w:color="auto" w:fill="auto"/>
            <w:noWrap/>
            <w:hideMark/>
          </w:tcPr>
          <w:p w14:paraId="49011136" w14:textId="77777777" w:rsidR="002D278B" w:rsidRPr="006212A3" w:rsidRDefault="002D278B" w:rsidP="00B55B42">
            <w:pPr>
              <w:spacing w:after="0"/>
              <w:jc w:val="right"/>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0.3%</w:t>
            </w:r>
          </w:p>
        </w:tc>
        <w:tc>
          <w:tcPr>
            <w:tcW w:w="954" w:type="dxa"/>
            <w:tcBorders>
              <w:top w:val="nil"/>
              <w:left w:val="nil"/>
              <w:bottom w:val="single" w:sz="4" w:space="0" w:color="auto"/>
              <w:right w:val="nil"/>
            </w:tcBorders>
            <w:shd w:val="clear" w:color="auto" w:fill="auto"/>
            <w:noWrap/>
            <w:hideMark/>
          </w:tcPr>
          <w:p w14:paraId="48FE2ECA" w14:textId="77777777" w:rsidR="002D278B" w:rsidRPr="006212A3" w:rsidRDefault="002D278B" w:rsidP="00B55B42">
            <w:pPr>
              <w:spacing w:after="0"/>
              <w:jc w:val="right"/>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4.3%</w:t>
            </w:r>
          </w:p>
        </w:tc>
        <w:tc>
          <w:tcPr>
            <w:tcW w:w="839" w:type="dxa"/>
            <w:tcBorders>
              <w:top w:val="nil"/>
              <w:left w:val="nil"/>
              <w:bottom w:val="single" w:sz="4" w:space="0" w:color="auto"/>
              <w:right w:val="nil"/>
            </w:tcBorders>
            <w:shd w:val="clear" w:color="auto" w:fill="auto"/>
            <w:noWrap/>
            <w:hideMark/>
          </w:tcPr>
          <w:p w14:paraId="5A55E3FB" w14:textId="77777777" w:rsidR="002D278B" w:rsidRPr="006212A3" w:rsidRDefault="002D278B" w:rsidP="00B55B42">
            <w:pPr>
              <w:spacing w:after="0"/>
              <w:jc w:val="right"/>
              <w:rPr>
                <w:rFonts w:asciiTheme="minorHAnsi" w:hAnsiTheme="minorHAnsi" w:cstheme="minorHAnsi"/>
                <w:b/>
                <w:bCs/>
                <w:color w:val="000000"/>
                <w:sz w:val="14"/>
                <w:szCs w:val="14"/>
                <w:lang w:val="en-US" w:eastAsia="en-US"/>
              </w:rPr>
            </w:pPr>
            <w:r w:rsidRPr="006212A3">
              <w:rPr>
                <w:rFonts w:asciiTheme="minorHAnsi" w:hAnsiTheme="minorHAnsi" w:cstheme="minorHAnsi"/>
                <w:b/>
                <w:bCs/>
                <w:color w:val="000000"/>
                <w:sz w:val="14"/>
                <w:szCs w:val="14"/>
                <w:lang w:val="en-US" w:eastAsia="en-US"/>
              </w:rPr>
              <w:t>1.8%</w:t>
            </w:r>
          </w:p>
        </w:tc>
        <w:tc>
          <w:tcPr>
            <w:tcW w:w="918" w:type="dxa"/>
            <w:tcBorders>
              <w:top w:val="nil"/>
              <w:left w:val="nil"/>
              <w:bottom w:val="single" w:sz="4" w:space="0" w:color="auto"/>
              <w:right w:val="nil"/>
            </w:tcBorders>
            <w:shd w:val="clear" w:color="auto" w:fill="auto"/>
            <w:noWrap/>
            <w:hideMark/>
          </w:tcPr>
          <w:p w14:paraId="2C1803E7" w14:textId="77777777" w:rsidR="002D278B" w:rsidRPr="006212A3" w:rsidRDefault="002D278B" w:rsidP="00B55B42">
            <w:pPr>
              <w:spacing w:after="0"/>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w:t>
            </w:r>
          </w:p>
        </w:tc>
        <w:tc>
          <w:tcPr>
            <w:tcW w:w="597" w:type="dxa"/>
            <w:tcBorders>
              <w:top w:val="nil"/>
              <w:left w:val="nil"/>
              <w:bottom w:val="single" w:sz="4" w:space="0" w:color="auto"/>
              <w:right w:val="nil"/>
            </w:tcBorders>
            <w:shd w:val="clear" w:color="auto" w:fill="auto"/>
            <w:noWrap/>
            <w:hideMark/>
          </w:tcPr>
          <w:p w14:paraId="305A8817" w14:textId="77777777" w:rsidR="002D278B" w:rsidRPr="006212A3" w:rsidRDefault="002D278B" w:rsidP="00B55B42">
            <w:pPr>
              <w:spacing w:after="0"/>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w:t>
            </w:r>
          </w:p>
        </w:tc>
        <w:tc>
          <w:tcPr>
            <w:tcW w:w="575" w:type="dxa"/>
            <w:tcBorders>
              <w:top w:val="nil"/>
              <w:left w:val="nil"/>
              <w:bottom w:val="single" w:sz="4" w:space="0" w:color="auto"/>
              <w:right w:val="nil"/>
            </w:tcBorders>
            <w:shd w:val="clear" w:color="auto" w:fill="auto"/>
            <w:noWrap/>
            <w:hideMark/>
          </w:tcPr>
          <w:p w14:paraId="1C23A5A9" w14:textId="77777777" w:rsidR="002D278B" w:rsidRPr="006212A3" w:rsidRDefault="002D278B" w:rsidP="00B55B42">
            <w:pPr>
              <w:spacing w:after="0"/>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w:t>
            </w:r>
          </w:p>
        </w:tc>
        <w:tc>
          <w:tcPr>
            <w:tcW w:w="575" w:type="dxa"/>
            <w:tcBorders>
              <w:top w:val="nil"/>
              <w:left w:val="nil"/>
              <w:bottom w:val="single" w:sz="4" w:space="0" w:color="auto"/>
              <w:right w:val="nil"/>
            </w:tcBorders>
            <w:shd w:val="clear" w:color="auto" w:fill="auto"/>
            <w:noWrap/>
            <w:hideMark/>
          </w:tcPr>
          <w:p w14:paraId="1E970CED" w14:textId="77777777" w:rsidR="002D278B" w:rsidRPr="006212A3" w:rsidRDefault="002D278B" w:rsidP="00B55B42">
            <w:pPr>
              <w:spacing w:after="0"/>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w:t>
            </w:r>
          </w:p>
        </w:tc>
        <w:tc>
          <w:tcPr>
            <w:tcW w:w="693" w:type="dxa"/>
            <w:tcBorders>
              <w:top w:val="nil"/>
              <w:left w:val="nil"/>
              <w:bottom w:val="single" w:sz="4" w:space="0" w:color="auto"/>
              <w:right w:val="nil"/>
            </w:tcBorders>
            <w:shd w:val="clear" w:color="auto" w:fill="auto"/>
            <w:noWrap/>
            <w:hideMark/>
          </w:tcPr>
          <w:p w14:paraId="23D7B358" w14:textId="77777777" w:rsidR="002D278B" w:rsidRPr="006212A3" w:rsidRDefault="002D278B" w:rsidP="00B55B42">
            <w:pPr>
              <w:spacing w:after="0"/>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w:t>
            </w:r>
          </w:p>
        </w:tc>
        <w:tc>
          <w:tcPr>
            <w:tcW w:w="693" w:type="dxa"/>
            <w:tcBorders>
              <w:top w:val="nil"/>
              <w:left w:val="nil"/>
              <w:bottom w:val="single" w:sz="4" w:space="0" w:color="auto"/>
              <w:right w:val="nil"/>
            </w:tcBorders>
            <w:shd w:val="clear" w:color="auto" w:fill="auto"/>
            <w:noWrap/>
            <w:hideMark/>
          </w:tcPr>
          <w:p w14:paraId="2508093E" w14:textId="77777777" w:rsidR="002D278B" w:rsidRPr="006212A3" w:rsidRDefault="002D278B" w:rsidP="00B55B42">
            <w:pPr>
              <w:spacing w:after="0"/>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w:t>
            </w:r>
          </w:p>
        </w:tc>
        <w:tc>
          <w:tcPr>
            <w:tcW w:w="861" w:type="dxa"/>
            <w:tcBorders>
              <w:top w:val="nil"/>
              <w:left w:val="nil"/>
              <w:bottom w:val="single" w:sz="4" w:space="0" w:color="auto"/>
              <w:right w:val="nil"/>
            </w:tcBorders>
            <w:shd w:val="clear" w:color="auto" w:fill="auto"/>
            <w:noWrap/>
            <w:hideMark/>
          </w:tcPr>
          <w:p w14:paraId="405753EF" w14:textId="77777777" w:rsidR="002D278B" w:rsidRPr="006212A3" w:rsidRDefault="002D278B" w:rsidP="00B55B42">
            <w:pPr>
              <w:spacing w:after="0"/>
              <w:rPr>
                <w:rFonts w:asciiTheme="minorHAnsi" w:hAnsiTheme="minorHAnsi" w:cstheme="minorHAnsi"/>
                <w:color w:val="000000"/>
                <w:sz w:val="14"/>
                <w:szCs w:val="14"/>
                <w:lang w:val="en-US" w:eastAsia="en-US"/>
              </w:rPr>
            </w:pPr>
            <w:r w:rsidRPr="006212A3">
              <w:rPr>
                <w:rFonts w:asciiTheme="minorHAnsi" w:hAnsiTheme="minorHAnsi" w:cstheme="minorHAnsi"/>
                <w:color w:val="000000"/>
                <w:sz w:val="14"/>
                <w:szCs w:val="14"/>
                <w:lang w:val="en-US" w:eastAsia="en-US"/>
              </w:rPr>
              <w:t> </w:t>
            </w:r>
          </w:p>
        </w:tc>
      </w:tr>
    </w:tbl>
    <w:p w14:paraId="7477C741" w14:textId="77777777" w:rsidR="00155707" w:rsidRPr="00231641" w:rsidRDefault="00155707" w:rsidP="00155707">
      <w:pPr>
        <w:rPr>
          <w:rFonts w:asciiTheme="minorHAnsi" w:hAnsiTheme="minorHAnsi" w:cstheme="minorHAnsi"/>
          <w:sz w:val="16"/>
        </w:rPr>
      </w:pPr>
      <w:r w:rsidRPr="00231641">
        <w:rPr>
          <w:rFonts w:asciiTheme="minorHAnsi" w:hAnsiTheme="minorHAnsi" w:cstheme="minorHAnsi"/>
          <w:color w:val="008A00" w:themeColor="accent2"/>
          <w:sz w:val="16"/>
        </w:rPr>
        <w:t>Notes</w:t>
      </w:r>
      <w:r w:rsidRPr="00231641">
        <w:rPr>
          <w:rFonts w:asciiTheme="minorHAnsi" w:hAnsiTheme="minorHAnsi" w:cstheme="minorHAnsi"/>
          <w:sz w:val="16"/>
        </w:rPr>
        <w:tab/>
      </w:r>
      <w:r w:rsidRPr="00231641">
        <w:rPr>
          <w:rFonts w:asciiTheme="minorHAnsi" w:hAnsiTheme="minorHAnsi" w:cstheme="minorHAnsi"/>
          <w:sz w:val="16"/>
        </w:rPr>
        <w:tab/>
      </w:r>
    </w:p>
    <w:p w14:paraId="3223FA48" w14:textId="6B32D36E" w:rsidR="00155707" w:rsidRPr="00231641" w:rsidRDefault="00155707" w:rsidP="00155707">
      <w:pPr>
        <w:rPr>
          <w:rFonts w:asciiTheme="minorHAnsi" w:hAnsiTheme="minorHAnsi" w:cstheme="minorHAnsi"/>
          <w:sz w:val="16"/>
        </w:rPr>
      </w:pPr>
      <w:r w:rsidRPr="00231641">
        <w:rPr>
          <w:rFonts w:asciiTheme="minorHAnsi" w:hAnsiTheme="minorHAnsi" w:cstheme="minorHAnsi"/>
          <w:sz w:val="16"/>
        </w:rPr>
        <w:t>(a) For cost weight (cost bucket specific) ca</w:t>
      </w:r>
      <w:r w:rsidR="00544B40">
        <w:rPr>
          <w:rFonts w:asciiTheme="minorHAnsi" w:hAnsiTheme="minorHAnsi" w:cstheme="minorHAnsi"/>
          <w:sz w:val="16"/>
        </w:rPr>
        <w:t xml:space="preserve">lculations please refer to </w:t>
      </w:r>
      <w:r w:rsidR="00544B40">
        <w:rPr>
          <w:rFonts w:asciiTheme="minorHAnsi" w:hAnsiTheme="minorHAnsi" w:cstheme="minorHAnsi"/>
          <w:sz w:val="16"/>
        </w:rPr>
        <w:fldChar w:fldCharType="begin"/>
      </w:r>
      <w:r w:rsidR="00544B40">
        <w:rPr>
          <w:rFonts w:asciiTheme="minorHAnsi" w:hAnsiTheme="minorHAnsi" w:cstheme="minorHAnsi"/>
          <w:sz w:val="16"/>
        </w:rPr>
        <w:instrText xml:space="preserve"> REF _Ref497335615 \h  \* MERGEFORMAT </w:instrText>
      </w:r>
      <w:r w:rsidR="00544B40">
        <w:rPr>
          <w:rFonts w:asciiTheme="minorHAnsi" w:hAnsiTheme="minorHAnsi" w:cstheme="minorHAnsi"/>
          <w:sz w:val="16"/>
        </w:rPr>
      </w:r>
      <w:r w:rsidR="00544B40">
        <w:rPr>
          <w:rFonts w:asciiTheme="minorHAnsi" w:hAnsiTheme="minorHAnsi" w:cstheme="minorHAnsi"/>
          <w:sz w:val="16"/>
        </w:rPr>
        <w:fldChar w:fldCharType="separate"/>
      </w:r>
      <w:r w:rsidR="00681CD9" w:rsidRPr="00681CD9">
        <w:rPr>
          <w:rFonts w:asciiTheme="minorHAnsi" w:hAnsiTheme="minorHAnsi" w:cstheme="minorHAnsi"/>
          <w:sz w:val="16"/>
        </w:rPr>
        <w:t>Appendix D: Cost weight tables by AR-DRG Version 8.0</w:t>
      </w:r>
      <w:r w:rsidR="00544B40">
        <w:rPr>
          <w:rFonts w:asciiTheme="minorHAnsi" w:hAnsiTheme="minorHAnsi" w:cstheme="minorHAnsi"/>
          <w:sz w:val="16"/>
        </w:rPr>
        <w:fldChar w:fldCharType="end"/>
      </w:r>
      <w:r w:rsidRPr="00231641">
        <w:rPr>
          <w:rFonts w:asciiTheme="minorHAnsi" w:hAnsiTheme="minorHAnsi" w:cstheme="minorHAnsi"/>
          <w:sz w:val="16"/>
        </w:rPr>
        <w:tab/>
      </w:r>
    </w:p>
    <w:p w14:paraId="294564C3" w14:textId="65A70D09" w:rsidR="00155707" w:rsidRPr="00231641" w:rsidRDefault="00155707" w:rsidP="00155707">
      <w:pPr>
        <w:rPr>
          <w:rFonts w:asciiTheme="minorHAnsi" w:hAnsiTheme="minorHAnsi" w:cstheme="minorHAnsi"/>
          <w:sz w:val="16"/>
        </w:rPr>
      </w:pPr>
      <w:r w:rsidRPr="00231641">
        <w:rPr>
          <w:rFonts w:asciiTheme="minorHAnsi" w:hAnsiTheme="minorHAnsi" w:cstheme="minorHAnsi"/>
          <w:sz w:val="16"/>
        </w:rPr>
        <w:t>(b) Separations shown are strata weighted</w:t>
      </w:r>
      <w:r w:rsidRPr="00231641">
        <w:rPr>
          <w:rFonts w:asciiTheme="minorHAnsi" w:hAnsiTheme="minorHAnsi" w:cstheme="minorHAnsi"/>
          <w:sz w:val="16"/>
        </w:rPr>
        <w:tab/>
      </w:r>
    </w:p>
    <w:p w14:paraId="6C733341" w14:textId="2DAF3EBE" w:rsidR="005474FB" w:rsidRPr="00155707" w:rsidRDefault="00155707" w:rsidP="00155707">
      <w:pPr>
        <w:rPr>
          <w:rFonts w:ascii="Times New Roman" w:hAnsi="Times New Roman"/>
          <w:sz w:val="16"/>
        </w:rPr>
      </w:pPr>
      <w:r w:rsidRPr="00231641">
        <w:rPr>
          <w:rFonts w:asciiTheme="minorHAnsi" w:hAnsiTheme="minorHAnsi" w:cstheme="minorHAnsi"/>
          <w:sz w:val="16"/>
        </w:rPr>
        <w:t xml:space="preserve">(e) </w:t>
      </w:r>
      <w:proofErr w:type="spellStart"/>
      <w:r w:rsidRPr="00231641">
        <w:rPr>
          <w:rFonts w:asciiTheme="minorHAnsi" w:hAnsiTheme="minorHAnsi" w:cstheme="minorHAnsi"/>
          <w:sz w:val="16"/>
        </w:rPr>
        <w:t>ALoS</w:t>
      </w:r>
      <w:proofErr w:type="spellEnd"/>
      <w:r w:rsidRPr="00231641">
        <w:rPr>
          <w:rFonts w:asciiTheme="minorHAnsi" w:hAnsiTheme="minorHAnsi" w:cstheme="minorHAnsi"/>
          <w:sz w:val="16"/>
        </w:rPr>
        <w:t xml:space="preserve"> means average length of stay</w:t>
      </w:r>
      <w:r w:rsidRPr="00155707">
        <w:rPr>
          <w:rFonts w:ascii="Times New Roman" w:hAnsi="Times New Roman"/>
          <w:sz w:val="16"/>
        </w:rPr>
        <w:tab/>
      </w:r>
    </w:p>
    <w:p w14:paraId="16095823" w14:textId="77777777" w:rsidR="00155707" w:rsidRDefault="00155707" w:rsidP="005D7320">
      <w:pPr>
        <w:rPr>
          <w:rFonts w:ascii="Times New Roman" w:hAnsi="Times New Roman"/>
          <w:sz w:val="20"/>
        </w:rPr>
        <w:sectPr w:rsidR="00155707" w:rsidSect="004F7ECE">
          <w:pgSz w:w="16840" w:h="11907" w:orient="landscape" w:code="9"/>
          <w:pgMar w:top="1701" w:right="2041" w:bottom="1440" w:left="1021" w:header="680" w:footer="510" w:gutter="0"/>
          <w:cols w:space="708"/>
          <w:docGrid w:linePitch="360"/>
        </w:sectPr>
      </w:pPr>
    </w:p>
    <w:p w14:paraId="0A58D948" w14:textId="2F889749" w:rsidR="005474FB" w:rsidRDefault="005474FB" w:rsidP="005D7320">
      <w:pPr>
        <w:rPr>
          <w:rFonts w:ascii="Times New Roman" w:hAnsi="Times New Roman"/>
          <w:sz w:val="20"/>
        </w:rPr>
      </w:pPr>
    </w:p>
    <w:p w14:paraId="1D239F13" w14:textId="5476100F" w:rsidR="00E7439E" w:rsidRPr="00CD66C3" w:rsidRDefault="005D7320" w:rsidP="005D7320">
      <w:pPr>
        <w:pStyle w:val="Heading3"/>
      </w:pPr>
      <w:bookmarkStart w:id="174" w:name="_Ref433973631"/>
      <w:bookmarkStart w:id="175" w:name="_Toc496857579"/>
      <w:r>
        <w:t>Top 20 DRGs ranked by highest volume of population-adjusted separations</w:t>
      </w:r>
      <w:bookmarkStart w:id="176" w:name="_Toc497200473"/>
      <w:bookmarkEnd w:id="174"/>
      <w:bookmarkEnd w:id="175"/>
      <w:bookmarkEnd w:id="176"/>
    </w:p>
    <w:p w14:paraId="2A675CE1" w14:textId="332F93BD" w:rsidR="005D7320" w:rsidRPr="00D60A39" w:rsidRDefault="005D7320" w:rsidP="005D7320">
      <w:pPr>
        <w:pStyle w:val="Intro"/>
      </w:pPr>
      <w:r w:rsidRPr="00D60A39">
        <w:t>Key findings</w:t>
      </w:r>
    </w:p>
    <w:p w14:paraId="7A9A67CD" w14:textId="565C24E0" w:rsidR="00E7439E" w:rsidRDefault="006654BA" w:rsidP="005D7320">
      <w:r>
        <w:t>Table 6</w:t>
      </w:r>
      <w:r w:rsidR="005D7320" w:rsidRPr="00231641">
        <w:t xml:space="preserve"> and </w:t>
      </w:r>
      <w:r>
        <w:t>Figure 2</w:t>
      </w:r>
      <w:r w:rsidR="005D7320" w:rsidRPr="00231641">
        <w:t xml:space="preserve"> shows the highest population-adjusted separations DRG for Round </w:t>
      </w:r>
      <w:r w:rsidR="00231641">
        <w:t>20</w:t>
      </w:r>
      <w:r w:rsidR="005D7320" w:rsidRPr="00231641">
        <w:t xml:space="preserve">; </w:t>
      </w:r>
      <w:r w:rsidR="008C597F">
        <w:t xml:space="preserve">which </w:t>
      </w:r>
      <w:r w:rsidR="005D7320" w:rsidRPr="00231641">
        <w:t xml:space="preserve">is a measure of the volume of separations in the whole population (i.e. the number of separations in the Round </w:t>
      </w:r>
      <w:r w:rsidR="00231641">
        <w:t>20</w:t>
      </w:r>
      <w:r w:rsidR="005D7320" w:rsidRPr="00231641">
        <w:t xml:space="preserve"> sample, adjusted using the weights to reflect the whole population).  </w:t>
      </w:r>
    </w:p>
    <w:p w14:paraId="108D23C1" w14:textId="27FF97CB" w:rsidR="00E7439E" w:rsidRDefault="006654BA" w:rsidP="005D7320">
      <w:r>
        <w:t>Table 6</w:t>
      </w:r>
      <w:r w:rsidR="005D7320" w:rsidRPr="00231641">
        <w:t xml:space="preserve"> shows for Round </w:t>
      </w:r>
      <w:r w:rsidR="00231641">
        <w:t>20</w:t>
      </w:r>
      <w:r w:rsidR="005D7320" w:rsidRPr="00231641">
        <w:t xml:space="preserve"> R63Z </w:t>
      </w:r>
      <w:r w:rsidR="00A43798">
        <w:t>C</w:t>
      </w:r>
      <w:r w:rsidR="005D7320" w:rsidRPr="00231641">
        <w:t>hemotherapy is ranke</w:t>
      </w:r>
      <w:r w:rsidR="004557D5">
        <w:t xml:space="preserve">d number one as per Round 18’s </w:t>
      </w:r>
      <w:r w:rsidR="005D7320" w:rsidRPr="00231641">
        <w:t xml:space="preserve">ranking, and is anticipated to be ranked number one considering the frequency required of this treatment.  </w:t>
      </w:r>
    </w:p>
    <w:p w14:paraId="11A15565" w14:textId="259BB632" w:rsidR="00E7439E" w:rsidRDefault="00AA16B4" w:rsidP="005D7320">
      <w:r>
        <w:t xml:space="preserve">As presented in </w:t>
      </w:r>
      <w:r w:rsidR="006654BA">
        <w:t>Table 6</w:t>
      </w:r>
      <w:r w:rsidR="005D7320" w:rsidRPr="004557D5">
        <w:t xml:space="preserve"> the DRGs listed in the top 20 are likely to be within this ranking given that </w:t>
      </w:r>
      <w:r w:rsidR="004557D5">
        <w:t>9</w:t>
      </w:r>
      <w:r w:rsidR="00D61C39">
        <w:t>0 per cent</w:t>
      </w:r>
      <w:r w:rsidR="005D7320" w:rsidRPr="004557D5">
        <w:t xml:space="preserve"> (1</w:t>
      </w:r>
      <w:r w:rsidR="004557D5" w:rsidRPr="004557D5">
        <w:t>8</w:t>
      </w:r>
      <w:r w:rsidR="005D7320" w:rsidRPr="004557D5">
        <w:t xml:space="preserve"> out of 20) are either high frequency treatments or classified as same day treatments.</w:t>
      </w:r>
    </w:p>
    <w:p w14:paraId="7555B298" w14:textId="083092DB" w:rsidR="00E7439E" w:rsidRDefault="00AA16B4" w:rsidP="005D7320">
      <w:r>
        <w:t xml:space="preserve">As illustrated in </w:t>
      </w:r>
      <w:r w:rsidR="006654BA">
        <w:t>Table 6</w:t>
      </w:r>
      <w:r w:rsidR="005D7320" w:rsidRPr="004557D5">
        <w:t xml:space="preserve"> these DRGs represent 4</w:t>
      </w:r>
      <w:r w:rsidR="004557D5">
        <w:t>3</w:t>
      </w:r>
      <w:r w:rsidR="00D61C39">
        <w:t xml:space="preserve"> per cent</w:t>
      </w:r>
      <w:r w:rsidR="005D7320" w:rsidRPr="004557D5">
        <w:t xml:space="preserve"> (</w:t>
      </w:r>
      <w:r w:rsidR="004557D5">
        <w:t>1,322,903</w:t>
      </w:r>
      <w:r w:rsidR="005D7320" w:rsidRPr="004557D5">
        <w:rPr>
          <w:b/>
          <w:bCs/>
          <w:color w:val="000000"/>
          <w:sz w:val="18"/>
          <w:szCs w:val="18"/>
        </w:rPr>
        <w:t xml:space="preserve"> </w:t>
      </w:r>
      <w:r w:rsidR="005D7320" w:rsidRPr="004557D5">
        <w:t>population-adjusted separations) of the total population-adjusted separations (</w:t>
      </w:r>
      <w:r w:rsidR="004557D5">
        <w:t>3.05</w:t>
      </w:r>
      <w:r w:rsidR="005D7320" w:rsidRPr="004557D5">
        <w:t>m pop</w:t>
      </w:r>
      <w:r w:rsidR="00D61C39">
        <w:t xml:space="preserve">ulation-adjusted separations). </w:t>
      </w:r>
      <w:r w:rsidR="00281672">
        <w:t xml:space="preserve">In </w:t>
      </w:r>
      <w:r w:rsidR="006654BA">
        <w:t>Table 6</w:t>
      </w:r>
      <w:r w:rsidR="00D61C39">
        <w:t xml:space="preserve"> these D</w:t>
      </w:r>
      <w:r w:rsidR="005D7320" w:rsidRPr="004557D5">
        <w:t>RGs represent 1</w:t>
      </w:r>
      <w:r w:rsidR="00244C9E">
        <w:t>8</w:t>
      </w:r>
      <w:r w:rsidR="00D61C39">
        <w:t xml:space="preserve"> per cent</w:t>
      </w:r>
      <w:r w:rsidR="005D7320" w:rsidRPr="004557D5">
        <w:t xml:space="preserve"> </w:t>
      </w:r>
      <w:r w:rsidR="00244C9E">
        <w:t>(</w:t>
      </w:r>
      <w:r w:rsidR="00244C9E" w:rsidRPr="00244C9E">
        <w:t>54</w:t>
      </w:r>
      <w:r w:rsidR="00C11EFE">
        <w:t>9</w:t>
      </w:r>
      <w:r w:rsidR="00244C9E" w:rsidRPr="00244C9E">
        <w:t>,</w:t>
      </w:r>
      <w:r w:rsidR="00C11EFE">
        <w:t>177</w:t>
      </w:r>
      <w:r w:rsidR="005D7320" w:rsidRPr="004557D5">
        <w:t>) of the total population</w:t>
      </w:r>
      <w:r w:rsidR="0053227C">
        <w:t xml:space="preserve"> cost weighted</w:t>
      </w:r>
      <w:r w:rsidR="00D61C39">
        <w:t xml:space="preserve"> separations. </w:t>
      </w:r>
      <w:r w:rsidR="005D7320" w:rsidRPr="004557D5">
        <w:t>This indicates that these are high volume low cost DRGs.</w:t>
      </w:r>
    </w:p>
    <w:p w14:paraId="73B1662E" w14:textId="265EC118" w:rsidR="00E7439E" w:rsidRDefault="00AB71C4" w:rsidP="005D7320">
      <w:r>
        <w:t xml:space="preserve">The </w:t>
      </w:r>
      <w:proofErr w:type="spellStart"/>
      <w:r>
        <w:t>ALoS</w:t>
      </w:r>
      <w:proofErr w:type="spellEnd"/>
      <w:r>
        <w:t xml:space="preserve"> for these top 20 DRGs is 1.2 days compared to the population of 2.3 days.  The reason for this is that the majority of these DRGs a</w:t>
      </w:r>
      <w:r w:rsidR="000D1232">
        <w:t xml:space="preserve">re </w:t>
      </w:r>
      <w:proofErr w:type="spellStart"/>
      <w:r w:rsidR="000D1232">
        <w:t>sameday</w:t>
      </w:r>
      <w:proofErr w:type="spellEnd"/>
      <w:r w:rsidR="000D1232">
        <w:t xml:space="preserve"> procedures given their</w:t>
      </w:r>
      <w:r>
        <w:t xml:space="preserve"> large volumes.</w:t>
      </w:r>
    </w:p>
    <w:p w14:paraId="393BFF1B" w14:textId="77777777" w:rsidR="005D7320" w:rsidRPr="00D60A39" w:rsidRDefault="005D7320" w:rsidP="005D7320">
      <w:pPr>
        <w:pStyle w:val="Intro"/>
      </w:pPr>
      <w:r w:rsidRPr="00D60A39">
        <w:t>Consistencies between Round 18 and Round 20</w:t>
      </w:r>
    </w:p>
    <w:p w14:paraId="77A9E161" w14:textId="5DA1B768" w:rsidR="00E7439E" w:rsidRDefault="005D7320" w:rsidP="005D7320">
      <w:r w:rsidRPr="00C813A5">
        <w:t>9</w:t>
      </w:r>
      <w:r w:rsidR="00C813A5" w:rsidRPr="00C813A5">
        <w:t>0</w:t>
      </w:r>
      <w:r w:rsidR="00D61C39">
        <w:t xml:space="preserve"> per cent</w:t>
      </w:r>
      <w:r w:rsidRPr="00C813A5">
        <w:t xml:space="preserve"> (1</w:t>
      </w:r>
      <w:r w:rsidR="00C813A5" w:rsidRPr="00C813A5">
        <w:t>8</w:t>
      </w:r>
      <w:r w:rsidRPr="00C813A5">
        <w:t xml:space="preserve"> out of 20) of the current rounds top 20 DRGs were included in Round 1</w:t>
      </w:r>
      <w:r w:rsidR="00C813A5">
        <w:t>8</w:t>
      </w:r>
      <w:r w:rsidRPr="00C813A5">
        <w:t xml:space="preserve">’s results (see </w:t>
      </w:r>
      <w:r w:rsidR="006654BA">
        <w:t>Table 6</w:t>
      </w:r>
      <w:r w:rsidRPr="00C813A5">
        <w:t xml:space="preserve">) with the top </w:t>
      </w:r>
      <w:r w:rsidR="00C813A5">
        <w:t>two</w:t>
      </w:r>
      <w:r w:rsidRPr="00C813A5">
        <w:t xml:space="preserve"> being ranked in the same order as </w:t>
      </w:r>
      <w:r w:rsidR="009B37DF">
        <w:t>R</w:t>
      </w:r>
      <w:r w:rsidR="00C813A5">
        <w:t>ound</w:t>
      </w:r>
      <w:r w:rsidRPr="00C813A5">
        <w:t xml:space="preserve"> </w:t>
      </w:r>
      <w:r w:rsidR="009B37DF">
        <w:t xml:space="preserve">18 </w:t>
      </w:r>
      <w:r w:rsidRPr="00C813A5">
        <w:t>which were Chemotherapy</w:t>
      </w:r>
      <w:r w:rsidR="009B37DF">
        <w:t xml:space="preserve"> and</w:t>
      </w:r>
      <w:r w:rsidRPr="00C813A5">
        <w:t xml:space="preserve"> Colonoscopy (</w:t>
      </w:r>
      <w:r w:rsidR="00C813A5">
        <w:t>Minor Complexity</w:t>
      </w:r>
      <w:r w:rsidRPr="00C813A5">
        <w:t>).  This is expected given the high frequency of treatments required for chemotherapy patient’s pathways</w:t>
      </w:r>
      <w:r w:rsidR="00C813A5">
        <w:t xml:space="preserve"> and the colonoscopy’s demand as a day procedure</w:t>
      </w:r>
      <w:r w:rsidRPr="00C813A5">
        <w:t>.</w:t>
      </w:r>
      <w:r>
        <w:t xml:space="preserve">  </w:t>
      </w:r>
    </w:p>
    <w:p w14:paraId="206B169D" w14:textId="77777777" w:rsidR="00BF794D" w:rsidRPr="0012767B" w:rsidRDefault="00BF794D" w:rsidP="00BF794D">
      <w:pPr>
        <w:pStyle w:val="Intro"/>
      </w:pPr>
      <w:r>
        <w:t>Differences</w:t>
      </w:r>
      <w:r w:rsidRPr="0012767B">
        <w:t xml:space="preserve"> between Round 18 and Round 20</w:t>
      </w:r>
    </w:p>
    <w:p w14:paraId="4B382B04" w14:textId="2CCB52D3" w:rsidR="00E7439E" w:rsidRDefault="00C813A5" w:rsidP="00C813A5">
      <w:r w:rsidRPr="00C813A5">
        <w:t xml:space="preserve">As </w:t>
      </w:r>
      <w:r w:rsidR="00FD56F8">
        <w:t>seen</w:t>
      </w:r>
      <w:r w:rsidR="0053227C">
        <w:t xml:space="preserve"> in</w:t>
      </w:r>
      <w:r>
        <w:t xml:space="preserve"> </w:t>
      </w:r>
      <w:r w:rsidR="006654BA">
        <w:t>Figure 2</w:t>
      </w:r>
      <w:r w:rsidR="0053227C">
        <w:t>,</w:t>
      </w:r>
      <w:r w:rsidR="005D7320" w:rsidRPr="00C813A5">
        <w:t xml:space="preserve"> </w:t>
      </w:r>
      <w:r>
        <w:t xml:space="preserve">L61Z </w:t>
      </w:r>
      <w:r w:rsidRPr="00C813A5">
        <w:t>Haemodialysis</w:t>
      </w:r>
      <w:r>
        <w:t xml:space="preserve"> has dropped in ranking from Round 18 </w:t>
      </w:r>
      <w:r w:rsidR="005F1BC1">
        <w:t xml:space="preserve">ranking 3 </w:t>
      </w:r>
      <w:r>
        <w:t xml:space="preserve">to </w:t>
      </w:r>
      <w:r w:rsidR="009B37DF">
        <w:t xml:space="preserve">ranking </w:t>
      </w:r>
      <w:r>
        <w:t>5</w:t>
      </w:r>
      <w:r w:rsidR="005F1BC1">
        <w:t xml:space="preserve"> for </w:t>
      </w:r>
      <w:r w:rsidR="00D61C39">
        <w:t>Round 20</w:t>
      </w:r>
      <w:r w:rsidR="005F1BC1">
        <w:t xml:space="preserve">. </w:t>
      </w:r>
      <w:r>
        <w:rPr>
          <w:vertAlign w:val="superscript"/>
        </w:rPr>
        <w:t xml:space="preserve"> </w:t>
      </w:r>
      <w:r w:rsidR="005F1BC1">
        <w:t xml:space="preserve">A factor </w:t>
      </w:r>
      <w:r w:rsidR="0053227C">
        <w:t>a</w:t>
      </w:r>
      <w:r w:rsidR="005F1BC1">
        <w:t>ffecting this rank reduction is a reduction of 16,129 weighted separations compare</w:t>
      </w:r>
      <w:r w:rsidR="00C77B80">
        <w:t>d</w:t>
      </w:r>
      <w:r w:rsidR="005F1BC1">
        <w:t xml:space="preserve"> to Round 18.  </w:t>
      </w:r>
    </w:p>
    <w:p w14:paraId="44D71E21" w14:textId="091F4F21" w:rsidR="00E7439E" w:rsidRDefault="00D61C39" w:rsidP="00C813A5">
      <w:r>
        <w:t xml:space="preserve">Two new </w:t>
      </w:r>
      <w:r w:rsidR="00C813A5">
        <w:t xml:space="preserve">DRGs have come into the top 20 for Round 20 these are N07B </w:t>
      </w:r>
      <w:r w:rsidR="00C813A5" w:rsidRPr="00C813A5">
        <w:t xml:space="preserve">Other Uterus and Adnexa Procedures for Non-Malignancy, Minor Complexity ranked </w:t>
      </w:r>
      <w:r w:rsidR="00C813A5">
        <w:t xml:space="preserve">18 compared </w:t>
      </w:r>
      <w:r w:rsidR="009B37DF">
        <w:t xml:space="preserve">to ranking </w:t>
      </w:r>
      <w:r w:rsidR="00C813A5">
        <w:t>28 in Round 18</w:t>
      </w:r>
      <w:r w:rsidR="00AB71C4">
        <w:t xml:space="preserve"> and </w:t>
      </w:r>
      <w:r w:rsidR="00AB71C4" w:rsidRPr="00AB71C4">
        <w:t>D11Z</w:t>
      </w:r>
      <w:r w:rsidR="00C813A5">
        <w:t xml:space="preserve"> </w:t>
      </w:r>
      <w:r w:rsidR="00AB71C4" w:rsidRPr="00AB71C4">
        <w:t>Tonsillectomy and Adenoidectomy</w:t>
      </w:r>
      <w:r w:rsidR="00AB71C4">
        <w:t xml:space="preserve"> ranked 19 compared to </w:t>
      </w:r>
      <w:r w:rsidR="009B37DF">
        <w:t xml:space="preserve">ranking </w:t>
      </w:r>
      <w:r w:rsidR="00AB71C4">
        <w:t>22 in Round 18 (</w:t>
      </w:r>
      <w:r w:rsidR="00FD56F8">
        <w:t>see</w:t>
      </w:r>
      <w:r w:rsidR="00AB71C4">
        <w:t xml:space="preserve"> </w:t>
      </w:r>
      <w:r w:rsidR="006654BA">
        <w:t>Figure 2</w:t>
      </w:r>
      <w:r w:rsidR="00AB71C4">
        <w:t>).</w:t>
      </w:r>
    </w:p>
    <w:p w14:paraId="5AD232EC" w14:textId="714C1436" w:rsidR="004F7ECE" w:rsidRDefault="006654BA" w:rsidP="004F7ECE">
      <w:pPr>
        <w:pStyle w:val="Tableoffigures3"/>
      </w:pPr>
      <w:bookmarkStart w:id="177" w:name="_Toc497750034"/>
      <w:proofErr w:type="gramStart"/>
      <w:r>
        <w:lastRenderedPageBreak/>
        <w:t>Figure 2</w:t>
      </w:r>
      <w:r w:rsidR="004F7ECE">
        <w:t>.</w:t>
      </w:r>
      <w:proofErr w:type="gramEnd"/>
      <w:r w:rsidR="004F7ECE">
        <w:t xml:space="preserve"> Comparison of top 20 DRGs by highest volume of population adjusted separations</w:t>
      </w:r>
      <w:bookmarkEnd w:id="177"/>
    </w:p>
    <w:p w14:paraId="4CF87069" w14:textId="77777777" w:rsidR="004F7ECE" w:rsidRDefault="004F7ECE" w:rsidP="004F7ECE">
      <w:pPr>
        <w:tabs>
          <w:tab w:val="left" w:pos="2694"/>
        </w:tabs>
        <w:rPr>
          <w:b/>
          <w:highlight w:val="yellow"/>
        </w:rPr>
      </w:pPr>
      <w:r>
        <w:rPr>
          <w:noProof/>
        </w:rPr>
        <w:drawing>
          <wp:inline distT="0" distB="0" distL="0" distR="0" wp14:anchorId="1B0596A5" wp14:editId="1EA9564D">
            <wp:extent cx="5998210" cy="3327990"/>
            <wp:effectExtent l="0" t="0" r="21590" b="25400"/>
            <wp:docPr id="12" name="Chart 12" descr="This figure shows the 20 diagnosis related groups that have the highest volume of population adjusted separations in Round 20, with associated Round 18 valu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3BE2B1D" w14:textId="4EC00BC2" w:rsidR="005D7320" w:rsidRDefault="004F7ECE" w:rsidP="005D7320">
      <w:r w:rsidRPr="00231641">
        <w:rPr>
          <w:b/>
        </w:rPr>
        <w:t>Note:</w:t>
      </w:r>
      <w:r w:rsidRPr="00231641">
        <w:t xml:space="preserve"> when a Round 18 bar is missing from the chart, this is because that DRG was masked in Round 18 due to having less than 5 separations or having less than 3 hospitals with that DRG.</w:t>
      </w:r>
    </w:p>
    <w:p w14:paraId="66AD6E1E" w14:textId="77777777" w:rsidR="00581D11" w:rsidRDefault="00581D11" w:rsidP="00AB5C8A">
      <w:pPr>
        <w:pStyle w:val="Tablesheadings"/>
        <w:sectPr w:rsidR="00581D11" w:rsidSect="001070A4">
          <w:pgSz w:w="11907" w:h="16840" w:code="9"/>
          <w:pgMar w:top="1843" w:right="1021" w:bottom="2041" w:left="1440" w:header="680" w:footer="510" w:gutter="0"/>
          <w:cols w:space="708"/>
          <w:docGrid w:linePitch="360"/>
        </w:sectPr>
      </w:pPr>
    </w:p>
    <w:p w14:paraId="0E48CE71" w14:textId="4923E56D" w:rsidR="00231641" w:rsidRDefault="006654BA" w:rsidP="00A53818">
      <w:pPr>
        <w:pStyle w:val="TableHeadings3"/>
      </w:pPr>
      <w:bookmarkStart w:id="178" w:name="_Toc497488032"/>
      <w:bookmarkStart w:id="179" w:name="_Toc497750020"/>
      <w:proofErr w:type="gramStart"/>
      <w:r>
        <w:lastRenderedPageBreak/>
        <w:t>Table 6</w:t>
      </w:r>
      <w:r w:rsidR="004F7ECE">
        <w:t>.</w:t>
      </w:r>
      <w:proofErr w:type="gramEnd"/>
      <w:r w:rsidR="005D7320">
        <w:t xml:space="preserve"> Top </w:t>
      </w:r>
      <w:r w:rsidR="00112027">
        <w:t>20</w:t>
      </w:r>
      <w:r w:rsidR="005D7320">
        <w:t xml:space="preserve"> DRGs ranked by highest volume of population adjusted separations</w:t>
      </w:r>
      <w:bookmarkEnd w:id="178"/>
      <w:bookmarkEnd w:id="179"/>
    </w:p>
    <w:tbl>
      <w:tblPr>
        <w:tblW w:w="14866" w:type="dxa"/>
        <w:tblLook w:val="04A0" w:firstRow="1" w:lastRow="0" w:firstColumn="1" w:lastColumn="0" w:noHBand="0" w:noVBand="1"/>
      </w:tblPr>
      <w:tblGrid>
        <w:gridCol w:w="701"/>
        <w:gridCol w:w="701"/>
        <w:gridCol w:w="582"/>
        <w:gridCol w:w="3977"/>
        <w:gridCol w:w="791"/>
        <w:gridCol w:w="839"/>
        <w:gridCol w:w="1021"/>
        <w:gridCol w:w="882"/>
        <w:gridCol w:w="873"/>
        <w:gridCol w:w="672"/>
        <w:gridCol w:w="575"/>
        <w:gridCol w:w="575"/>
        <w:gridCol w:w="835"/>
        <w:gridCol w:w="660"/>
        <w:gridCol w:w="1182"/>
      </w:tblGrid>
      <w:tr w:rsidR="00581D11" w:rsidRPr="00231641" w14:paraId="1F60B660" w14:textId="77777777" w:rsidTr="00C11EFE">
        <w:trPr>
          <w:trHeight w:val="281"/>
        </w:trPr>
        <w:tc>
          <w:tcPr>
            <w:tcW w:w="701" w:type="dxa"/>
            <w:vMerge w:val="restart"/>
            <w:tcBorders>
              <w:top w:val="single" w:sz="4" w:space="0" w:color="auto"/>
              <w:left w:val="nil"/>
              <w:bottom w:val="single" w:sz="4" w:space="0" w:color="000000"/>
              <w:right w:val="nil"/>
            </w:tcBorders>
            <w:shd w:val="clear" w:color="auto" w:fill="auto"/>
            <w:hideMark/>
          </w:tcPr>
          <w:p w14:paraId="3D5EF29F" w14:textId="02EF912B" w:rsidR="00581D11" w:rsidRPr="00581D11" w:rsidRDefault="00581D11" w:rsidP="00581D11">
            <w:pPr>
              <w:jc w:val="center"/>
              <w:rPr>
                <w:rFonts w:asciiTheme="minorHAnsi" w:hAnsiTheme="minorHAnsi" w:cstheme="minorHAnsi"/>
                <w:b/>
                <w:bCs/>
                <w:sz w:val="14"/>
                <w:szCs w:val="14"/>
                <w:lang w:val="en-US" w:eastAsia="en-US"/>
              </w:rPr>
            </w:pPr>
            <w:r w:rsidRPr="00581D11">
              <w:rPr>
                <w:rFonts w:asciiTheme="minorHAnsi" w:hAnsiTheme="minorHAnsi" w:cstheme="minorHAnsi"/>
                <w:b/>
                <w:bCs/>
                <w:sz w:val="14"/>
                <w:szCs w:val="14"/>
                <w:lang w:val="en-US" w:eastAsia="en-US"/>
              </w:rPr>
              <w:t>Top 20 Round 18</w:t>
            </w:r>
          </w:p>
        </w:tc>
        <w:tc>
          <w:tcPr>
            <w:tcW w:w="701" w:type="dxa"/>
            <w:vMerge w:val="restart"/>
            <w:tcBorders>
              <w:top w:val="single" w:sz="4" w:space="0" w:color="auto"/>
              <w:left w:val="nil"/>
              <w:bottom w:val="single" w:sz="4" w:space="0" w:color="000000"/>
              <w:right w:val="nil"/>
            </w:tcBorders>
            <w:shd w:val="clear" w:color="auto" w:fill="auto"/>
            <w:hideMark/>
          </w:tcPr>
          <w:p w14:paraId="7E8E7FC5" w14:textId="77777777" w:rsidR="00581D11" w:rsidRPr="00581D11" w:rsidRDefault="00581D11" w:rsidP="00581D11">
            <w:pPr>
              <w:jc w:val="center"/>
              <w:rPr>
                <w:rFonts w:asciiTheme="minorHAnsi" w:hAnsiTheme="minorHAnsi" w:cstheme="minorHAnsi"/>
                <w:b/>
                <w:bCs/>
                <w:sz w:val="14"/>
                <w:szCs w:val="14"/>
                <w:lang w:val="en-US" w:eastAsia="en-US"/>
              </w:rPr>
            </w:pPr>
            <w:r w:rsidRPr="00581D11">
              <w:rPr>
                <w:rFonts w:asciiTheme="minorHAnsi" w:hAnsiTheme="minorHAnsi" w:cstheme="minorHAnsi"/>
                <w:b/>
                <w:bCs/>
                <w:sz w:val="14"/>
                <w:szCs w:val="14"/>
                <w:lang w:val="en-US" w:eastAsia="en-US"/>
              </w:rPr>
              <w:t>Rank Round 20</w:t>
            </w:r>
          </w:p>
        </w:tc>
        <w:tc>
          <w:tcPr>
            <w:tcW w:w="582" w:type="dxa"/>
            <w:vMerge w:val="restart"/>
            <w:tcBorders>
              <w:top w:val="single" w:sz="4" w:space="0" w:color="auto"/>
              <w:left w:val="nil"/>
              <w:bottom w:val="single" w:sz="4" w:space="0" w:color="000000"/>
              <w:right w:val="nil"/>
            </w:tcBorders>
            <w:shd w:val="clear" w:color="auto" w:fill="auto"/>
            <w:hideMark/>
          </w:tcPr>
          <w:p w14:paraId="3BC8A9BE" w14:textId="75E74E81" w:rsidR="00581D11" w:rsidRPr="00581D11" w:rsidRDefault="00581D11" w:rsidP="00581D11">
            <w:pPr>
              <w:jc w:val="center"/>
              <w:rPr>
                <w:rFonts w:asciiTheme="minorHAnsi" w:hAnsiTheme="minorHAnsi" w:cstheme="minorHAnsi"/>
                <w:b/>
                <w:bCs/>
                <w:sz w:val="14"/>
                <w:szCs w:val="14"/>
                <w:lang w:val="en-US" w:eastAsia="en-US"/>
              </w:rPr>
            </w:pPr>
            <w:r w:rsidRPr="00581D11">
              <w:rPr>
                <w:rFonts w:asciiTheme="minorHAnsi" w:hAnsiTheme="minorHAnsi" w:cstheme="minorHAnsi"/>
                <w:b/>
                <w:bCs/>
                <w:sz w:val="14"/>
                <w:szCs w:val="14"/>
                <w:lang w:val="en-US" w:eastAsia="en-US"/>
              </w:rPr>
              <w:t>DRG</w:t>
            </w:r>
          </w:p>
        </w:tc>
        <w:tc>
          <w:tcPr>
            <w:tcW w:w="3977" w:type="dxa"/>
            <w:vMerge w:val="restart"/>
            <w:tcBorders>
              <w:top w:val="single" w:sz="4" w:space="0" w:color="auto"/>
              <w:left w:val="nil"/>
              <w:bottom w:val="single" w:sz="4" w:space="0" w:color="000000"/>
              <w:right w:val="nil"/>
            </w:tcBorders>
            <w:shd w:val="clear" w:color="auto" w:fill="auto"/>
            <w:noWrap/>
            <w:hideMark/>
          </w:tcPr>
          <w:p w14:paraId="1C24BD8F" w14:textId="45BBB2C8" w:rsidR="00581D11" w:rsidRPr="00581D11" w:rsidRDefault="00581D11" w:rsidP="00581D11">
            <w:pPr>
              <w:jc w:val="center"/>
              <w:rPr>
                <w:rFonts w:asciiTheme="minorHAnsi" w:hAnsiTheme="minorHAnsi" w:cstheme="minorHAnsi"/>
                <w:b/>
                <w:bCs/>
                <w:sz w:val="14"/>
                <w:szCs w:val="14"/>
                <w:lang w:val="en-US" w:eastAsia="en-US"/>
              </w:rPr>
            </w:pPr>
            <w:r w:rsidRPr="00581D11">
              <w:rPr>
                <w:rFonts w:asciiTheme="minorHAnsi" w:hAnsiTheme="minorHAnsi" w:cstheme="minorHAnsi"/>
                <w:b/>
                <w:bCs/>
                <w:sz w:val="14"/>
                <w:szCs w:val="14"/>
                <w:lang w:val="en-US" w:eastAsia="en-US"/>
              </w:rPr>
              <w:t>DRG Description</w:t>
            </w:r>
          </w:p>
        </w:tc>
        <w:tc>
          <w:tcPr>
            <w:tcW w:w="791" w:type="dxa"/>
            <w:vMerge w:val="restart"/>
            <w:tcBorders>
              <w:top w:val="single" w:sz="4" w:space="0" w:color="auto"/>
              <w:left w:val="nil"/>
              <w:bottom w:val="single" w:sz="4" w:space="0" w:color="000000"/>
              <w:right w:val="nil"/>
            </w:tcBorders>
            <w:shd w:val="clear" w:color="auto" w:fill="auto"/>
            <w:hideMark/>
          </w:tcPr>
          <w:p w14:paraId="4888E121" w14:textId="677E1AE2" w:rsidR="00581D11" w:rsidRPr="00581D11" w:rsidRDefault="00581D11" w:rsidP="00231641">
            <w:pPr>
              <w:jc w:val="center"/>
              <w:rPr>
                <w:rFonts w:asciiTheme="minorHAnsi" w:hAnsiTheme="minorHAnsi" w:cstheme="minorHAnsi"/>
                <w:b/>
                <w:bCs/>
                <w:sz w:val="14"/>
                <w:szCs w:val="14"/>
                <w:lang w:val="en-US" w:eastAsia="en-US"/>
              </w:rPr>
            </w:pPr>
            <w:r w:rsidRPr="00581D11">
              <w:rPr>
                <w:rFonts w:asciiTheme="minorHAnsi" w:hAnsiTheme="minorHAnsi" w:cstheme="minorHAnsi"/>
                <w:b/>
                <w:bCs/>
                <w:sz w:val="14"/>
                <w:szCs w:val="14"/>
                <w:lang w:val="en-US" w:eastAsia="en-US"/>
              </w:rPr>
              <w:t>Cost weight</w:t>
            </w:r>
            <w:r w:rsidRPr="00581D11">
              <w:rPr>
                <w:rFonts w:asciiTheme="minorHAnsi" w:hAnsiTheme="minorHAnsi" w:cstheme="minorHAnsi"/>
                <w:b/>
                <w:bCs/>
                <w:sz w:val="14"/>
                <w:szCs w:val="14"/>
                <w:lang w:val="en-US" w:eastAsia="en-US"/>
              </w:rPr>
              <w:br/>
              <w:t>(a</w:t>
            </w:r>
            <w:r w:rsidR="00231641">
              <w:rPr>
                <w:rFonts w:asciiTheme="minorHAnsi" w:hAnsiTheme="minorHAnsi" w:cstheme="minorHAnsi"/>
                <w:b/>
                <w:bCs/>
                <w:sz w:val="14"/>
                <w:szCs w:val="14"/>
                <w:lang w:val="en-US" w:eastAsia="en-US"/>
              </w:rPr>
              <w:t>)</w:t>
            </w:r>
          </w:p>
        </w:tc>
        <w:tc>
          <w:tcPr>
            <w:tcW w:w="839" w:type="dxa"/>
            <w:vMerge w:val="restart"/>
            <w:tcBorders>
              <w:top w:val="single" w:sz="4" w:space="0" w:color="auto"/>
              <w:left w:val="nil"/>
              <w:bottom w:val="single" w:sz="4" w:space="0" w:color="000000"/>
              <w:right w:val="nil"/>
            </w:tcBorders>
            <w:shd w:val="clear" w:color="auto" w:fill="auto"/>
            <w:hideMark/>
          </w:tcPr>
          <w:p w14:paraId="46318215" w14:textId="77777777" w:rsidR="00581D11" w:rsidRPr="00581D11" w:rsidRDefault="00581D11" w:rsidP="00581D11">
            <w:pPr>
              <w:jc w:val="center"/>
              <w:rPr>
                <w:rFonts w:asciiTheme="minorHAnsi" w:hAnsiTheme="minorHAnsi" w:cstheme="minorHAnsi"/>
                <w:b/>
                <w:bCs/>
                <w:sz w:val="14"/>
                <w:szCs w:val="14"/>
                <w:lang w:val="en-US" w:eastAsia="en-US"/>
              </w:rPr>
            </w:pPr>
            <w:r w:rsidRPr="00581D11">
              <w:rPr>
                <w:rFonts w:asciiTheme="minorHAnsi" w:hAnsiTheme="minorHAnsi" w:cstheme="minorHAnsi"/>
                <w:b/>
                <w:bCs/>
                <w:sz w:val="14"/>
                <w:szCs w:val="14"/>
                <w:lang w:val="en-US" w:eastAsia="en-US"/>
              </w:rPr>
              <w:t xml:space="preserve">No. of weighted </w:t>
            </w:r>
            <w:proofErr w:type="spellStart"/>
            <w:r w:rsidRPr="00581D11">
              <w:rPr>
                <w:rFonts w:asciiTheme="minorHAnsi" w:hAnsiTheme="minorHAnsi" w:cstheme="minorHAnsi"/>
                <w:b/>
                <w:bCs/>
                <w:sz w:val="14"/>
                <w:szCs w:val="14"/>
                <w:lang w:val="en-US" w:eastAsia="en-US"/>
              </w:rPr>
              <w:t>seps</w:t>
            </w:r>
            <w:proofErr w:type="spellEnd"/>
            <w:r w:rsidRPr="00581D11">
              <w:rPr>
                <w:rFonts w:asciiTheme="minorHAnsi" w:hAnsiTheme="minorHAnsi" w:cstheme="minorHAnsi"/>
                <w:b/>
                <w:bCs/>
                <w:sz w:val="14"/>
                <w:szCs w:val="14"/>
                <w:lang w:val="en-US" w:eastAsia="en-US"/>
              </w:rPr>
              <w:br/>
              <w:t>(b)</w:t>
            </w:r>
          </w:p>
        </w:tc>
        <w:tc>
          <w:tcPr>
            <w:tcW w:w="1021" w:type="dxa"/>
            <w:vMerge w:val="restart"/>
            <w:tcBorders>
              <w:top w:val="single" w:sz="4" w:space="0" w:color="auto"/>
              <w:left w:val="nil"/>
              <w:bottom w:val="single" w:sz="4" w:space="0" w:color="000000"/>
              <w:right w:val="nil"/>
            </w:tcBorders>
            <w:shd w:val="clear" w:color="auto" w:fill="auto"/>
            <w:hideMark/>
          </w:tcPr>
          <w:p w14:paraId="74584A53" w14:textId="77777777" w:rsidR="00581D11" w:rsidRPr="00581D11" w:rsidRDefault="00581D11" w:rsidP="00581D11">
            <w:pPr>
              <w:jc w:val="center"/>
              <w:rPr>
                <w:rFonts w:asciiTheme="minorHAnsi" w:hAnsiTheme="minorHAnsi" w:cstheme="minorHAnsi"/>
                <w:b/>
                <w:bCs/>
                <w:sz w:val="14"/>
                <w:szCs w:val="14"/>
                <w:lang w:val="en-US" w:eastAsia="en-US"/>
              </w:rPr>
            </w:pPr>
            <w:r w:rsidRPr="00581D11">
              <w:rPr>
                <w:rFonts w:asciiTheme="minorHAnsi" w:hAnsiTheme="minorHAnsi" w:cstheme="minorHAnsi"/>
                <w:b/>
                <w:bCs/>
                <w:sz w:val="14"/>
                <w:szCs w:val="14"/>
                <w:lang w:val="en-US" w:eastAsia="en-US"/>
              </w:rPr>
              <w:t xml:space="preserve">Cost weighted </w:t>
            </w:r>
            <w:proofErr w:type="spellStart"/>
            <w:r w:rsidRPr="00581D11">
              <w:rPr>
                <w:rFonts w:asciiTheme="minorHAnsi" w:hAnsiTheme="minorHAnsi" w:cstheme="minorHAnsi"/>
                <w:b/>
                <w:bCs/>
                <w:sz w:val="14"/>
                <w:szCs w:val="14"/>
                <w:lang w:val="en-US" w:eastAsia="en-US"/>
              </w:rPr>
              <w:t>seps</w:t>
            </w:r>
            <w:proofErr w:type="spellEnd"/>
            <w:r w:rsidRPr="00581D11">
              <w:rPr>
                <w:rFonts w:asciiTheme="minorHAnsi" w:hAnsiTheme="minorHAnsi" w:cstheme="minorHAnsi"/>
                <w:b/>
                <w:bCs/>
                <w:sz w:val="14"/>
                <w:szCs w:val="14"/>
                <w:lang w:val="en-US" w:eastAsia="en-US"/>
              </w:rPr>
              <w:br/>
              <w:t>(c)=(a)x(b)</w:t>
            </w:r>
          </w:p>
        </w:tc>
        <w:tc>
          <w:tcPr>
            <w:tcW w:w="882" w:type="dxa"/>
            <w:vMerge w:val="restart"/>
            <w:tcBorders>
              <w:top w:val="single" w:sz="4" w:space="0" w:color="auto"/>
              <w:left w:val="nil"/>
              <w:bottom w:val="single" w:sz="4" w:space="0" w:color="000000"/>
              <w:right w:val="nil"/>
            </w:tcBorders>
            <w:shd w:val="clear" w:color="auto" w:fill="auto"/>
            <w:hideMark/>
          </w:tcPr>
          <w:p w14:paraId="7A28452A" w14:textId="77777777" w:rsidR="00581D11" w:rsidRPr="00581D11" w:rsidRDefault="00581D11" w:rsidP="00581D11">
            <w:pPr>
              <w:jc w:val="center"/>
              <w:rPr>
                <w:rFonts w:asciiTheme="minorHAnsi" w:hAnsiTheme="minorHAnsi" w:cstheme="minorHAnsi"/>
                <w:b/>
                <w:bCs/>
                <w:sz w:val="14"/>
                <w:szCs w:val="14"/>
                <w:lang w:val="en-US" w:eastAsia="en-US"/>
              </w:rPr>
            </w:pPr>
            <w:r w:rsidRPr="00581D11">
              <w:rPr>
                <w:rFonts w:asciiTheme="minorHAnsi" w:hAnsiTheme="minorHAnsi" w:cstheme="minorHAnsi"/>
                <w:b/>
                <w:bCs/>
                <w:sz w:val="14"/>
                <w:szCs w:val="14"/>
                <w:lang w:val="en-US" w:eastAsia="en-US"/>
              </w:rPr>
              <w:t>Number of days</w:t>
            </w:r>
            <w:r w:rsidRPr="00581D11">
              <w:rPr>
                <w:rFonts w:asciiTheme="minorHAnsi" w:hAnsiTheme="minorHAnsi" w:cstheme="minorHAnsi"/>
                <w:b/>
                <w:bCs/>
                <w:sz w:val="14"/>
                <w:szCs w:val="14"/>
                <w:lang w:val="en-US" w:eastAsia="en-US"/>
              </w:rPr>
              <w:br/>
              <w:t>(d)</w:t>
            </w:r>
          </w:p>
        </w:tc>
        <w:tc>
          <w:tcPr>
            <w:tcW w:w="873" w:type="dxa"/>
            <w:vMerge w:val="restart"/>
            <w:tcBorders>
              <w:top w:val="single" w:sz="4" w:space="0" w:color="auto"/>
              <w:left w:val="nil"/>
              <w:bottom w:val="single" w:sz="4" w:space="0" w:color="000000"/>
              <w:right w:val="nil"/>
            </w:tcBorders>
            <w:shd w:val="clear" w:color="auto" w:fill="auto"/>
            <w:hideMark/>
          </w:tcPr>
          <w:p w14:paraId="75F25590" w14:textId="77777777" w:rsidR="00581D11" w:rsidRPr="00581D11" w:rsidRDefault="00581D11" w:rsidP="00581D11">
            <w:pPr>
              <w:jc w:val="center"/>
              <w:rPr>
                <w:rFonts w:asciiTheme="minorHAnsi" w:hAnsiTheme="minorHAnsi" w:cstheme="minorHAnsi"/>
                <w:b/>
                <w:bCs/>
                <w:sz w:val="14"/>
                <w:szCs w:val="14"/>
                <w:lang w:val="en-US" w:eastAsia="en-US"/>
              </w:rPr>
            </w:pPr>
            <w:proofErr w:type="spellStart"/>
            <w:r w:rsidRPr="00581D11">
              <w:rPr>
                <w:rFonts w:asciiTheme="minorHAnsi" w:hAnsiTheme="minorHAnsi" w:cstheme="minorHAnsi"/>
                <w:b/>
                <w:bCs/>
                <w:sz w:val="14"/>
                <w:szCs w:val="14"/>
                <w:lang w:val="en-US" w:eastAsia="en-US"/>
              </w:rPr>
              <w:t>ALoS</w:t>
            </w:r>
            <w:proofErr w:type="spellEnd"/>
            <w:r w:rsidRPr="00581D11">
              <w:rPr>
                <w:rFonts w:asciiTheme="minorHAnsi" w:hAnsiTheme="minorHAnsi" w:cstheme="minorHAnsi"/>
                <w:b/>
                <w:bCs/>
                <w:sz w:val="14"/>
                <w:szCs w:val="14"/>
                <w:lang w:val="en-US" w:eastAsia="en-US"/>
              </w:rPr>
              <w:t xml:space="preserve"> (days)</w:t>
            </w:r>
            <w:r w:rsidRPr="00581D11">
              <w:rPr>
                <w:rFonts w:asciiTheme="minorHAnsi" w:hAnsiTheme="minorHAnsi" w:cstheme="minorHAnsi"/>
                <w:b/>
                <w:bCs/>
                <w:sz w:val="14"/>
                <w:szCs w:val="14"/>
                <w:lang w:val="en-US" w:eastAsia="en-US"/>
              </w:rPr>
              <w:br/>
              <w:t>(e)=(d)/(b)</w:t>
            </w:r>
          </w:p>
        </w:tc>
        <w:tc>
          <w:tcPr>
            <w:tcW w:w="672" w:type="dxa"/>
            <w:vMerge w:val="restart"/>
            <w:tcBorders>
              <w:top w:val="single" w:sz="4" w:space="0" w:color="auto"/>
              <w:left w:val="nil"/>
              <w:bottom w:val="single" w:sz="4" w:space="0" w:color="000000"/>
              <w:right w:val="nil"/>
            </w:tcBorders>
            <w:shd w:val="clear" w:color="auto" w:fill="auto"/>
            <w:hideMark/>
          </w:tcPr>
          <w:p w14:paraId="6CC97882" w14:textId="77777777" w:rsidR="00581D11" w:rsidRPr="00581D11" w:rsidRDefault="00581D11" w:rsidP="00581D11">
            <w:pPr>
              <w:jc w:val="center"/>
              <w:rPr>
                <w:rFonts w:asciiTheme="minorHAnsi" w:hAnsiTheme="minorHAnsi" w:cstheme="minorHAnsi"/>
                <w:b/>
                <w:bCs/>
                <w:sz w:val="14"/>
                <w:szCs w:val="14"/>
                <w:lang w:val="en-US" w:eastAsia="en-US"/>
              </w:rPr>
            </w:pPr>
            <w:proofErr w:type="spellStart"/>
            <w:r w:rsidRPr="00581D11">
              <w:rPr>
                <w:rFonts w:asciiTheme="minorHAnsi" w:hAnsiTheme="minorHAnsi" w:cstheme="minorHAnsi"/>
                <w:b/>
                <w:bCs/>
                <w:sz w:val="14"/>
                <w:szCs w:val="14"/>
                <w:lang w:val="en-US" w:eastAsia="en-US"/>
              </w:rPr>
              <w:t>Std</w:t>
            </w:r>
            <w:proofErr w:type="spellEnd"/>
            <w:r w:rsidRPr="00581D11">
              <w:rPr>
                <w:rFonts w:asciiTheme="minorHAnsi" w:hAnsiTheme="minorHAnsi" w:cstheme="minorHAnsi"/>
                <w:b/>
                <w:bCs/>
                <w:sz w:val="14"/>
                <w:szCs w:val="14"/>
                <w:lang w:val="en-US" w:eastAsia="en-US"/>
              </w:rPr>
              <w:t xml:space="preserve"> error</w:t>
            </w:r>
          </w:p>
        </w:tc>
        <w:tc>
          <w:tcPr>
            <w:tcW w:w="575" w:type="dxa"/>
            <w:vMerge w:val="restart"/>
            <w:tcBorders>
              <w:top w:val="single" w:sz="4" w:space="0" w:color="auto"/>
              <w:left w:val="nil"/>
              <w:bottom w:val="single" w:sz="4" w:space="0" w:color="000000"/>
              <w:right w:val="nil"/>
            </w:tcBorders>
            <w:shd w:val="clear" w:color="auto" w:fill="auto"/>
            <w:hideMark/>
          </w:tcPr>
          <w:p w14:paraId="08211588" w14:textId="77777777" w:rsidR="00581D11" w:rsidRPr="00581D11" w:rsidRDefault="00581D11" w:rsidP="00581D11">
            <w:pPr>
              <w:jc w:val="center"/>
              <w:rPr>
                <w:rFonts w:asciiTheme="minorHAnsi" w:hAnsiTheme="minorHAnsi" w:cstheme="minorHAnsi"/>
                <w:b/>
                <w:bCs/>
                <w:sz w:val="14"/>
                <w:szCs w:val="14"/>
                <w:lang w:val="en-US" w:eastAsia="en-US"/>
              </w:rPr>
            </w:pPr>
            <w:r w:rsidRPr="00581D11">
              <w:rPr>
                <w:rFonts w:asciiTheme="minorHAnsi" w:hAnsiTheme="minorHAnsi" w:cstheme="minorHAnsi"/>
                <w:b/>
                <w:bCs/>
                <w:sz w:val="14"/>
                <w:szCs w:val="14"/>
                <w:lang w:val="en-US" w:eastAsia="en-US"/>
              </w:rPr>
              <w:t xml:space="preserve">% of total </w:t>
            </w:r>
            <w:proofErr w:type="spellStart"/>
            <w:r w:rsidRPr="00581D11">
              <w:rPr>
                <w:rFonts w:asciiTheme="minorHAnsi" w:hAnsiTheme="minorHAnsi" w:cstheme="minorHAnsi"/>
                <w:b/>
                <w:bCs/>
                <w:sz w:val="14"/>
                <w:szCs w:val="14"/>
                <w:lang w:val="en-US" w:eastAsia="en-US"/>
              </w:rPr>
              <w:t>seps</w:t>
            </w:r>
            <w:proofErr w:type="spellEnd"/>
          </w:p>
        </w:tc>
        <w:tc>
          <w:tcPr>
            <w:tcW w:w="575" w:type="dxa"/>
            <w:vMerge w:val="restart"/>
            <w:tcBorders>
              <w:top w:val="single" w:sz="4" w:space="0" w:color="auto"/>
              <w:left w:val="nil"/>
              <w:bottom w:val="single" w:sz="4" w:space="0" w:color="000000"/>
              <w:right w:val="nil"/>
            </w:tcBorders>
            <w:shd w:val="clear" w:color="auto" w:fill="auto"/>
            <w:hideMark/>
          </w:tcPr>
          <w:p w14:paraId="7843B115" w14:textId="77777777" w:rsidR="00581D11" w:rsidRPr="00581D11" w:rsidRDefault="00581D11" w:rsidP="00581D11">
            <w:pPr>
              <w:jc w:val="center"/>
              <w:rPr>
                <w:rFonts w:asciiTheme="minorHAnsi" w:hAnsiTheme="minorHAnsi" w:cstheme="minorHAnsi"/>
                <w:b/>
                <w:bCs/>
                <w:sz w:val="14"/>
                <w:szCs w:val="14"/>
                <w:lang w:val="en-US" w:eastAsia="en-US"/>
              </w:rPr>
            </w:pPr>
            <w:r w:rsidRPr="00581D11">
              <w:rPr>
                <w:rFonts w:asciiTheme="minorHAnsi" w:hAnsiTheme="minorHAnsi" w:cstheme="minorHAnsi"/>
                <w:b/>
                <w:bCs/>
                <w:sz w:val="14"/>
                <w:szCs w:val="14"/>
                <w:lang w:val="en-US" w:eastAsia="en-US"/>
              </w:rPr>
              <w:t xml:space="preserve">% of CW </w:t>
            </w:r>
            <w:proofErr w:type="spellStart"/>
            <w:r w:rsidRPr="00581D11">
              <w:rPr>
                <w:rFonts w:asciiTheme="minorHAnsi" w:hAnsiTheme="minorHAnsi" w:cstheme="minorHAnsi"/>
                <w:b/>
                <w:bCs/>
                <w:sz w:val="14"/>
                <w:szCs w:val="14"/>
                <w:lang w:val="en-US" w:eastAsia="en-US"/>
              </w:rPr>
              <w:t>seps</w:t>
            </w:r>
            <w:proofErr w:type="spellEnd"/>
          </w:p>
        </w:tc>
        <w:tc>
          <w:tcPr>
            <w:tcW w:w="835" w:type="dxa"/>
            <w:vMerge w:val="restart"/>
            <w:tcBorders>
              <w:top w:val="single" w:sz="4" w:space="0" w:color="auto"/>
              <w:left w:val="nil"/>
              <w:bottom w:val="single" w:sz="4" w:space="0" w:color="000000"/>
              <w:right w:val="nil"/>
            </w:tcBorders>
            <w:shd w:val="clear" w:color="auto" w:fill="auto"/>
            <w:hideMark/>
          </w:tcPr>
          <w:p w14:paraId="57ED790D" w14:textId="77777777" w:rsidR="00581D11" w:rsidRPr="00581D11" w:rsidRDefault="00581D11" w:rsidP="00581D11">
            <w:pPr>
              <w:jc w:val="center"/>
              <w:rPr>
                <w:rFonts w:asciiTheme="minorHAnsi" w:hAnsiTheme="minorHAnsi" w:cstheme="minorHAnsi"/>
                <w:b/>
                <w:bCs/>
                <w:sz w:val="14"/>
                <w:szCs w:val="14"/>
                <w:lang w:val="en-US" w:eastAsia="en-US"/>
              </w:rPr>
            </w:pPr>
            <w:r w:rsidRPr="00581D11">
              <w:rPr>
                <w:rFonts w:asciiTheme="minorHAnsi" w:hAnsiTheme="minorHAnsi" w:cstheme="minorHAnsi"/>
                <w:b/>
                <w:bCs/>
                <w:sz w:val="14"/>
                <w:szCs w:val="14"/>
                <w:lang w:val="en-US" w:eastAsia="en-US"/>
              </w:rPr>
              <w:t xml:space="preserve">Round 18 weighted </w:t>
            </w:r>
            <w:proofErr w:type="spellStart"/>
            <w:r w:rsidRPr="00581D11">
              <w:rPr>
                <w:rFonts w:asciiTheme="minorHAnsi" w:hAnsiTheme="minorHAnsi" w:cstheme="minorHAnsi"/>
                <w:b/>
                <w:bCs/>
                <w:sz w:val="14"/>
                <w:szCs w:val="14"/>
                <w:lang w:val="en-US" w:eastAsia="en-US"/>
              </w:rPr>
              <w:t>seps</w:t>
            </w:r>
            <w:proofErr w:type="spellEnd"/>
          </w:p>
        </w:tc>
        <w:tc>
          <w:tcPr>
            <w:tcW w:w="660" w:type="dxa"/>
            <w:vMerge w:val="restart"/>
            <w:tcBorders>
              <w:top w:val="single" w:sz="4" w:space="0" w:color="auto"/>
              <w:left w:val="nil"/>
              <w:bottom w:val="single" w:sz="4" w:space="0" w:color="000000"/>
              <w:right w:val="nil"/>
            </w:tcBorders>
            <w:shd w:val="clear" w:color="auto" w:fill="auto"/>
            <w:hideMark/>
          </w:tcPr>
          <w:p w14:paraId="4C49BC77" w14:textId="77777777" w:rsidR="00581D11" w:rsidRPr="00581D11" w:rsidRDefault="00581D11" w:rsidP="00581D11">
            <w:pPr>
              <w:jc w:val="center"/>
              <w:rPr>
                <w:rFonts w:asciiTheme="minorHAnsi" w:hAnsiTheme="minorHAnsi" w:cstheme="minorHAnsi"/>
                <w:b/>
                <w:bCs/>
                <w:sz w:val="14"/>
                <w:szCs w:val="14"/>
                <w:lang w:val="en-US" w:eastAsia="en-US"/>
              </w:rPr>
            </w:pPr>
            <w:r w:rsidRPr="00581D11">
              <w:rPr>
                <w:rFonts w:asciiTheme="minorHAnsi" w:hAnsiTheme="minorHAnsi" w:cstheme="minorHAnsi"/>
                <w:b/>
                <w:bCs/>
                <w:sz w:val="14"/>
                <w:szCs w:val="14"/>
                <w:lang w:val="en-US" w:eastAsia="en-US"/>
              </w:rPr>
              <w:t>Rank Round 18</w:t>
            </w:r>
          </w:p>
        </w:tc>
        <w:tc>
          <w:tcPr>
            <w:tcW w:w="1182" w:type="dxa"/>
            <w:vMerge w:val="restart"/>
            <w:tcBorders>
              <w:top w:val="single" w:sz="4" w:space="0" w:color="auto"/>
              <w:left w:val="nil"/>
              <w:bottom w:val="single" w:sz="4" w:space="0" w:color="000000"/>
              <w:right w:val="nil"/>
            </w:tcBorders>
            <w:shd w:val="clear" w:color="auto" w:fill="auto"/>
            <w:hideMark/>
          </w:tcPr>
          <w:p w14:paraId="43D00BC7" w14:textId="77777777" w:rsidR="00581D11" w:rsidRPr="00581D11" w:rsidRDefault="00581D11" w:rsidP="00581D11">
            <w:pPr>
              <w:jc w:val="center"/>
              <w:rPr>
                <w:rFonts w:asciiTheme="minorHAnsi" w:hAnsiTheme="minorHAnsi" w:cstheme="minorHAnsi"/>
                <w:b/>
                <w:bCs/>
                <w:sz w:val="14"/>
                <w:szCs w:val="14"/>
                <w:lang w:val="en-US" w:eastAsia="en-US"/>
              </w:rPr>
            </w:pPr>
            <w:r w:rsidRPr="00581D11">
              <w:rPr>
                <w:rFonts w:asciiTheme="minorHAnsi" w:hAnsiTheme="minorHAnsi" w:cstheme="minorHAnsi"/>
                <w:b/>
                <w:bCs/>
                <w:sz w:val="14"/>
                <w:szCs w:val="14"/>
                <w:lang w:val="en-US" w:eastAsia="en-US"/>
              </w:rPr>
              <w:t>Round 18 cost weight</w:t>
            </w:r>
          </w:p>
        </w:tc>
      </w:tr>
      <w:tr w:rsidR="00581D11" w:rsidRPr="00231641" w14:paraId="080E0FF8" w14:textId="77777777" w:rsidTr="00C11EFE">
        <w:trPr>
          <w:trHeight w:val="315"/>
        </w:trPr>
        <w:tc>
          <w:tcPr>
            <w:tcW w:w="701" w:type="dxa"/>
            <w:vMerge/>
            <w:tcBorders>
              <w:top w:val="single" w:sz="4" w:space="0" w:color="auto"/>
              <w:left w:val="nil"/>
              <w:bottom w:val="single" w:sz="4" w:space="0" w:color="000000"/>
              <w:right w:val="nil"/>
            </w:tcBorders>
            <w:vAlign w:val="center"/>
            <w:hideMark/>
          </w:tcPr>
          <w:p w14:paraId="5C4135A0" w14:textId="77777777" w:rsidR="00581D11" w:rsidRPr="00581D11" w:rsidRDefault="00581D11" w:rsidP="00581D11">
            <w:pPr>
              <w:rPr>
                <w:rFonts w:asciiTheme="minorHAnsi" w:hAnsiTheme="minorHAnsi" w:cstheme="minorHAnsi"/>
                <w:b/>
                <w:bCs/>
                <w:color w:val="A32020"/>
                <w:sz w:val="14"/>
                <w:szCs w:val="14"/>
                <w:lang w:val="en-US" w:eastAsia="en-US"/>
              </w:rPr>
            </w:pPr>
          </w:p>
        </w:tc>
        <w:tc>
          <w:tcPr>
            <w:tcW w:w="701" w:type="dxa"/>
            <w:vMerge/>
            <w:tcBorders>
              <w:top w:val="single" w:sz="4" w:space="0" w:color="auto"/>
              <w:left w:val="nil"/>
              <w:bottom w:val="single" w:sz="4" w:space="0" w:color="000000"/>
              <w:right w:val="nil"/>
            </w:tcBorders>
            <w:vAlign w:val="center"/>
            <w:hideMark/>
          </w:tcPr>
          <w:p w14:paraId="4CB3102B" w14:textId="77777777" w:rsidR="00581D11" w:rsidRPr="00581D11" w:rsidRDefault="00581D11" w:rsidP="00581D11">
            <w:pPr>
              <w:rPr>
                <w:rFonts w:asciiTheme="minorHAnsi" w:hAnsiTheme="minorHAnsi" w:cstheme="minorHAnsi"/>
                <w:b/>
                <w:bCs/>
                <w:color w:val="A32020"/>
                <w:sz w:val="14"/>
                <w:szCs w:val="14"/>
                <w:lang w:val="en-US" w:eastAsia="en-US"/>
              </w:rPr>
            </w:pPr>
          </w:p>
        </w:tc>
        <w:tc>
          <w:tcPr>
            <w:tcW w:w="582" w:type="dxa"/>
            <w:vMerge/>
            <w:tcBorders>
              <w:top w:val="single" w:sz="4" w:space="0" w:color="auto"/>
              <w:left w:val="nil"/>
              <w:bottom w:val="single" w:sz="4" w:space="0" w:color="000000"/>
              <w:right w:val="nil"/>
            </w:tcBorders>
            <w:vAlign w:val="center"/>
            <w:hideMark/>
          </w:tcPr>
          <w:p w14:paraId="0C8021AF" w14:textId="77777777" w:rsidR="00581D11" w:rsidRPr="00581D11" w:rsidRDefault="00581D11" w:rsidP="00581D11">
            <w:pPr>
              <w:rPr>
                <w:rFonts w:asciiTheme="minorHAnsi" w:hAnsiTheme="minorHAnsi" w:cstheme="minorHAnsi"/>
                <w:b/>
                <w:bCs/>
                <w:color w:val="A32020"/>
                <w:sz w:val="14"/>
                <w:szCs w:val="14"/>
                <w:lang w:val="en-US" w:eastAsia="en-US"/>
              </w:rPr>
            </w:pPr>
          </w:p>
        </w:tc>
        <w:tc>
          <w:tcPr>
            <w:tcW w:w="3977" w:type="dxa"/>
            <w:vMerge/>
            <w:tcBorders>
              <w:top w:val="single" w:sz="4" w:space="0" w:color="auto"/>
              <w:left w:val="nil"/>
              <w:bottom w:val="single" w:sz="4" w:space="0" w:color="000000"/>
              <w:right w:val="nil"/>
            </w:tcBorders>
            <w:vAlign w:val="center"/>
            <w:hideMark/>
          </w:tcPr>
          <w:p w14:paraId="2A98E4CE" w14:textId="77777777" w:rsidR="00581D11" w:rsidRPr="00581D11" w:rsidRDefault="00581D11" w:rsidP="00581D11">
            <w:pPr>
              <w:rPr>
                <w:rFonts w:asciiTheme="minorHAnsi" w:hAnsiTheme="minorHAnsi" w:cstheme="minorHAnsi"/>
                <w:b/>
                <w:bCs/>
                <w:color w:val="A32020"/>
                <w:sz w:val="14"/>
                <w:szCs w:val="14"/>
                <w:lang w:val="en-US" w:eastAsia="en-US"/>
              </w:rPr>
            </w:pPr>
          </w:p>
        </w:tc>
        <w:tc>
          <w:tcPr>
            <w:tcW w:w="791" w:type="dxa"/>
            <w:vMerge/>
            <w:tcBorders>
              <w:top w:val="single" w:sz="4" w:space="0" w:color="auto"/>
              <w:left w:val="nil"/>
              <w:bottom w:val="single" w:sz="4" w:space="0" w:color="000000"/>
              <w:right w:val="nil"/>
            </w:tcBorders>
            <w:vAlign w:val="center"/>
            <w:hideMark/>
          </w:tcPr>
          <w:p w14:paraId="468E8F72" w14:textId="77777777" w:rsidR="00581D11" w:rsidRPr="00581D11" w:rsidRDefault="00581D11" w:rsidP="00581D11">
            <w:pPr>
              <w:rPr>
                <w:rFonts w:asciiTheme="minorHAnsi" w:hAnsiTheme="minorHAnsi" w:cstheme="minorHAnsi"/>
                <w:b/>
                <w:bCs/>
                <w:color w:val="A32020"/>
                <w:sz w:val="14"/>
                <w:szCs w:val="14"/>
                <w:lang w:val="en-US" w:eastAsia="en-US"/>
              </w:rPr>
            </w:pPr>
          </w:p>
        </w:tc>
        <w:tc>
          <w:tcPr>
            <w:tcW w:w="839" w:type="dxa"/>
            <w:vMerge/>
            <w:tcBorders>
              <w:top w:val="single" w:sz="4" w:space="0" w:color="auto"/>
              <w:left w:val="nil"/>
              <w:bottom w:val="single" w:sz="4" w:space="0" w:color="000000"/>
              <w:right w:val="nil"/>
            </w:tcBorders>
            <w:shd w:val="clear" w:color="auto" w:fill="auto"/>
            <w:vAlign w:val="center"/>
            <w:hideMark/>
          </w:tcPr>
          <w:p w14:paraId="6621F5BC" w14:textId="77777777" w:rsidR="00581D11" w:rsidRPr="00581D11" w:rsidRDefault="00581D11" w:rsidP="00581D11">
            <w:pPr>
              <w:rPr>
                <w:rFonts w:asciiTheme="minorHAnsi" w:hAnsiTheme="minorHAnsi" w:cstheme="minorHAnsi"/>
                <w:b/>
                <w:bCs/>
                <w:color w:val="A32020"/>
                <w:sz w:val="14"/>
                <w:szCs w:val="14"/>
                <w:lang w:val="en-US" w:eastAsia="en-US"/>
              </w:rPr>
            </w:pPr>
          </w:p>
        </w:tc>
        <w:tc>
          <w:tcPr>
            <w:tcW w:w="1021" w:type="dxa"/>
            <w:vMerge/>
            <w:tcBorders>
              <w:top w:val="single" w:sz="4" w:space="0" w:color="auto"/>
              <w:left w:val="nil"/>
              <w:bottom w:val="single" w:sz="4" w:space="0" w:color="000000"/>
              <w:right w:val="nil"/>
            </w:tcBorders>
            <w:vAlign w:val="center"/>
            <w:hideMark/>
          </w:tcPr>
          <w:p w14:paraId="3FDD07A9" w14:textId="77777777" w:rsidR="00581D11" w:rsidRPr="00581D11" w:rsidRDefault="00581D11" w:rsidP="00581D11">
            <w:pPr>
              <w:rPr>
                <w:rFonts w:asciiTheme="minorHAnsi" w:hAnsiTheme="minorHAnsi" w:cstheme="minorHAnsi"/>
                <w:b/>
                <w:bCs/>
                <w:color w:val="A32020"/>
                <w:sz w:val="14"/>
                <w:szCs w:val="14"/>
                <w:lang w:val="en-US" w:eastAsia="en-US"/>
              </w:rPr>
            </w:pPr>
          </w:p>
        </w:tc>
        <w:tc>
          <w:tcPr>
            <w:tcW w:w="882" w:type="dxa"/>
            <w:vMerge/>
            <w:tcBorders>
              <w:top w:val="single" w:sz="4" w:space="0" w:color="auto"/>
              <w:left w:val="nil"/>
              <w:bottom w:val="single" w:sz="4" w:space="0" w:color="000000"/>
              <w:right w:val="nil"/>
            </w:tcBorders>
            <w:vAlign w:val="center"/>
            <w:hideMark/>
          </w:tcPr>
          <w:p w14:paraId="1D7BBA7C" w14:textId="77777777" w:rsidR="00581D11" w:rsidRPr="00581D11" w:rsidRDefault="00581D11" w:rsidP="00581D11">
            <w:pPr>
              <w:rPr>
                <w:rFonts w:asciiTheme="minorHAnsi" w:hAnsiTheme="minorHAnsi" w:cstheme="minorHAnsi"/>
                <w:b/>
                <w:bCs/>
                <w:color w:val="A32020"/>
                <w:sz w:val="14"/>
                <w:szCs w:val="14"/>
                <w:lang w:val="en-US" w:eastAsia="en-US"/>
              </w:rPr>
            </w:pPr>
          </w:p>
        </w:tc>
        <w:tc>
          <w:tcPr>
            <w:tcW w:w="873" w:type="dxa"/>
            <w:vMerge/>
            <w:tcBorders>
              <w:top w:val="single" w:sz="4" w:space="0" w:color="auto"/>
              <w:left w:val="nil"/>
              <w:bottom w:val="single" w:sz="4" w:space="0" w:color="000000"/>
              <w:right w:val="nil"/>
            </w:tcBorders>
            <w:vAlign w:val="center"/>
            <w:hideMark/>
          </w:tcPr>
          <w:p w14:paraId="2EADE397" w14:textId="77777777" w:rsidR="00581D11" w:rsidRPr="00581D11" w:rsidRDefault="00581D11" w:rsidP="00581D11">
            <w:pPr>
              <w:rPr>
                <w:rFonts w:asciiTheme="minorHAnsi" w:hAnsiTheme="minorHAnsi" w:cstheme="minorHAnsi"/>
                <w:b/>
                <w:bCs/>
                <w:color w:val="A32020"/>
                <w:sz w:val="14"/>
                <w:szCs w:val="14"/>
                <w:lang w:val="en-US" w:eastAsia="en-US"/>
              </w:rPr>
            </w:pPr>
          </w:p>
        </w:tc>
        <w:tc>
          <w:tcPr>
            <w:tcW w:w="672" w:type="dxa"/>
            <w:vMerge/>
            <w:tcBorders>
              <w:top w:val="single" w:sz="4" w:space="0" w:color="auto"/>
              <w:left w:val="nil"/>
              <w:bottom w:val="single" w:sz="4" w:space="0" w:color="000000"/>
              <w:right w:val="nil"/>
            </w:tcBorders>
            <w:vAlign w:val="center"/>
            <w:hideMark/>
          </w:tcPr>
          <w:p w14:paraId="6000E8B4" w14:textId="77777777" w:rsidR="00581D11" w:rsidRPr="00581D11" w:rsidRDefault="00581D11" w:rsidP="00581D11">
            <w:pPr>
              <w:rPr>
                <w:rFonts w:asciiTheme="minorHAnsi" w:hAnsiTheme="minorHAnsi" w:cstheme="minorHAnsi"/>
                <w:b/>
                <w:bCs/>
                <w:color w:val="A32020"/>
                <w:sz w:val="14"/>
                <w:szCs w:val="14"/>
                <w:lang w:val="en-US" w:eastAsia="en-US"/>
              </w:rPr>
            </w:pPr>
          </w:p>
        </w:tc>
        <w:tc>
          <w:tcPr>
            <w:tcW w:w="575" w:type="dxa"/>
            <w:vMerge/>
            <w:tcBorders>
              <w:top w:val="single" w:sz="4" w:space="0" w:color="auto"/>
              <w:left w:val="nil"/>
              <w:bottom w:val="single" w:sz="4" w:space="0" w:color="000000"/>
              <w:right w:val="nil"/>
            </w:tcBorders>
            <w:vAlign w:val="center"/>
            <w:hideMark/>
          </w:tcPr>
          <w:p w14:paraId="1DEC1ADB" w14:textId="77777777" w:rsidR="00581D11" w:rsidRPr="00581D11" w:rsidRDefault="00581D11" w:rsidP="00581D11">
            <w:pPr>
              <w:rPr>
                <w:rFonts w:asciiTheme="minorHAnsi" w:hAnsiTheme="minorHAnsi" w:cstheme="minorHAnsi"/>
                <w:b/>
                <w:bCs/>
                <w:color w:val="A32020"/>
                <w:sz w:val="14"/>
                <w:szCs w:val="14"/>
                <w:lang w:val="en-US" w:eastAsia="en-US"/>
              </w:rPr>
            </w:pPr>
          </w:p>
        </w:tc>
        <w:tc>
          <w:tcPr>
            <w:tcW w:w="575" w:type="dxa"/>
            <w:vMerge/>
            <w:tcBorders>
              <w:top w:val="single" w:sz="4" w:space="0" w:color="auto"/>
              <w:left w:val="nil"/>
              <w:bottom w:val="single" w:sz="4" w:space="0" w:color="000000"/>
              <w:right w:val="nil"/>
            </w:tcBorders>
            <w:vAlign w:val="center"/>
            <w:hideMark/>
          </w:tcPr>
          <w:p w14:paraId="05CF18C2" w14:textId="77777777" w:rsidR="00581D11" w:rsidRPr="00581D11" w:rsidRDefault="00581D11" w:rsidP="00581D11">
            <w:pPr>
              <w:rPr>
                <w:rFonts w:asciiTheme="minorHAnsi" w:hAnsiTheme="minorHAnsi" w:cstheme="minorHAnsi"/>
                <w:b/>
                <w:bCs/>
                <w:color w:val="A32020"/>
                <w:sz w:val="14"/>
                <w:szCs w:val="14"/>
                <w:lang w:val="en-US" w:eastAsia="en-US"/>
              </w:rPr>
            </w:pPr>
          </w:p>
        </w:tc>
        <w:tc>
          <w:tcPr>
            <w:tcW w:w="835" w:type="dxa"/>
            <w:vMerge/>
            <w:tcBorders>
              <w:top w:val="single" w:sz="4" w:space="0" w:color="auto"/>
              <w:left w:val="nil"/>
              <w:bottom w:val="single" w:sz="4" w:space="0" w:color="000000"/>
              <w:right w:val="nil"/>
            </w:tcBorders>
            <w:vAlign w:val="center"/>
            <w:hideMark/>
          </w:tcPr>
          <w:p w14:paraId="74F56BBE" w14:textId="77777777" w:rsidR="00581D11" w:rsidRPr="00581D11" w:rsidRDefault="00581D11" w:rsidP="00581D11">
            <w:pPr>
              <w:rPr>
                <w:rFonts w:asciiTheme="minorHAnsi" w:hAnsiTheme="minorHAnsi" w:cstheme="minorHAnsi"/>
                <w:b/>
                <w:bCs/>
                <w:color w:val="A32020"/>
                <w:sz w:val="14"/>
                <w:szCs w:val="14"/>
                <w:lang w:val="en-US" w:eastAsia="en-US"/>
              </w:rPr>
            </w:pPr>
          </w:p>
        </w:tc>
        <w:tc>
          <w:tcPr>
            <w:tcW w:w="660" w:type="dxa"/>
            <w:vMerge/>
            <w:tcBorders>
              <w:top w:val="single" w:sz="4" w:space="0" w:color="auto"/>
              <w:left w:val="nil"/>
              <w:bottom w:val="single" w:sz="4" w:space="0" w:color="000000"/>
              <w:right w:val="nil"/>
            </w:tcBorders>
            <w:vAlign w:val="center"/>
            <w:hideMark/>
          </w:tcPr>
          <w:p w14:paraId="06334ABE" w14:textId="77777777" w:rsidR="00581D11" w:rsidRPr="00581D11" w:rsidRDefault="00581D11" w:rsidP="00581D11">
            <w:pPr>
              <w:rPr>
                <w:rFonts w:asciiTheme="minorHAnsi" w:hAnsiTheme="minorHAnsi" w:cstheme="minorHAnsi"/>
                <w:b/>
                <w:bCs/>
                <w:color w:val="A32020"/>
                <w:sz w:val="14"/>
                <w:szCs w:val="14"/>
                <w:lang w:val="en-US" w:eastAsia="en-US"/>
              </w:rPr>
            </w:pPr>
          </w:p>
        </w:tc>
        <w:tc>
          <w:tcPr>
            <w:tcW w:w="1182" w:type="dxa"/>
            <w:vMerge/>
            <w:tcBorders>
              <w:top w:val="single" w:sz="4" w:space="0" w:color="auto"/>
              <w:left w:val="nil"/>
              <w:bottom w:val="single" w:sz="4" w:space="0" w:color="000000"/>
              <w:right w:val="nil"/>
            </w:tcBorders>
            <w:shd w:val="clear" w:color="auto" w:fill="auto"/>
            <w:vAlign w:val="center"/>
            <w:hideMark/>
          </w:tcPr>
          <w:p w14:paraId="78C71218" w14:textId="77777777" w:rsidR="00581D11" w:rsidRPr="00581D11" w:rsidRDefault="00581D11" w:rsidP="00581D11">
            <w:pPr>
              <w:rPr>
                <w:rFonts w:asciiTheme="minorHAnsi" w:hAnsiTheme="minorHAnsi" w:cstheme="minorHAnsi"/>
                <w:b/>
                <w:bCs/>
                <w:color w:val="A32020"/>
                <w:sz w:val="14"/>
                <w:szCs w:val="14"/>
                <w:lang w:val="en-US" w:eastAsia="en-US"/>
              </w:rPr>
            </w:pPr>
          </w:p>
        </w:tc>
      </w:tr>
      <w:tr w:rsidR="00581D11" w:rsidRPr="00231641" w14:paraId="2A13644F" w14:textId="77777777" w:rsidTr="00C11EFE">
        <w:trPr>
          <w:trHeight w:val="281"/>
        </w:trPr>
        <w:tc>
          <w:tcPr>
            <w:tcW w:w="701" w:type="dxa"/>
            <w:vMerge/>
            <w:tcBorders>
              <w:top w:val="single" w:sz="4" w:space="0" w:color="auto"/>
              <w:left w:val="nil"/>
              <w:bottom w:val="single" w:sz="4" w:space="0" w:color="000000"/>
              <w:right w:val="nil"/>
            </w:tcBorders>
            <w:vAlign w:val="center"/>
            <w:hideMark/>
          </w:tcPr>
          <w:p w14:paraId="1E874A47" w14:textId="77777777" w:rsidR="00581D11" w:rsidRPr="00581D11" w:rsidRDefault="00581D11" w:rsidP="00581D11">
            <w:pPr>
              <w:rPr>
                <w:rFonts w:asciiTheme="minorHAnsi" w:hAnsiTheme="minorHAnsi" w:cstheme="minorHAnsi"/>
                <w:b/>
                <w:bCs/>
                <w:color w:val="A32020"/>
                <w:sz w:val="14"/>
                <w:szCs w:val="14"/>
                <w:lang w:val="en-US" w:eastAsia="en-US"/>
              </w:rPr>
            </w:pPr>
          </w:p>
        </w:tc>
        <w:tc>
          <w:tcPr>
            <w:tcW w:w="701" w:type="dxa"/>
            <w:vMerge/>
            <w:tcBorders>
              <w:top w:val="single" w:sz="4" w:space="0" w:color="auto"/>
              <w:left w:val="nil"/>
              <w:bottom w:val="single" w:sz="4" w:space="0" w:color="000000"/>
              <w:right w:val="nil"/>
            </w:tcBorders>
            <w:vAlign w:val="center"/>
            <w:hideMark/>
          </w:tcPr>
          <w:p w14:paraId="47394D93" w14:textId="77777777" w:rsidR="00581D11" w:rsidRPr="00581D11" w:rsidRDefault="00581D11" w:rsidP="00581D11">
            <w:pPr>
              <w:rPr>
                <w:rFonts w:asciiTheme="minorHAnsi" w:hAnsiTheme="minorHAnsi" w:cstheme="minorHAnsi"/>
                <w:b/>
                <w:bCs/>
                <w:color w:val="A32020"/>
                <w:sz w:val="14"/>
                <w:szCs w:val="14"/>
                <w:lang w:val="en-US" w:eastAsia="en-US"/>
              </w:rPr>
            </w:pPr>
          </w:p>
        </w:tc>
        <w:tc>
          <w:tcPr>
            <w:tcW w:w="582" w:type="dxa"/>
            <w:vMerge/>
            <w:tcBorders>
              <w:top w:val="single" w:sz="4" w:space="0" w:color="auto"/>
              <w:left w:val="nil"/>
              <w:bottom w:val="single" w:sz="4" w:space="0" w:color="000000"/>
              <w:right w:val="nil"/>
            </w:tcBorders>
            <w:vAlign w:val="center"/>
            <w:hideMark/>
          </w:tcPr>
          <w:p w14:paraId="7C61DAB0" w14:textId="77777777" w:rsidR="00581D11" w:rsidRPr="00581D11" w:rsidRDefault="00581D11" w:rsidP="00581D11">
            <w:pPr>
              <w:rPr>
                <w:rFonts w:asciiTheme="minorHAnsi" w:hAnsiTheme="minorHAnsi" w:cstheme="minorHAnsi"/>
                <w:b/>
                <w:bCs/>
                <w:color w:val="A32020"/>
                <w:sz w:val="14"/>
                <w:szCs w:val="14"/>
                <w:lang w:val="en-US" w:eastAsia="en-US"/>
              </w:rPr>
            </w:pPr>
          </w:p>
        </w:tc>
        <w:tc>
          <w:tcPr>
            <w:tcW w:w="3977" w:type="dxa"/>
            <w:vMerge/>
            <w:tcBorders>
              <w:top w:val="single" w:sz="4" w:space="0" w:color="auto"/>
              <w:left w:val="nil"/>
              <w:bottom w:val="single" w:sz="4" w:space="0" w:color="000000"/>
              <w:right w:val="nil"/>
            </w:tcBorders>
            <w:vAlign w:val="center"/>
            <w:hideMark/>
          </w:tcPr>
          <w:p w14:paraId="510F8D6B" w14:textId="77777777" w:rsidR="00581D11" w:rsidRPr="00581D11" w:rsidRDefault="00581D11" w:rsidP="00581D11">
            <w:pPr>
              <w:rPr>
                <w:rFonts w:asciiTheme="minorHAnsi" w:hAnsiTheme="minorHAnsi" w:cstheme="minorHAnsi"/>
                <w:b/>
                <w:bCs/>
                <w:color w:val="A32020"/>
                <w:sz w:val="14"/>
                <w:szCs w:val="14"/>
                <w:lang w:val="en-US" w:eastAsia="en-US"/>
              </w:rPr>
            </w:pPr>
          </w:p>
        </w:tc>
        <w:tc>
          <w:tcPr>
            <w:tcW w:w="791" w:type="dxa"/>
            <w:vMerge/>
            <w:tcBorders>
              <w:top w:val="single" w:sz="4" w:space="0" w:color="auto"/>
              <w:left w:val="nil"/>
              <w:bottom w:val="single" w:sz="4" w:space="0" w:color="000000"/>
              <w:right w:val="nil"/>
            </w:tcBorders>
            <w:vAlign w:val="center"/>
            <w:hideMark/>
          </w:tcPr>
          <w:p w14:paraId="5CB128E5" w14:textId="77777777" w:rsidR="00581D11" w:rsidRPr="00581D11" w:rsidRDefault="00581D11" w:rsidP="00581D11">
            <w:pPr>
              <w:rPr>
                <w:rFonts w:asciiTheme="minorHAnsi" w:hAnsiTheme="minorHAnsi" w:cstheme="minorHAnsi"/>
                <w:b/>
                <w:bCs/>
                <w:color w:val="A32020"/>
                <w:sz w:val="14"/>
                <w:szCs w:val="14"/>
                <w:lang w:val="en-US" w:eastAsia="en-US"/>
              </w:rPr>
            </w:pPr>
          </w:p>
        </w:tc>
        <w:tc>
          <w:tcPr>
            <w:tcW w:w="839" w:type="dxa"/>
            <w:vMerge/>
            <w:tcBorders>
              <w:top w:val="single" w:sz="4" w:space="0" w:color="auto"/>
              <w:left w:val="nil"/>
              <w:bottom w:val="single" w:sz="4" w:space="0" w:color="000000"/>
              <w:right w:val="nil"/>
            </w:tcBorders>
            <w:shd w:val="clear" w:color="auto" w:fill="auto"/>
            <w:vAlign w:val="center"/>
            <w:hideMark/>
          </w:tcPr>
          <w:p w14:paraId="137AD008" w14:textId="77777777" w:rsidR="00581D11" w:rsidRPr="00581D11" w:rsidRDefault="00581D11" w:rsidP="00581D11">
            <w:pPr>
              <w:rPr>
                <w:rFonts w:asciiTheme="minorHAnsi" w:hAnsiTheme="minorHAnsi" w:cstheme="minorHAnsi"/>
                <w:b/>
                <w:bCs/>
                <w:color w:val="A32020"/>
                <w:sz w:val="14"/>
                <w:szCs w:val="14"/>
                <w:lang w:val="en-US" w:eastAsia="en-US"/>
              </w:rPr>
            </w:pPr>
          </w:p>
        </w:tc>
        <w:tc>
          <w:tcPr>
            <w:tcW w:w="1021" w:type="dxa"/>
            <w:vMerge/>
            <w:tcBorders>
              <w:top w:val="single" w:sz="4" w:space="0" w:color="auto"/>
              <w:left w:val="nil"/>
              <w:bottom w:val="single" w:sz="4" w:space="0" w:color="000000"/>
              <w:right w:val="nil"/>
            </w:tcBorders>
            <w:vAlign w:val="center"/>
            <w:hideMark/>
          </w:tcPr>
          <w:p w14:paraId="698B7987" w14:textId="77777777" w:rsidR="00581D11" w:rsidRPr="00581D11" w:rsidRDefault="00581D11" w:rsidP="00581D11">
            <w:pPr>
              <w:rPr>
                <w:rFonts w:asciiTheme="minorHAnsi" w:hAnsiTheme="minorHAnsi" w:cstheme="minorHAnsi"/>
                <w:b/>
                <w:bCs/>
                <w:color w:val="A32020"/>
                <w:sz w:val="14"/>
                <w:szCs w:val="14"/>
                <w:lang w:val="en-US" w:eastAsia="en-US"/>
              </w:rPr>
            </w:pPr>
          </w:p>
        </w:tc>
        <w:tc>
          <w:tcPr>
            <w:tcW w:w="882" w:type="dxa"/>
            <w:vMerge/>
            <w:tcBorders>
              <w:top w:val="single" w:sz="4" w:space="0" w:color="auto"/>
              <w:left w:val="nil"/>
              <w:bottom w:val="single" w:sz="4" w:space="0" w:color="000000"/>
              <w:right w:val="nil"/>
            </w:tcBorders>
            <w:vAlign w:val="center"/>
            <w:hideMark/>
          </w:tcPr>
          <w:p w14:paraId="26C219D8" w14:textId="77777777" w:rsidR="00581D11" w:rsidRPr="00581D11" w:rsidRDefault="00581D11" w:rsidP="00581D11">
            <w:pPr>
              <w:rPr>
                <w:rFonts w:asciiTheme="minorHAnsi" w:hAnsiTheme="minorHAnsi" w:cstheme="minorHAnsi"/>
                <w:b/>
                <w:bCs/>
                <w:color w:val="A32020"/>
                <w:sz w:val="14"/>
                <w:szCs w:val="14"/>
                <w:lang w:val="en-US" w:eastAsia="en-US"/>
              </w:rPr>
            </w:pPr>
          </w:p>
        </w:tc>
        <w:tc>
          <w:tcPr>
            <w:tcW w:w="873" w:type="dxa"/>
            <w:vMerge/>
            <w:tcBorders>
              <w:top w:val="single" w:sz="4" w:space="0" w:color="auto"/>
              <w:left w:val="nil"/>
              <w:bottom w:val="single" w:sz="4" w:space="0" w:color="000000"/>
              <w:right w:val="nil"/>
            </w:tcBorders>
            <w:vAlign w:val="center"/>
            <w:hideMark/>
          </w:tcPr>
          <w:p w14:paraId="7F663939" w14:textId="77777777" w:rsidR="00581D11" w:rsidRPr="00581D11" w:rsidRDefault="00581D11" w:rsidP="00581D11">
            <w:pPr>
              <w:rPr>
                <w:rFonts w:asciiTheme="minorHAnsi" w:hAnsiTheme="minorHAnsi" w:cstheme="minorHAnsi"/>
                <w:b/>
                <w:bCs/>
                <w:color w:val="A32020"/>
                <w:sz w:val="14"/>
                <w:szCs w:val="14"/>
                <w:lang w:val="en-US" w:eastAsia="en-US"/>
              </w:rPr>
            </w:pPr>
          </w:p>
        </w:tc>
        <w:tc>
          <w:tcPr>
            <w:tcW w:w="672" w:type="dxa"/>
            <w:vMerge/>
            <w:tcBorders>
              <w:top w:val="single" w:sz="4" w:space="0" w:color="auto"/>
              <w:left w:val="nil"/>
              <w:bottom w:val="single" w:sz="4" w:space="0" w:color="000000"/>
              <w:right w:val="nil"/>
            </w:tcBorders>
            <w:vAlign w:val="center"/>
            <w:hideMark/>
          </w:tcPr>
          <w:p w14:paraId="0FAE4409" w14:textId="77777777" w:rsidR="00581D11" w:rsidRPr="00581D11" w:rsidRDefault="00581D11" w:rsidP="00581D11">
            <w:pPr>
              <w:rPr>
                <w:rFonts w:asciiTheme="minorHAnsi" w:hAnsiTheme="minorHAnsi" w:cstheme="minorHAnsi"/>
                <w:b/>
                <w:bCs/>
                <w:color w:val="A32020"/>
                <w:sz w:val="14"/>
                <w:szCs w:val="14"/>
                <w:lang w:val="en-US" w:eastAsia="en-US"/>
              </w:rPr>
            </w:pPr>
          </w:p>
        </w:tc>
        <w:tc>
          <w:tcPr>
            <w:tcW w:w="575" w:type="dxa"/>
            <w:vMerge/>
            <w:tcBorders>
              <w:top w:val="single" w:sz="4" w:space="0" w:color="auto"/>
              <w:left w:val="nil"/>
              <w:bottom w:val="single" w:sz="4" w:space="0" w:color="000000"/>
              <w:right w:val="nil"/>
            </w:tcBorders>
            <w:vAlign w:val="center"/>
            <w:hideMark/>
          </w:tcPr>
          <w:p w14:paraId="2B74B85B" w14:textId="77777777" w:rsidR="00581D11" w:rsidRPr="00581D11" w:rsidRDefault="00581D11" w:rsidP="00581D11">
            <w:pPr>
              <w:rPr>
                <w:rFonts w:asciiTheme="minorHAnsi" w:hAnsiTheme="minorHAnsi" w:cstheme="minorHAnsi"/>
                <w:b/>
                <w:bCs/>
                <w:color w:val="A32020"/>
                <w:sz w:val="14"/>
                <w:szCs w:val="14"/>
                <w:lang w:val="en-US" w:eastAsia="en-US"/>
              </w:rPr>
            </w:pPr>
          </w:p>
        </w:tc>
        <w:tc>
          <w:tcPr>
            <w:tcW w:w="575" w:type="dxa"/>
            <w:vMerge/>
            <w:tcBorders>
              <w:top w:val="single" w:sz="4" w:space="0" w:color="auto"/>
              <w:left w:val="nil"/>
              <w:bottom w:val="single" w:sz="4" w:space="0" w:color="000000"/>
              <w:right w:val="nil"/>
            </w:tcBorders>
            <w:vAlign w:val="center"/>
            <w:hideMark/>
          </w:tcPr>
          <w:p w14:paraId="37D13F8B" w14:textId="77777777" w:rsidR="00581D11" w:rsidRPr="00581D11" w:rsidRDefault="00581D11" w:rsidP="00581D11">
            <w:pPr>
              <w:rPr>
                <w:rFonts w:asciiTheme="minorHAnsi" w:hAnsiTheme="minorHAnsi" w:cstheme="minorHAnsi"/>
                <w:b/>
                <w:bCs/>
                <w:color w:val="A32020"/>
                <w:sz w:val="14"/>
                <w:szCs w:val="14"/>
                <w:lang w:val="en-US" w:eastAsia="en-US"/>
              </w:rPr>
            </w:pPr>
          </w:p>
        </w:tc>
        <w:tc>
          <w:tcPr>
            <w:tcW w:w="835" w:type="dxa"/>
            <w:vMerge/>
            <w:tcBorders>
              <w:top w:val="single" w:sz="4" w:space="0" w:color="auto"/>
              <w:left w:val="nil"/>
              <w:bottom w:val="single" w:sz="4" w:space="0" w:color="000000"/>
              <w:right w:val="nil"/>
            </w:tcBorders>
            <w:vAlign w:val="center"/>
            <w:hideMark/>
          </w:tcPr>
          <w:p w14:paraId="717F9215" w14:textId="77777777" w:rsidR="00581D11" w:rsidRPr="00581D11" w:rsidRDefault="00581D11" w:rsidP="00581D11">
            <w:pPr>
              <w:rPr>
                <w:rFonts w:asciiTheme="minorHAnsi" w:hAnsiTheme="minorHAnsi" w:cstheme="minorHAnsi"/>
                <w:b/>
                <w:bCs/>
                <w:color w:val="A32020"/>
                <w:sz w:val="14"/>
                <w:szCs w:val="14"/>
                <w:lang w:val="en-US" w:eastAsia="en-US"/>
              </w:rPr>
            </w:pPr>
          </w:p>
        </w:tc>
        <w:tc>
          <w:tcPr>
            <w:tcW w:w="660" w:type="dxa"/>
            <w:vMerge/>
            <w:tcBorders>
              <w:top w:val="single" w:sz="4" w:space="0" w:color="auto"/>
              <w:left w:val="nil"/>
              <w:bottom w:val="single" w:sz="4" w:space="0" w:color="000000"/>
              <w:right w:val="nil"/>
            </w:tcBorders>
            <w:vAlign w:val="center"/>
            <w:hideMark/>
          </w:tcPr>
          <w:p w14:paraId="4614209F" w14:textId="77777777" w:rsidR="00581D11" w:rsidRPr="00581D11" w:rsidRDefault="00581D11" w:rsidP="00581D11">
            <w:pPr>
              <w:rPr>
                <w:rFonts w:asciiTheme="minorHAnsi" w:hAnsiTheme="minorHAnsi" w:cstheme="minorHAnsi"/>
                <w:b/>
                <w:bCs/>
                <w:color w:val="A32020"/>
                <w:sz w:val="14"/>
                <w:szCs w:val="14"/>
                <w:lang w:val="en-US" w:eastAsia="en-US"/>
              </w:rPr>
            </w:pPr>
          </w:p>
        </w:tc>
        <w:tc>
          <w:tcPr>
            <w:tcW w:w="1182" w:type="dxa"/>
            <w:vMerge/>
            <w:tcBorders>
              <w:top w:val="single" w:sz="4" w:space="0" w:color="auto"/>
              <w:left w:val="nil"/>
              <w:bottom w:val="single" w:sz="4" w:space="0" w:color="000000"/>
              <w:right w:val="nil"/>
            </w:tcBorders>
            <w:shd w:val="clear" w:color="auto" w:fill="auto"/>
            <w:vAlign w:val="center"/>
            <w:hideMark/>
          </w:tcPr>
          <w:p w14:paraId="0D344A4F" w14:textId="77777777" w:rsidR="00581D11" w:rsidRPr="00581D11" w:rsidRDefault="00581D11" w:rsidP="00581D11">
            <w:pPr>
              <w:rPr>
                <w:rFonts w:asciiTheme="minorHAnsi" w:hAnsiTheme="minorHAnsi" w:cstheme="minorHAnsi"/>
                <w:b/>
                <w:bCs/>
                <w:color w:val="A32020"/>
                <w:sz w:val="14"/>
                <w:szCs w:val="14"/>
                <w:lang w:val="en-US" w:eastAsia="en-US"/>
              </w:rPr>
            </w:pPr>
          </w:p>
        </w:tc>
      </w:tr>
      <w:tr w:rsidR="00C11EFE" w:rsidRPr="00231641" w14:paraId="63E98043" w14:textId="77777777" w:rsidTr="00C11EFE">
        <w:trPr>
          <w:trHeight w:hRule="exact" w:val="284"/>
        </w:trPr>
        <w:tc>
          <w:tcPr>
            <w:tcW w:w="701" w:type="dxa"/>
            <w:tcBorders>
              <w:top w:val="nil"/>
              <w:left w:val="nil"/>
              <w:bottom w:val="nil"/>
              <w:right w:val="nil"/>
            </w:tcBorders>
            <w:shd w:val="clear" w:color="auto" w:fill="auto"/>
            <w:noWrap/>
            <w:hideMark/>
          </w:tcPr>
          <w:p w14:paraId="44FBF999" w14:textId="3083211B"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Yes</w:t>
            </w:r>
          </w:p>
        </w:tc>
        <w:tc>
          <w:tcPr>
            <w:tcW w:w="701" w:type="dxa"/>
            <w:tcBorders>
              <w:top w:val="nil"/>
              <w:left w:val="nil"/>
              <w:bottom w:val="nil"/>
              <w:right w:val="nil"/>
            </w:tcBorders>
            <w:shd w:val="clear" w:color="auto" w:fill="auto"/>
            <w:noWrap/>
            <w:hideMark/>
          </w:tcPr>
          <w:p w14:paraId="11A346B0"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w:t>
            </w:r>
          </w:p>
        </w:tc>
        <w:tc>
          <w:tcPr>
            <w:tcW w:w="582" w:type="dxa"/>
            <w:tcBorders>
              <w:top w:val="nil"/>
              <w:left w:val="nil"/>
              <w:bottom w:val="nil"/>
              <w:right w:val="nil"/>
            </w:tcBorders>
            <w:shd w:val="clear" w:color="auto" w:fill="auto"/>
            <w:noWrap/>
            <w:hideMark/>
          </w:tcPr>
          <w:p w14:paraId="3FDB9B30" w14:textId="7777777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R63Z</w:t>
            </w:r>
          </w:p>
        </w:tc>
        <w:tc>
          <w:tcPr>
            <w:tcW w:w="3977" w:type="dxa"/>
            <w:tcBorders>
              <w:top w:val="nil"/>
              <w:left w:val="nil"/>
              <w:bottom w:val="nil"/>
              <w:right w:val="nil"/>
            </w:tcBorders>
            <w:shd w:val="clear" w:color="auto" w:fill="auto"/>
            <w:noWrap/>
            <w:hideMark/>
          </w:tcPr>
          <w:p w14:paraId="66DD64B1" w14:textId="4C6B361C"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Chemotherapy</w:t>
            </w:r>
          </w:p>
        </w:tc>
        <w:tc>
          <w:tcPr>
            <w:tcW w:w="791" w:type="dxa"/>
            <w:tcBorders>
              <w:top w:val="nil"/>
              <w:left w:val="nil"/>
              <w:bottom w:val="nil"/>
              <w:right w:val="nil"/>
            </w:tcBorders>
            <w:shd w:val="clear" w:color="auto" w:fill="auto"/>
            <w:noWrap/>
            <w:hideMark/>
          </w:tcPr>
          <w:p w14:paraId="566CB57D"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0.15</w:t>
            </w:r>
          </w:p>
        </w:tc>
        <w:tc>
          <w:tcPr>
            <w:tcW w:w="839" w:type="dxa"/>
            <w:tcBorders>
              <w:top w:val="nil"/>
              <w:left w:val="nil"/>
              <w:bottom w:val="nil"/>
              <w:right w:val="nil"/>
            </w:tcBorders>
            <w:shd w:val="clear" w:color="auto" w:fill="auto"/>
            <w:noWrap/>
            <w:hideMark/>
          </w:tcPr>
          <w:p w14:paraId="237B586D" w14:textId="77777777" w:rsidR="00C11EFE" w:rsidRPr="00581D11" w:rsidRDefault="00C11EFE" w:rsidP="00C11EFE">
            <w:pPr>
              <w:jc w:val="right"/>
              <w:rPr>
                <w:rFonts w:asciiTheme="minorHAnsi" w:hAnsiTheme="minorHAnsi" w:cstheme="minorHAnsi"/>
                <w:b/>
                <w:color w:val="000000"/>
                <w:sz w:val="14"/>
                <w:szCs w:val="14"/>
                <w:lang w:val="en-US" w:eastAsia="en-US"/>
              </w:rPr>
            </w:pPr>
            <w:r w:rsidRPr="00581D11">
              <w:rPr>
                <w:rFonts w:asciiTheme="minorHAnsi" w:hAnsiTheme="minorHAnsi" w:cstheme="minorHAnsi"/>
                <w:b/>
                <w:color w:val="000000"/>
                <w:sz w:val="14"/>
                <w:szCs w:val="14"/>
                <w:lang w:val="en-US" w:eastAsia="en-US"/>
              </w:rPr>
              <w:t>268,018</w:t>
            </w:r>
          </w:p>
        </w:tc>
        <w:tc>
          <w:tcPr>
            <w:tcW w:w="1021" w:type="dxa"/>
            <w:tcBorders>
              <w:top w:val="nil"/>
              <w:left w:val="nil"/>
              <w:bottom w:val="nil"/>
              <w:right w:val="nil"/>
            </w:tcBorders>
            <w:shd w:val="clear" w:color="auto" w:fill="auto"/>
            <w:noWrap/>
            <w:hideMark/>
          </w:tcPr>
          <w:p w14:paraId="4DFC032C" w14:textId="4A7E9926" w:rsidR="00C11EFE" w:rsidRPr="00581D11"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40,203</w:t>
            </w:r>
          </w:p>
        </w:tc>
        <w:tc>
          <w:tcPr>
            <w:tcW w:w="882" w:type="dxa"/>
            <w:tcBorders>
              <w:top w:val="nil"/>
              <w:left w:val="nil"/>
              <w:bottom w:val="nil"/>
              <w:right w:val="nil"/>
            </w:tcBorders>
            <w:shd w:val="clear" w:color="auto" w:fill="auto"/>
            <w:noWrap/>
            <w:hideMark/>
          </w:tcPr>
          <w:p w14:paraId="581283F4"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268,072</w:t>
            </w:r>
          </w:p>
        </w:tc>
        <w:tc>
          <w:tcPr>
            <w:tcW w:w="873" w:type="dxa"/>
            <w:tcBorders>
              <w:top w:val="nil"/>
              <w:left w:val="nil"/>
              <w:bottom w:val="nil"/>
              <w:right w:val="nil"/>
            </w:tcBorders>
            <w:shd w:val="clear" w:color="auto" w:fill="auto"/>
            <w:noWrap/>
            <w:hideMark/>
          </w:tcPr>
          <w:p w14:paraId="595D00BB"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1.0</w:t>
            </w:r>
          </w:p>
        </w:tc>
        <w:tc>
          <w:tcPr>
            <w:tcW w:w="672" w:type="dxa"/>
            <w:tcBorders>
              <w:top w:val="nil"/>
              <w:left w:val="nil"/>
              <w:bottom w:val="nil"/>
              <w:right w:val="nil"/>
            </w:tcBorders>
            <w:shd w:val="clear" w:color="auto" w:fill="auto"/>
            <w:noWrap/>
            <w:hideMark/>
          </w:tcPr>
          <w:p w14:paraId="5FF1DEA6"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0.000</w:t>
            </w:r>
          </w:p>
        </w:tc>
        <w:tc>
          <w:tcPr>
            <w:tcW w:w="575" w:type="dxa"/>
            <w:tcBorders>
              <w:top w:val="nil"/>
              <w:left w:val="nil"/>
              <w:bottom w:val="nil"/>
              <w:right w:val="nil"/>
            </w:tcBorders>
            <w:shd w:val="clear" w:color="auto" w:fill="auto"/>
            <w:noWrap/>
            <w:hideMark/>
          </w:tcPr>
          <w:p w14:paraId="5CF7628A"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8.8%</w:t>
            </w:r>
          </w:p>
        </w:tc>
        <w:tc>
          <w:tcPr>
            <w:tcW w:w="575" w:type="dxa"/>
            <w:tcBorders>
              <w:top w:val="nil"/>
              <w:left w:val="nil"/>
              <w:bottom w:val="nil"/>
              <w:right w:val="nil"/>
            </w:tcBorders>
            <w:shd w:val="clear" w:color="auto" w:fill="auto"/>
            <w:noWrap/>
            <w:hideMark/>
          </w:tcPr>
          <w:p w14:paraId="198C38FA"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1.3%</w:t>
            </w:r>
          </w:p>
        </w:tc>
        <w:tc>
          <w:tcPr>
            <w:tcW w:w="835" w:type="dxa"/>
            <w:tcBorders>
              <w:top w:val="nil"/>
              <w:left w:val="nil"/>
              <w:bottom w:val="nil"/>
              <w:right w:val="nil"/>
            </w:tcBorders>
            <w:shd w:val="clear" w:color="auto" w:fill="auto"/>
            <w:noWrap/>
            <w:hideMark/>
          </w:tcPr>
          <w:p w14:paraId="3372976D"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246,050 </w:t>
            </w:r>
          </w:p>
        </w:tc>
        <w:tc>
          <w:tcPr>
            <w:tcW w:w="660" w:type="dxa"/>
            <w:tcBorders>
              <w:top w:val="nil"/>
              <w:left w:val="nil"/>
              <w:bottom w:val="nil"/>
              <w:right w:val="nil"/>
            </w:tcBorders>
            <w:shd w:val="clear" w:color="auto" w:fill="auto"/>
            <w:noWrap/>
            <w:hideMark/>
          </w:tcPr>
          <w:p w14:paraId="4E280AD0"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1 </w:t>
            </w:r>
          </w:p>
        </w:tc>
        <w:tc>
          <w:tcPr>
            <w:tcW w:w="1182" w:type="dxa"/>
            <w:tcBorders>
              <w:top w:val="nil"/>
              <w:left w:val="nil"/>
              <w:bottom w:val="nil"/>
              <w:right w:val="nil"/>
            </w:tcBorders>
            <w:shd w:val="clear" w:color="auto" w:fill="auto"/>
            <w:noWrap/>
            <w:hideMark/>
          </w:tcPr>
          <w:p w14:paraId="71339BB6"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0.19 </w:t>
            </w:r>
          </w:p>
        </w:tc>
      </w:tr>
      <w:tr w:rsidR="00C11EFE" w:rsidRPr="00231641" w14:paraId="2512CB4E" w14:textId="77777777" w:rsidTr="00C11EFE">
        <w:trPr>
          <w:trHeight w:hRule="exact" w:val="284"/>
        </w:trPr>
        <w:tc>
          <w:tcPr>
            <w:tcW w:w="701" w:type="dxa"/>
            <w:tcBorders>
              <w:top w:val="nil"/>
              <w:left w:val="nil"/>
              <w:bottom w:val="nil"/>
              <w:right w:val="nil"/>
            </w:tcBorders>
            <w:shd w:val="clear" w:color="auto" w:fill="auto"/>
            <w:noWrap/>
            <w:hideMark/>
          </w:tcPr>
          <w:p w14:paraId="0FEA80F4"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Yes</w:t>
            </w:r>
          </w:p>
        </w:tc>
        <w:tc>
          <w:tcPr>
            <w:tcW w:w="701" w:type="dxa"/>
            <w:tcBorders>
              <w:top w:val="nil"/>
              <w:left w:val="nil"/>
              <w:bottom w:val="nil"/>
              <w:right w:val="nil"/>
            </w:tcBorders>
            <w:shd w:val="clear" w:color="auto" w:fill="auto"/>
            <w:noWrap/>
            <w:hideMark/>
          </w:tcPr>
          <w:p w14:paraId="3261D8B9"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2</w:t>
            </w:r>
          </w:p>
        </w:tc>
        <w:tc>
          <w:tcPr>
            <w:tcW w:w="582" w:type="dxa"/>
            <w:tcBorders>
              <w:top w:val="nil"/>
              <w:left w:val="nil"/>
              <w:bottom w:val="nil"/>
              <w:right w:val="nil"/>
            </w:tcBorders>
            <w:shd w:val="clear" w:color="auto" w:fill="auto"/>
            <w:noWrap/>
            <w:hideMark/>
          </w:tcPr>
          <w:p w14:paraId="6EC40101" w14:textId="7777777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G48B</w:t>
            </w:r>
          </w:p>
        </w:tc>
        <w:tc>
          <w:tcPr>
            <w:tcW w:w="3977" w:type="dxa"/>
            <w:tcBorders>
              <w:top w:val="nil"/>
              <w:left w:val="nil"/>
              <w:bottom w:val="nil"/>
              <w:right w:val="nil"/>
            </w:tcBorders>
            <w:shd w:val="clear" w:color="auto" w:fill="auto"/>
            <w:noWrap/>
            <w:hideMark/>
          </w:tcPr>
          <w:p w14:paraId="70676E5C" w14:textId="270138E8"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Colonoscopy, Minor Complexity</w:t>
            </w:r>
          </w:p>
        </w:tc>
        <w:tc>
          <w:tcPr>
            <w:tcW w:w="791" w:type="dxa"/>
            <w:tcBorders>
              <w:top w:val="nil"/>
              <w:left w:val="nil"/>
              <w:bottom w:val="nil"/>
              <w:right w:val="nil"/>
            </w:tcBorders>
            <w:shd w:val="clear" w:color="auto" w:fill="auto"/>
            <w:noWrap/>
            <w:hideMark/>
          </w:tcPr>
          <w:p w14:paraId="4B01A7F2"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0.26</w:t>
            </w:r>
          </w:p>
        </w:tc>
        <w:tc>
          <w:tcPr>
            <w:tcW w:w="839" w:type="dxa"/>
            <w:tcBorders>
              <w:top w:val="nil"/>
              <w:left w:val="nil"/>
              <w:bottom w:val="nil"/>
              <w:right w:val="nil"/>
            </w:tcBorders>
            <w:shd w:val="clear" w:color="auto" w:fill="auto"/>
            <w:noWrap/>
            <w:hideMark/>
          </w:tcPr>
          <w:p w14:paraId="1994D7BE" w14:textId="77777777" w:rsidR="00C11EFE" w:rsidRPr="00581D11" w:rsidRDefault="00C11EFE" w:rsidP="00C11EFE">
            <w:pPr>
              <w:jc w:val="right"/>
              <w:rPr>
                <w:rFonts w:asciiTheme="minorHAnsi" w:hAnsiTheme="minorHAnsi" w:cstheme="minorHAnsi"/>
                <w:b/>
                <w:color w:val="000000"/>
                <w:sz w:val="14"/>
                <w:szCs w:val="14"/>
                <w:lang w:val="en-US" w:eastAsia="en-US"/>
              </w:rPr>
            </w:pPr>
            <w:r w:rsidRPr="00581D11">
              <w:rPr>
                <w:rFonts w:asciiTheme="minorHAnsi" w:hAnsiTheme="minorHAnsi" w:cstheme="minorHAnsi"/>
                <w:b/>
                <w:color w:val="000000"/>
                <w:sz w:val="14"/>
                <w:szCs w:val="14"/>
                <w:lang w:val="en-US" w:eastAsia="en-US"/>
              </w:rPr>
              <w:t>145,423</w:t>
            </w:r>
          </w:p>
        </w:tc>
        <w:tc>
          <w:tcPr>
            <w:tcW w:w="1021" w:type="dxa"/>
            <w:tcBorders>
              <w:top w:val="nil"/>
              <w:left w:val="nil"/>
              <w:bottom w:val="nil"/>
              <w:right w:val="nil"/>
            </w:tcBorders>
            <w:shd w:val="clear" w:color="auto" w:fill="auto"/>
            <w:noWrap/>
            <w:hideMark/>
          </w:tcPr>
          <w:p w14:paraId="7E254BEB" w14:textId="75C62C7B" w:rsidR="00C11EFE" w:rsidRPr="00581D11"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37,810</w:t>
            </w:r>
          </w:p>
        </w:tc>
        <w:tc>
          <w:tcPr>
            <w:tcW w:w="882" w:type="dxa"/>
            <w:tcBorders>
              <w:top w:val="nil"/>
              <w:left w:val="nil"/>
              <w:bottom w:val="nil"/>
              <w:right w:val="nil"/>
            </w:tcBorders>
            <w:shd w:val="clear" w:color="auto" w:fill="auto"/>
            <w:noWrap/>
            <w:hideMark/>
          </w:tcPr>
          <w:p w14:paraId="77DE638A"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150,085</w:t>
            </w:r>
          </w:p>
        </w:tc>
        <w:tc>
          <w:tcPr>
            <w:tcW w:w="873" w:type="dxa"/>
            <w:tcBorders>
              <w:top w:val="nil"/>
              <w:left w:val="nil"/>
              <w:bottom w:val="nil"/>
              <w:right w:val="nil"/>
            </w:tcBorders>
            <w:shd w:val="clear" w:color="auto" w:fill="auto"/>
            <w:noWrap/>
            <w:hideMark/>
          </w:tcPr>
          <w:p w14:paraId="299D9800"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1.0</w:t>
            </w:r>
          </w:p>
        </w:tc>
        <w:tc>
          <w:tcPr>
            <w:tcW w:w="672" w:type="dxa"/>
            <w:tcBorders>
              <w:top w:val="nil"/>
              <w:left w:val="nil"/>
              <w:bottom w:val="nil"/>
              <w:right w:val="nil"/>
            </w:tcBorders>
            <w:shd w:val="clear" w:color="auto" w:fill="auto"/>
            <w:noWrap/>
            <w:hideMark/>
          </w:tcPr>
          <w:p w14:paraId="1DDCFD03"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0.001</w:t>
            </w:r>
          </w:p>
        </w:tc>
        <w:tc>
          <w:tcPr>
            <w:tcW w:w="575" w:type="dxa"/>
            <w:tcBorders>
              <w:top w:val="nil"/>
              <w:left w:val="nil"/>
              <w:bottom w:val="nil"/>
              <w:right w:val="nil"/>
            </w:tcBorders>
            <w:shd w:val="clear" w:color="auto" w:fill="auto"/>
            <w:noWrap/>
            <w:hideMark/>
          </w:tcPr>
          <w:p w14:paraId="41E31ABB"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4.8%</w:t>
            </w:r>
          </w:p>
        </w:tc>
        <w:tc>
          <w:tcPr>
            <w:tcW w:w="575" w:type="dxa"/>
            <w:tcBorders>
              <w:top w:val="nil"/>
              <w:left w:val="nil"/>
              <w:bottom w:val="nil"/>
              <w:right w:val="nil"/>
            </w:tcBorders>
            <w:shd w:val="clear" w:color="auto" w:fill="auto"/>
            <w:noWrap/>
            <w:hideMark/>
          </w:tcPr>
          <w:p w14:paraId="40854C14"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1.2%</w:t>
            </w:r>
          </w:p>
        </w:tc>
        <w:tc>
          <w:tcPr>
            <w:tcW w:w="835" w:type="dxa"/>
            <w:tcBorders>
              <w:top w:val="nil"/>
              <w:left w:val="nil"/>
              <w:bottom w:val="nil"/>
              <w:right w:val="nil"/>
            </w:tcBorders>
            <w:shd w:val="clear" w:color="auto" w:fill="auto"/>
            <w:noWrap/>
            <w:hideMark/>
          </w:tcPr>
          <w:p w14:paraId="54C4746E"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124,227 </w:t>
            </w:r>
          </w:p>
        </w:tc>
        <w:tc>
          <w:tcPr>
            <w:tcW w:w="660" w:type="dxa"/>
            <w:tcBorders>
              <w:top w:val="nil"/>
              <w:left w:val="nil"/>
              <w:bottom w:val="nil"/>
              <w:right w:val="nil"/>
            </w:tcBorders>
            <w:shd w:val="clear" w:color="auto" w:fill="auto"/>
            <w:noWrap/>
            <w:hideMark/>
          </w:tcPr>
          <w:p w14:paraId="0FB37FA6" w14:textId="12472E5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2 </w:t>
            </w:r>
          </w:p>
        </w:tc>
        <w:tc>
          <w:tcPr>
            <w:tcW w:w="1182" w:type="dxa"/>
            <w:tcBorders>
              <w:top w:val="nil"/>
              <w:left w:val="nil"/>
              <w:bottom w:val="nil"/>
              <w:right w:val="nil"/>
            </w:tcBorders>
            <w:shd w:val="clear" w:color="auto" w:fill="auto"/>
            <w:noWrap/>
            <w:hideMark/>
          </w:tcPr>
          <w:p w14:paraId="7434B50E"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0.26 </w:t>
            </w:r>
          </w:p>
        </w:tc>
      </w:tr>
      <w:tr w:rsidR="00C11EFE" w:rsidRPr="00231641" w14:paraId="543AF22F" w14:textId="77777777" w:rsidTr="00C11EFE">
        <w:trPr>
          <w:trHeight w:hRule="exact" w:val="284"/>
        </w:trPr>
        <w:tc>
          <w:tcPr>
            <w:tcW w:w="701" w:type="dxa"/>
            <w:tcBorders>
              <w:top w:val="nil"/>
              <w:left w:val="nil"/>
              <w:bottom w:val="nil"/>
              <w:right w:val="nil"/>
            </w:tcBorders>
            <w:shd w:val="clear" w:color="auto" w:fill="auto"/>
            <w:noWrap/>
            <w:hideMark/>
          </w:tcPr>
          <w:p w14:paraId="5D0E347E"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Yes</w:t>
            </w:r>
          </w:p>
        </w:tc>
        <w:tc>
          <w:tcPr>
            <w:tcW w:w="701" w:type="dxa"/>
            <w:tcBorders>
              <w:top w:val="nil"/>
              <w:left w:val="nil"/>
              <w:bottom w:val="nil"/>
              <w:right w:val="nil"/>
            </w:tcBorders>
            <w:shd w:val="clear" w:color="auto" w:fill="auto"/>
            <w:noWrap/>
            <w:hideMark/>
          </w:tcPr>
          <w:p w14:paraId="0500B8B8"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3</w:t>
            </w:r>
          </w:p>
        </w:tc>
        <w:tc>
          <w:tcPr>
            <w:tcW w:w="582" w:type="dxa"/>
            <w:tcBorders>
              <w:top w:val="nil"/>
              <w:left w:val="nil"/>
              <w:bottom w:val="nil"/>
              <w:right w:val="nil"/>
            </w:tcBorders>
            <w:shd w:val="clear" w:color="auto" w:fill="auto"/>
            <w:noWrap/>
            <w:hideMark/>
          </w:tcPr>
          <w:p w14:paraId="07BB1063" w14:textId="7777777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G46B</w:t>
            </w:r>
          </w:p>
        </w:tc>
        <w:tc>
          <w:tcPr>
            <w:tcW w:w="3977" w:type="dxa"/>
            <w:tcBorders>
              <w:top w:val="nil"/>
              <w:left w:val="nil"/>
              <w:bottom w:val="nil"/>
              <w:right w:val="nil"/>
            </w:tcBorders>
            <w:shd w:val="clear" w:color="auto" w:fill="auto"/>
            <w:noWrap/>
            <w:hideMark/>
          </w:tcPr>
          <w:p w14:paraId="2E705984" w14:textId="714731D2"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Complex Endoscopy, Minor Complexity</w:t>
            </w:r>
          </w:p>
        </w:tc>
        <w:tc>
          <w:tcPr>
            <w:tcW w:w="791" w:type="dxa"/>
            <w:tcBorders>
              <w:top w:val="nil"/>
              <w:left w:val="nil"/>
              <w:bottom w:val="nil"/>
              <w:right w:val="nil"/>
            </w:tcBorders>
            <w:shd w:val="clear" w:color="auto" w:fill="auto"/>
            <w:noWrap/>
            <w:hideMark/>
          </w:tcPr>
          <w:p w14:paraId="2726F598"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0.30</w:t>
            </w:r>
          </w:p>
        </w:tc>
        <w:tc>
          <w:tcPr>
            <w:tcW w:w="839" w:type="dxa"/>
            <w:tcBorders>
              <w:top w:val="nil"/>
              <w:left w:val="nil"/>
              <w:bottom w:val="nil"/>
              <w:right w:val="nil"/>
            </w:tcBorders>
            <w:shd w:val="clear" w:color="auto" w:fill="auto"/>
            <w:noWrap/>
            <w:hideMark/>
          </w:tcPr>
          <w:p w14:paraId="1CA89D7D" w14:textId="77777777" w:rsidR="00C11EFE" w:rsidRPr="00581D11" w:rsidRDefault="00C11EFE" w:rsidP="00C11EFE">
            <w:pPr>
              <w:jc w:val="right"/>
              <w:rPr>
                <w:rFonts w:asciiTheme="minorHAnsi" w:hAnsiTheme="minorHAnsi" w:cstheme="minorHAnsi"/>
                <w:b/>
                <w:color w:val="000000"/>
                <w:sz w:val="14"/>
                <w:szCs w:val="14"/>
                <w:lang w:val="en-US" w:eastAsia="en-US"/>
              </w:rPr>
            </w:pPr>
            <w:r w:rsidRPr="00581D11">
              <w:rPr>
                <w:rFonts w:asciiTheme="minorHAnsi" w:hAnsiTheme="minorHAnsi" w:cstheme="minorHAnsi"/>
                <w:b/>
                <w:color w:val="000000"/>
                <w:sz w:val="14"/>
                <w:szCs w:val="14"/>
                <w:lang w:val="en-US" w:eastAsia="en-US"/>
              </w:rPr>
              <w:t>93,597</w:t>
            </w:r>
          </w:p>
        </w:tc>
        <w:tc>
          <w:tcPr>
            <w:tcW w:w="1021" w:type="dxa"/>
            <w:tcBorders>
              <w:top w:val="nil"/>
              <w:left w:val="nil"/>
              <w:bottom w:val="nil"/>
              <w:right w:val="nil"/>
            </w:tcBorders>
            <w:shd w:val="clear" w:color="auto" w:fill="auto"/>
            <w:noWrap/>
            <w:hideMark/>
          </w:tcPr>
          <w:p w14:paraId="0BAE9303" w14:textId="4EA5572E" w:rsidR="00C11EFE" w:rsidRPr="00581D11"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28,079</w:t>
            </w:r>
          </w:p>
        </w:tc>
        <w:tc>
          <w:tcPr>
            <w:tcW w:w="882" w:type="dxa"/>
            <w:tcBorders>
              <w:top w:val="nil"/>
              <w:left w:val="nil"/>
              <w:bottom w:val="nil"/>
              <w:right w:val="nil"/>
            </w:tcBorders>
            <w:shd w:val="clear" w:color="auto" w:fill="auto"/>
            <w:noWrap/>
            <w:hideMark/>
          </w:tcPr>
          <w:p w14:paraId="434AA252"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98,121</w:t>
            </w:r>
          </w:p>
        </w:tc>
        <w:tc>
          <w:tcPr>
            <w:tcW w:w="873" w:type="dxa"/>
            <w:tcBorders>
              <w:top w:val="nil"/>
              <w:left w:val="nil"/>
              <w:bottom w:val="nil"/>
              <w:right w:val="nil"/>
            </w:tcBorders>
            <w:shd w:val="clear" w:color="auto" w:fill="auto"/>
            <w:noWrap/>
            <w:hideMark/>
          </w:tcPr>
          <w:p w14:paraId="21420187"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1.0</w:t>
            </w:r>
          </w:p>
        </w:tc>
        <w:tc>
          <w:tcPr>
            <w:tcW w:w="672" w:type="dxa"/>
            <w:tcBorders>
              <w:top w:val="nil"/>
              <w:left w:val="nil"/>
              <w:bottom w:val="nil"/>
              <w:right w:val="nil"/>
            </w:tcBorders>
            <w:shd w:val="clear" w:color="auto" w:fill="auto"/>
            <w:noWrap/>
            <w:hideMark/>
          </w:tcPr>
          <w:p w14:paraId="7C41546F"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0.001</w:t>
            </w:r>
          </w:p>
        </w:tc>
        <w:tc>
          <w:tcPr>
            <w:tcW w:w="575" w:type="dxa"/>
            <w:tcBorders>
              <w:top w:val="nil"/>
              <w:left w:val="nil"/>
              <w:bottom w:val="nil"/>
              <w:right w:val="nil"/>
            </w:tcBorders>
            <w:shd w:val="clear" w:color="auto" w:fill="auto"/>
            <w:noWrap/>
            <w:hideMark/>
          </w:tcPr>
          <w:p w14:paraId="71510F99"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3.1%</w:t>
            </w:r>
          </w:p>
        </w:tc>
        <w:tc>
          <w:tcPr>
            <w:tcW w:w="575" w:type="dxa"/>
            <w:tcBorders>
              <w:top w:val="nil"/>
              <w:left w:val="nil"/>
              <w:bottom w:val="nil"/>
              <w:right w:val="nil"/>
            </w:tcBorders>
            <w:shd w:val="clear" w:color="auto" w:fill="auto"/>
            <w:noWrap/>
            <w:hideMark/>
          </w:tcPr>
          <w:p w14:paraId="4DD0425D"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0.9%</w:t>
            </w:r>
          </w:p>
        </w:tc>
        <w:tc>
          <w:tcPr>
            <w:tcW w:w="835" w:type="dxa"/>
            <w:tcBorders>
              <w:top w:val="nil"/>
              <w:left w:val="nil"/>
              <w:bottom w:val="nil"/>
              <w:right w:val="nil"/>
            </w:tcBorders>
            <w:shd w:val="clear" w:color="auto" w:fill="auto"/>
            <w:noWrap/>
            <w:hideMark/>
          </w:tcPr>
          <w:p w14:paraId="498EC546"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87,934 </w:t>
            </w:r>
          </w:p>
        </w:tc>
        <w:tc>
          <w:tcPr>
            <w:tcW w:w="660" w:type="dxa"/>
            <w:tcBorders>
              <w:top w:val="nil"/>
              <w:left w:val="nil"/>
              <w:bottom w:val="nil"/>
              <w:right w:val="nil"/>
            </w:tcBorders>
            <w:shd w:val="clear" w:color="auto" w:fill="auto"/>
            <w:noWrap/>
            <w:hideMark/>
          </w:tcPr>
          <w:p w14:paraId="0532DFF5" w14:textId="33B3B2C2"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4 </w:t>
            </w:r>
          </w:p>
        </w:tc>
        <w:tc>
          <w:tcPr>
            <w:tcW w:w="1182" w:type="dxa"/>
            <w:tcBorders>
              <w:top w:val="nil"/>
              <w:left w:val="nil"/>
              <w:bottom w:val="nil"/>
              <w:right w:val="nil"/>
            </w:tcBorders>
            <w:shd w:val="clear" w:color="auto" w:fill="auto"/>
            <w:noWrap/>
            <w:hideMark/>
          </w:tcPr>
          <w:p w14:paraId="0BC65F19"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0.33 </w:t>
            </w:r>
          </w:p>
        </w:tc>
      </w:tr>
      <w:tr w:rsidR="00C11EFE" w:rsidRPr="00231641" w14:paraId="4394CD55" w14:textId="77777777" w:rsidTr="00C11EFE">
        <w:trPr>
          <w:trHeight w:hRule="exact" w:val="284"/>
        </w:trPr>
        <w:tc>
          <w:tcPr>
            <w:tcW w:w="701" w:type="dxa"/>
            <w:tcBorders>
              <w:top w:val="nil"/>
              <w:left w:val="nil"/>
              <w:bottom w:val="nil"/>
              <w:right w:val="nil"/>
            </w:tcBorders>
            <w:shd w:val="clear" w:color="auto" w:fill="auto"/>
            <w:noWrap/>
            <w:hideMark/>
          </w:tcPr>
          <w:p w14:paraId="7469E670"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Yes</w:t>
            </w:r>
          </w:p>
        </w:tc>
        <w:tc>
          <w:tcPr>
            <w:tcW w:w="701" w:type="dxa"/>
            <w:tcBorders>
              <w:top w:val="nil"/>
              <w:left w:val="nil"/>
              <w:bottom w:val="nil"/>
              <w:right w:val="nil"/>
            </w:tcBorders>
            <w:shd w:val="clear" w:color="auto" w:fill="auto"/>
            <w:noWrap/>
            <w:hideMark/>
          </w:tcPr>
          <w:p w14:paraId="1DBA5013"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4</w:t>
            </w:r>
          </w:p>
        </w:tc>
        <w:tc>
          <w:tcPr>
            <w:tcW w:w="582" w:type="dxa"/>
            <w:tcBorders>
              <w:top w:val="nil"/>
              <w:left w:val="nil"/>
              <w:bottom w:val="nil"/>
              <w:right w:val="nil"/>
            </w:tcBorders>
            <w:shd w:val="clear" w:color="auto" w:fill="auto"/>
            <w:noWrap/>
            <w:hideMark/>
          </w:tcPr>
          <w:p w14:paraId="0F9EA646" w14:textId="7777777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Z40Z</w:t>
            </w:r>
          </w:p>
        </w:tc>
        <w:tc>
          <w:tcPr>
            <w:tcW w:w="3977" w:type="dxa"/>
            <w:tcBorders>
              <w:top w:val="nil"/>
              <w:left w:val="nil"/>
              <w:bottom w:val="nil"/>
              <w:right w:val="nil"/>
            </w:tcBorders>
            <w:shd w:val="clear" w:color="auto" w:fill="auto"/>
            <w:noWrap/>
            <w:hideMark/>
          </w:tcPr>
          <w:p w14:paraId="545D75D7" w14:textId="331E97F4"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Other Contacts W Health Services W Endoscopy, </w:t>
            </w:r>
            <w:proofErr w:type="spellStart"/>
            <w:r w:rsidRPr="00581D11">
              <w:rPr>
                <w:rFonts w:asciiTheme="minorHAnsi" w:hAnsiTheme="minorHAnsi" w:cstheme="minorHAnsi"/>
                <w:color w:val="000000"/>
                <w:sz w:val="14"/>
                <w:szCs w:val="14"/>
                <w:lang w:val="en-US" w:eastAsia="en-US"/>
              </w:rPr>
              <w:t>Sameday</w:t>
            </w:r>
            <w:proofErr w:type="spellEnd"/>
          </w:p>
        </w:tc>
        <w:tc>
          <w:tcPr>
            <w:tcW w:w="791" w:type="dxa"/>
            <w:tcBorders>
              <w:top w:val="nil"/>
              <w:left w:val="nil"/>
              <w:bottom w:val="nil"/>
              <w:right w:val="nil"/>
            </w:tcBorders>
            <w:shd w:val="clear" w:color="auto" w:fill="auto"/>
            <w:noWrap/>
            <w:hideMark/>
          </w:tcPr>
          <w:p w14:paraId="207E8B9B"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0.20</w:t>
            </w:r>
          </w:p>
        </w:tc>
        <w:tc>
          <w:tcPr>
            <w:tcW w:w="839" w:type="dxa"/>
            <w:tcBorders>
              <w:top w:val="nil"/>
              <w:left w:val="nil"/>
              <w:bottom w:val="nil"/>
              <w:right w:val="nil"/>
            </w:tcBorders>
            <w:shd w:val="clear" w:color="auto" w:fill="auto"/>
            <w:noWrap/>
            <w:hideMark/>
          </w:tcPr>
          <w:p w14:paraId="31BE6C43" w14:textId="77777777" w:rsidR="00C11EFE" w:rsidRPr="00581D11" w:rsidRDefault="00C11EFE" w:rsidP="00C11EFE">
            <w:pPr>
              <w:jc w:val="right"/>
              <w:rPr>
                <w:rFonts w:asciiTheme="minorHAnsi" w:hAnsiTheme="minorHAnsi" w:cstheme="minorHAnsi"/>
                <w:b/>
                <w:color w:val="000000"/>
                <w:sz w:val="14"/>
                <w:szCs w:val="14"/>
                <w:lang w:val="en-US" w:eastAsia="en-US"/>
              </w:rPr>
            </w:pPr>
            <w:r w:rsidRPr="00581D11">
              <w:rPr>
                <w:rFonts w:asciiTheme="minorHAnsi" w:hAnsiTheme="minorHAnsi" w:cstheme="minorHAnsi"/>
                <w:b/>
                <w:color w:val="000000"/>
                <w:sz w:val="14"/>
                <w:szCs w:val="14"/>
                <w:lang w:val="en-US" w:eastAsia="en-US"/>
              </w:rPr>
              <w:t>85,896</w:t>
            </w:r>
          </w:p>
        </w:tc>
        <w:tc>
          <w:tcPr>
            <w:tcW w:w="1021" w:type="dxa"/>
            <w:tcBorders>
              <w:top w:val="nil"/>
              <w:left w:val="nil"/>
              <w:bottom w:val="nil"/>
              <w:right w:val="nil"/>
            </w:tcBorders>
            <w:shd w:val="clear" w:color="auto" w:fill="auto"/>
            <w:noWrap/>
            <w:hideMark/>
          </w:tcPr>
          <w:p w14:paraId="714C0D98" w14:textId="380E5A26" w:rsidR="00C11EFE" w:rsidRPr="00581D11"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17,179</w:t>
            </w:r>
          </w:p>
        </w:tc>
        <w:tc>
          <w:tcPr>
            <w:tcW w:w="882" w:type="dxa"/>
            <w:tcBorders>
              <w:top w:val="nil"/>
              <w:left w:val="nil"/>
              <w:bottom w:val="nil"/>
              <w:right w:val="nil"/>
            </w:tcBorders>
            <w:shd w:val="clear" w:color="auto" w:fill="auto"/>
            <w:noWrap/>
            <w:hideMark/>
          </w:tcPr>
          <w:p w14:paraId="0DB27676"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85,896</w:t>
            </w:r>
          </w:p>
        </w:tc>
        <w:tc>
          <w:tcPr>
            <w:tcW w:w="873" w:type="dxa"/>
            <w:tcBorders>
              <w:top w:val="nil"/>
              <w:left w:val="nil"/>
              <w:bottom w:val="nil"/>
              <w:right w:val="nil"/>
            </w:tcBorders>
            <w:shd w:val="clear" w:color="auto" w:fill="auto"/>
            <w:noWrap/>
            <w:hideMark/>
          </w:tcPr>
          <w:p w14:paraId="12773242"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1.0</w:t>
            </w:r>
          </w:p>
        </w:tc>
        <w:tc>
          <w:tcPr>
            <w:tcW w:w="672" w:type="dxa"/>
            <w:tcBorders>
              <w:top w:val="nil"/>
              <w:left w:val="nil"/>
              <w:bottom w:val="nil"/>
              <w:right w:val="nil"/>
            </w:tcBorders>
            <w:shd w:val="clear" w:color="auto" w:fill="auto"/>
            <w:noWrap/>
            <w:hideMark/>
          </w:tcPr>
          <w:p w14:paraId="01CFD9F5"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0.001</w:t>
            </w:r>
          </w:p>
        </w:tc>
        <w:tc>
          <w:tcPr>
            <w:tcW w:w="575" w:type="dxa"/>
            <w:tcBorders>
              <w:top w:val="nil"/>
              <w:left w:val="nil"/>
              <w:bottom w:val="nil"/>
              <w:right w:val="nil"/>
            </w:tcBorders>
            <w:shd w:val="clear" w:color="auto" w:fill="auto"/>
            <w:noWrap/>
            <w:hideMark/>
          </w:tcPr>
          <w:p w14:paraId="1DE94686"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2.8%</w:t>
            </w:r>
          </w:p>
        </w:tc>
        <w:tc>
          <w:tcPr>
            <w:tcW w:w="575" w:type="dxa"/>
            <w:tcBorders>
              <w:top w:val="nil"/>
              <w:left w:val="nil"/>
              <w:bottom w:val="nil"/>
              <w:right w:val="nil"/>
            </w:tcBorders>
            <w:shd w:val="clear" w:color="auto" w:fill="auto"/>
            <w:noWrap/>
            <w:hideMark/>
          </w:tcPr>
          <w:p w14:paraId="19435734"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0.6%</w:t>
            </w:r>
          </w:p>
        </w:tc>
        <w:tc>
          <w:tcPr>
            <w:tcW w:w="835" w:type="dxa"/>
            <w:tcBorders>
              <w:top w:val="nil"/>
              <w:left w:val="nil"/>
              <w:bottom w:val="nil"/>
              <w:right w:val="nil"/>
            </w:tcBorders>
            <w:shd w:val="clear" w:color="auto" w:fill="auto"/>
            <w:noWrap/>
            <w:hideMark/>
          </w:tcPr>
          <w:p w14:paraId="47752C2C"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80,600 </w:t>
            </w:r>
          </w:p>
        </w:tc>
        <w:tc>
          <w:tcPr>
            <w:tcW w:w="660" w:type="dxa"/>
            <w:tcBorders>
              <w:top w:val="nil"/>
              <w:left w:val="nil"/>
              <w:bottom w:val="nil"/>
              <w:right w:val="nil"/>
            </w:tcBorders>
            <w:shd w:val="clear" w:color="auto" w:fill="auto"/>
            <w:noWrap/>
            <w:hideMark/>
          </w:tcPr>
          <w:p w14:paraId="752C7C5B"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5 </w:t>
            </w:r>
          </w:p>
        </w:tc>
        <w:tc>
          <w:tcPr>
            <w:tcW w:w="1182" w:type="dxa"/>
            <w:tcBorders>
              <w:top w:val="nil"/>
              <w:left w:val="nil"/>
              <w:bottom w:val="nil"/>
              <w:right w:val="nil"/>
            </w:tcBorders>
            <w:shd w:val="clear" w:color="auto" w:fill="auto"/>
            <w:noWrap/>
            <w:hideMark/>
          </w:tcPr>
          <w:p w14:paraId="46ABB03C"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0.20 </w:t>
            </w:r>
          </w:p>
        </w:tc>
      </w:tr>
      <w:tr w:rsidR="00C11EFE" w:rsidRPr="00231641" w14:paraId="77F1072B" w14:textId="77777777" w:rsidTr="00C11EFE">
        <w:trPr>
          <w:trHeight w:hRule="exact" w:val="284"/>
        </w:trPr>
        <w:tc>
          <w:tcPr>
            <w:tcW w:w="701" w:type="dxa"/>
            <w:tcBorders>
              <w:top w:val="nil"/>
              <w:left w:val="nil"/>
              <w:bottom w:val="nil"/>
              <w:right w:val="nil"/>
            </w:tcBorders>
            <w:shd w:val="clear" w:color="auto" w:fill="auto"/>
            <w:noWrap/>
            <w:hideMark/>
          </w:tcPr>
          <w:p w14:paraId="3E96000F"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Yes</w:t>
            </w:r>
          </w:p>
        </w:tc>
        <w:tc>
          <w:tcPr>
            <w:tcW w:w="701" w:type="dxa"/>
            <w:tcBorders>
              <w:top w:val="nil"/>
              <w:left w:val="nil"/>
              <w:bottom w:val="nil"/>
              <w:right w:val="nil"/>
            </w:tcBorders>
            <w:shd w:val="clear" w:color="auto" w:fill="auto"/>
            <w:noWrap/>
            <w:hideMark/>
          </w:tcPr>
          <w:p w14:paraId="1B8D128C"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5</w:t>
            </w:r>
          </w:p>
        </w:tc>
        <w:tc>
          <w:tcPr>
            <w:tcW w:w="582" w:type="dxa"/>
            <w:tcBorders>
              <w:top w:val="nil"/>
              <w:left w:val="nil"/>
              <w:bottom w:val="nil"/>
              <w:right w:val="nil"/>
            </w:tcBorders>
            <w:shd w:val="clear" w:color="auto" w:fill="auto"/>
            <w:noWrap/>
            <w:hideMark/>
          </w:tcPr>
          <w:p w14:paraId="0E0D4933" w14:textId="44BC551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L61Z</w:t>
            </w:r>
          </w:p>
        </w:tc>
        <w:tc>
          <w:tcPr>
            <w:tcW w:w="3977" w:type="dxa"/>
            <w:tcBorders>
              <w:top w:val="nil"/>
              <w:left w:val="nil"/>
              <w:bottom w:val="nil"/>
              <w:right w:val="nil"/>
            </w:tcBorders>
            <w:shd w:val="clear" w:color="auto" w:fill="auto"/>
            <w:noWrap/>
            <w:hideMark/>
          </w:tcPr>
          <w:p w14:paraId="2EBDCFD1" w14:textId="18414B62" w:rsidR="00C11EFE" w:rsidRPr="00581D11" w:rsidRDefault="00C11EFE" w:rsidP="00C11EFE">
            <w:pPr>
              <w:rPr>
                <w:rFonts w:asciiTheme="minorHAnsi" w:hAnsiTheme="minorHAnsi" w:cstheme="minorHAnsi"/>
                <w:color w:val="000000"/>
                <w:sz w:val="14"/>
                <w:szCs w:val="14"/>
                <w:lang w:val="en-US" w:eastAsia="en-US"/>
              </w:rPr>
            </w:pPr>
            <w:r w:rsidRPr="00231641">
              <w:rPr>
                <w:rFonts w:asciiTheme="minorHAnsi" w:hAnsiTheme="minorHAnsi" w:cstheme="minorHAnsi"/>
                <w:color w:val="000000"/>
                <w:sz w:val="14"/>
                <w:szCs w:val="14"/>
                <w:lang w:val="en-US" w:eastAsia="en-US"/>
              </w:rPr>
              <w:t>Hemodialysis</w:t>
            </w:r>
          </w:p>
        </w:tc>
        <w:tc>
          <w:tcPr>
            <w:tcW w:w="791" w:type="dxa"/>
            <w:tcBorders>
              <w:top w:val="nil"/>
              <w:left w:val="nil"/>
              <w:bottom w:val="nil"/>
              <w:right w:val="nil"/>
            </w:tcBorders>
            <w:shd w:val="clear" w:color="auto" w:fill="auto"/>
            <w:noWrap/>
            <w:hideMark/>
          </w:tcPr>
          <w:p w14:paraId="42DA57CC"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0.11</w:t>
            </w:r>
          </w:p>
        </w:tc>
        <w:tc>
          <w:tcPr>
            <w:tcW w:w="839" w:type="dxa"/>
            <w:tcBorders>
              <w:top w:val="nil"/>
              <w:left w:val="nil"/>
              <w:bottom w:val="nil"/>
              <w:right w:val="nil"/>
            </w:tcBorders>
            <w:shd w:val="clear" w:color="auto" w:fill="auto"/>
            <w:noWrap/>
            <w:hideMark/>
          </w:tcPr>
          <w:p w14:paraId="4D6702E7" w14:textId="77777777" w:rsidR="00C11EFE" w:rsidRPr="00581D11" w:rsidRDefault="00C11EFE" w:rsidP="00C11EFE">
            <w:pPr>
              <w:jc w:val="right"/>
              <w:rPr>
                <w:rFonts w:asciiTheme="minorHAnsi" w:hAnsiTheme="minorHAnsi" w:cstheme="minorHAnsi"/>
                <w:b/>
                <w:color w:val="000000"/>
                <w:sz w:val="14"/>
                <w:szCs w:val="14"/>
                <w:lang w:val="en-US" w:eastAsia="en-US"/>
              </w:rPr>
            </w:pPr>
            <w:r w:rsidRPr="00581D11">
              <w:rPr>
                <w:rFonts w:asciiTheme="minorHAnsi" w:hAnsiTheme="minorHAnsi" w:cstheme="minorHAnsi"/>
                <w:b/>
                <w:color w:val="000000"/>
                <w:sz w:val="14"/>
                <w:szCs w:val="14"/>
                <w:lang w:val="en-US" w:eastAsia="en-US"/>
              </w:rPr>
              <w:t>83,214</w:t>
            </w:r>
          </w:p>
        </w:tc>
        <w:tc>
          <w:tcPr>
            <w:tcW w:w="1021" w:type="dxa"/>
            <w:tcBorders>
              <w:top w:val="nil"/>
              <w:left w:val="nil"/>
              <w:bottom w:val="nil"/>
              <w:right w:val="nil"/>
            </w:tcBorders>
            <w:shd w:val="clear" w:color="auto" w:fill="auto"/>
            <w:noWrap/>
            <w:hideMark/>
          </w:tcPr>
          <w:p w14:paraId="03E730F0" w14:textId="19A546DD" w:rsidR="00C11EFE" w:rsidRPr="00581D11"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9,154</w:t>
            </w:r>
          </w:p>
        </w:tc>
        <w:tc>
          <w:tcPr>
            <w:tcW w:w="882" w:type="dxa"/>
            <w:tcBorders>
              <w:top w:val="nil"/>
              <w:left w:val="nil"/>
              <w:bottom w:val="nil"/>
              <w:right w:val="nil"/>
            </w:tcBorders>
            <w:shd w:val="clear" w:color="auto" w:fill="auto"/>
            <w:noWrap/>
            <w:hideMark/>
          </w:tcPr>
          <w:p w14:paraId="574D1292"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83,217</w:t>
            </w:r>
          </w:p>
        </w:tc>
        <w:tc>
          <w:tcPr>
            <w:tcW w:w="873" w:type="dxa"/>
            <w:tcBorders>
              <w:top w:val="nil"/>
              <w:left w:val="nil"/>
              <w:bottom w:val="nil"/>
              <w:right w:val="nil"/>
            </w:tcBorders>
            <w:shd w:val="clear" w:color="auto" w:fill="auto"/>
            <w:noWrap/>
            <w:hideMark/>
          </w:tcPr>
          <w:p w14:paraId="42CE4B66"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1.0</w:t>
            </w:r>
          </w:p>
        </w:tc>
        <w:tc>
          <w:tcPr>
            <w:tcW w:w="672" w:type="dxa"/>
            <w:tcBorders>
              <w:top w:val="nil"/>
              <w:left w:val="nil"/>
              <w:bottom w:val="nil"/>
              <w:right w:val="nil"/>
            </w:tcBorders>
            <w:shd w:val="clear" w:color="auto" w:fill="auto"/>
            <w:noWrap/>
            <w:hideMark/>
          </w:tcPr>
          <w:p w14:paraId="7F2F5228"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0.000</w:t>
            </w:r>
          </w:p>
        </w:tc>
        <w:tc>
          <w:tcPr>
            <w:tcW w:w="575" w:type="dxa"/>
            <w:tcBorders>
              <w:top w:val="nil"/>
              <w:left w:val="nil"/>
              <w:bottom w:val="nil"/>
              <w:right w:val="nil"/>
            </w:tcBorders>
            <w:shd w:val="clear" w:color="auto" w:fill="auto"/>
            <w:noWrap/>
            <w:hideMark/>
          </w:tcPr>
          <w:p w14:paraId="556FBB05"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2.7%</w:t>
            </w:r>
          </w:p>
        </w:tc>
        <w:tc>
          <w:tcPr>
            <w:tcW w:w="575" w:type="dxa"/>
            <w:tcBorders>
              <w:top w:val="nil"/>
              <w:left w:val="nil"/>
              <w:bottom w:val="nil"/>
              <w:right w:val="nil"/>
            </w:tcBorders>
            <w:shd w:val="clear" w:color="auto" w:fill="auto"/>
            <w:noWrap/>
            <w:hideMark/>
          </w:tcPr>
          <w:p w14:paraId="3A669DA3"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0.3%</w:t>
            </w:r>
          </w:p>
        </w:tc>
        <w:tc>
          <w:tcPr>
            <w:tcW w:w="835" w:type="dxa"/>
            <w:tcBorders>
              <w:top w:val="nil"/>
              <w:left w:val="nil"/>
              <w:bottom w:val="nil"/>
              <w:right w:val="nil"/>
            </w:tcBorders>
            <w:shd w:val="clear" w:color="auto" w:fill="auto"/>
            <w:noWrap/>
            <w:hideMark/>
          </w:tcPr>
          <w:p w14:paraId="0DBA427F"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99,343 </w:t>
            </w:r>
          </w:p>
        </w:tc>
        <w:tc>
          <w:tcPr>
            <w:tcW w:w="660" w:type="dxa"/>
            <w:tcBorders>
              <w:top w:val="nil"/>
              <w:left w:val="nil"/>
              <w:bottom w:val="nil"/>
              <w:right w:val="nil"/>
            </w:tcBorders>
            <w:shd w:val="clear" w:color="auto" w:fill="auto"/>
            <w:noWrap/>
            <w:hideMark/>
          </w:tcPr>
          <w:p w14:paraId="3D95B22B"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3 </w:t>
            </w:r>
          </w:p>
        </w:tc>
        <w:tc>
          <w:tcPr>
            <w:tcW w:w="1182" w:type="dxa"/>
            <w:tcBorders>
              <w:top w:val="nil"/>
              <w:left w:val="nil"/>
              <w:bottom w:val="nil"/>
              <w:right w:val="nil"/>
            </w:tcBorders>
            <w:shd w:val="clear" w:color="auto" w:fill="auto"/>
            <w:noWrap/>
            <w:hideMark/>
          </w:tcPr>
          <w:p w14:paraId="32E0DFA8"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0.06 </w:t>
            </w:r>
          </w:p>
        </w:tc>
      </w:tr>
      <w:tr w:rsidR="00C11EFE" w:rsidRPr="00231641" w14:paraId="5CE9E74D" w14:textId="77777777" w:rsidTr="00C11EFE">
        <w:trPr>
          <w:trHeight w:hRule="exact" w:val="284"/>
        </w:trPr>
        <w:tc>
          <w:tcPr>
            <w:tcW w:w="701" w:type="dxa"/>
            <w:tcBorders>
              <w:top w:val="nil"/>
              <w:left w:val="nil"/>
              <w:bottom w:val="nil"/>
              <w:right w:val="nil"/>
            </w:tcBorders>
            <w:shd w:val="clear" w:color="auto" w:fill="auto"/>
            <w:noWrap/>
            <w:hideMark/>
          </w:tcPr>
          <w:p w14:paraId="74AD0656"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Yes</w:t>
            </w:r>
          </w:p>
        </w:tc>
        <w:tc>
          <w:tcPr>
            <w:tcW w:w="701" w:type="dxa"/>
            <w:tcBorders>
              <w:top w:val="nil"/>
              <w:left w:val="nil"/>
              <w:bottom w:val="nil"/>
              <w:right w:val="nil"/>
            </w:tcBorders>
            <w:shd w:val="clear" w:color="auto" w:fill="auto"/>
            <w:noWrap/>
            <w:hideMark/>
          </w:tcPr>
          <w:p w14:paraId="2CD90C0D"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6</w:t>
            </w:r>
          </w:p>
        </w:tc>
        <w:tc>
          <w:tcPr>
            <w:tcW w:w="582" w:type="dxa"/>
            <w:tcBorders>
              <w:top w:val="nil"/>
              <w:left w:val="nil"/>
              <w:bottom w:val="nil"/>
              <w:right w:val="nil"/>
            </w:tcBorders>
            <w:shd w:val="clear" w:color="auto" w:fill="auto"/>
            <w:noWrap/>
            <w:hideMark/>
          </w:tcPr>
          <w:p w14:paraId="1DB01D7A" w14:textId="7777777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Z64B</w:t>
            </w:r>
          </w:p>
        </w:tc>
        <w:tc>
          <w:tcPr>
            <w:tcW w:w="3977" w:type="dxa"/>
            <w:tcBorders>
              <w:top w:val="nil"/>
              <w:left w:val="nil"/>
              <w:bottom w:val="nil"/>
              <w:right w:val="nil"/>
            </w:tcBorders>
            <w:shd w:val="clear" w:color="auto" w:fill="auto"/>
            <w:noWrap/>
            <w:hideMark/>
          </w:tcPr>
          <w:p w14:paraId="08678121" w14:textId="529EB820"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Other Factors Influencing Health Status, Minor Complexity</w:t>
            </w:r>
          </w:p>
        </w:tc>
        <w:tc>
          <w:tcPr>
            <w:tcW w:w="791" w:type="dxa"/>
            <w:tcBorders>
              <w:top w:val="nil"/>
              <w:left w:val="nil"/>
              <w:bottom w:val="nil"/>
              <w:right w:val="nil"/>
            </w:tcBorders>
            <w:shd w:val="clear" w:color="auto" w:fill="auto"/>
            <w:noWrap/>
            <w:hideMark/>
          </w:tcPr>
          <w:p w14:paraId="05D17E1F"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0.18</w:t>
            </w:r>
          </w:p>
        </w:tc>
        <w:tc>
          <w:tcPr>
            <w:tcW w:w="839" w:type="dxa"/>
            <w:tcBorders>
              <w:top w:val="nil"/>
              <w:left w:val="nil"/>
              <w:bottom w:val="nil"/>
              <w:right w:val="nil"/>
            </w:tcBorders>
            <w:shd w:val="clear" w:color="auto" w:fill="auto"/>
            <w:noWrap/>
            <w:hideMark/>
          </w:tcPr>
          <w:p w14:paraId="50E02867" w14:textId="77777777" w:rsidR="00C11EFE" w:rsidRPr="00581D11" w:rsidRDefault="00C11EFE" w:rsidP="00C11EFE">
            <w:pPr>
              <w:jc w:val="right"/>
              <w:rPr>
                <w:rFonts w:asciiTheme="minorHAnsi" w:hAnsiTheme="minorHAnsi" w:cstheme="minorHAnsi"/>
                <w:b/>
                <w:color w:val="000000"/>
                <w:sz w:val="14"/>
                <w:szCs w:val="14"/>
                <w:lang w:val="en-US" w:eastAsia="en-US"/>
              </w:rPr>
            </w:pPr>
            <w:r w:rsidRPr="00581D11">
              <w:rPr>
                <w:rFonts w:asciiTheme="minorHAnsi" w:hAnsiTheme="minorHAnsi" w:cstheme="minorHAnsi"/>
                <w:b/>
                <w:color w:val="000000"/>
                <w:sz w:val="14"/>
                <w:szCs w:val="14"/>
                <w:lang w:val="en-US" w:eastAsia="en-US"/>
              </w:rPr>
              <w:t>68,869</w:t>
            </w:r>
          </w:p>
        </w:tc>
        <w:tc>
          <w:tcPr>
            <w:tcW w:w="1021" w:type="dxa"/>
            <w:tcBorders>
              <w:top w:val="nil"/>
              <w:left w:val="nil"/>
              <w:bottom w:val="nil"/>
              <w:right w:val="nil"/>
            </w:tcBorders>
            <w:shd w:val="clear" w:color="auto" w:fill="auto"/>
            <w:noWrap/>
            <w:hideMark/>
          </w:tcPr>
          <w:p w14:paraId="427AD9A6" w14:textId="749C44B4" w:rsidR="00C11EFE" w:rsidRPr="00581D11"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12,396</w:t>
            </w:r>
          </w:p>
        </w:tc>
        <w:tc>
          <w:tcPr>
            <w:tcW w:w="882" w:type="dxa"/>
            <w:tcBorders>
              <w:top w:val="nil"/>
              <w:left w:val="nil"/>
              <w:bottom w:val="nil"/>
              <w:right w:val="nil"/>
            </w:tcBorders>
            <w:shd w:val="clear" w:color="auto" w:fill="auto"/>
            <w:noWrap/>
            <w:hideMark/>
          </w:tcPr>
          <w:p w14:paraId="7DFC9429"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70,245</w:t>
            </w:r>
          </w:p>
        </w:tc>
        <w:tc>
          <w:tcPr>
            <w:tcW w:w="873" w:type="dxa"/>
            <w:tcBorders>
              <w:top w:val="nil"/>
              <w:left w:val="nil"/>
              <w:bottom w:val="nil"/>
              <w:right w:val="nil"/>
            </w:tcBorders>
            <w:shd w:val="clear" w:color="auto" w:fill="auto"/>
            <w:noWrap/>
            <w:hideMark/>
          </w:tcPr>
          <w:p w14:paraId="5DCCE772"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1.0</w:t>
            </w:r>
          </w:p>
        </w:tc>
        <w:tc>
          <w:tcPr>
            <w:tcW w:w="672" w:type="dxa"/>
            <w:tcBorders>
              <w:top w:val="nil"/>
              <w:left w:val="nil"/>
              <w:bottom w:val="nil"/>
              <w:right w:val="nil"/>
            </w:tcBorders>
            <w:shd w:val="clear" w:color="auto" w:fill="auto"/>
            <w:noWrap/>
            <w:hideMark/>
          </w:tcPr>
          <w:p w14:paraId="18D7F8AD"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0.002</w:t>
            </w:r>
          </w:p>
        </w:tc>
        <w:tc>
          <w:tcPr>
            <w:tcW w:w="575" w:type="dxa"/>
            <w:tcBorders>
              <w:top w:val="nil"/>
              <w:left w:val="nil"/>
              <w:bottom w:val="nil"/>
              <w:right w:val="nil"/>
            </w:tcBorders>
            <w:shd w:val="clear" w:color="auto" w:fill="auto"/>
            <w:noWrap/>
            <w:hideMark/>
          </w:tcPr>
          <w:p w14:paraId="306BCCC8"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2.3%</w:t>
            </w:r>
          </w:p>
        </w:tc>
        <w:tc>
          <w:tcPr>
            <w:tcW w:w="575" w:type="dxa"/>
            <w:tcBorders>
              <w:top w:val="nil"/>
              <w:left w:val="nil"/>
              <w:bottom w:val="nil"/>
              <w:right w:val="nil"/>
            </w:tcBorders>
            <w:shd w:val="clear" w:color="auto" w:fill="auto"/>
            <w:noWrap/>
            <w:hideMark/>
          </w:tcPr>
          <w:p w14:paraId="329BD685"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0.4%</w:t>
            </w:r>
          </w:p>
        </w:tc>
        <w:tc>
          <w:tcPr>
            <w:tcW w:w="835" w:type="dxa"/>
            <w:tcBorders>
              <w:top w:val="nil"/>
              <w:left w:val="nil"/>
              <w:bottom w:val="nil"/>
              <w:right w:val="nil"/>
            </w:tcBorders>
            <w:shd w:val="clear" w:color="auto" w:fill="auto"/>
            <w:noWrap/>
            <w:hideMark/>
          </w:tcPr>
          <w:p w14:paraId="1F817932"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72,735 </w:t>
            </w:r>
          </w:p>
        </w:tc>
        <w:tc>
          <w:tcPr>
            <w:tcW w:w="660" w:type="dxa"/>
            <w:tcBorders>
              <w:top w:val="nil"/>
              <w:left w:val="nil"/>
              <w:bottom w:val="nil"/>
              <w:right w:val="nil"/>
            </w:tcBorders>
            <w:shd w:val="clear" w:color="auto" w:fill="auto"/>
            <w:noWrap/>
            <w:hideMark/>
          </w:tcPr>
          <w:p w14:paraId="45133494"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6 </w:t>
            </w:r>
          </w:p>
        </w:tc>
        <w:tc>
          <w:tcPr>
            <w:tcW w:w="1182" w:type="dxa"/>
            <w:tcBorders>
              <w:top w:val="nil"/>
              <w:left w:val="nil"/>
              <w:bottom w:val="nil"/>
              <w:right w:val="nil"/>
            </w:tcBorders>
            <w:shd w:val="clear" w:color="auto" w:fill="auto"/>
            <w:noWrap/>
            <w:hideMark/>
          </w:tcPr>
          <w:p w14:paraId="0CD4DB33"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0.17 </w:t>
            </w:r>
          </w:p>
        </w:tc>
      </w:tr>
      <w:tr w:rsidR="00C11EFE" w:rsidRPr="00231641" w14:paraId="2FE76707" w14:textId="77777777" w:rsidTr="00C11EFE">
        <w:trPr>
          <w:trHeight w:hRule="exact" w:val="284"/>
        </w:trPr>
        <w:tc>
          <w:tcPr>
            <w:tcW w:w="701" w:type="dxa"/>
            <w:tcBorders>
              <w:top w:val="nil"/>
              <w:left w:val="nil"/>
              <w:bottom w:val="nil"/>
              <w:right w:val="nil"/>
            </w:tcBorders>
            <w:shd w:val="clear" w:color="auto" w:fill="auto"/>
            <w:noWrap/>
            <w:hideMark/>
          </w:tcPr>
          <w:p w14:paraId="145B6285"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Yes</w:t>
            </w:r>
          </w:p>
        </w:tc>
        <w:tc>
          <w:tcPr>
            <w:tcW w:w="701" w:type="dxa"/>
            <w:tcBorders>
              <w:top w:val="nil"/>
              <w:left w:val="nil"/>
              <w:bottom w:val="nil"/>
              <w:right w:val="nil"/>
            </w:tcBorders>
            <w:shd w:val="clear" w:color="auto" w:fill="auto"/>
            <w:noWrap/>
            <w:hideMark/>
          </w:tcPr>
          <w:p w14:paraId="10DF513A"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7</w:t>
            </w:r>
          </w:p>
        </w:tc>
        <w:tc>
          <w:tcPr>
            <w:tcW w:w="582" w:type="dxa"/>
            <w:tcBorders>
              <w:top w:val="nil"/>
              <w:left w:val="nil"/>
              <w:bottom w:val="nil"/>
              <w:right w:val="nil"/>
            </w:tcBorders>
            <w:shd w:val="clear" w:color="auto" w:fill="auto"/>
            <w:noWrap/>
            <w:hideMark/>
          </w:tcPr>
          <w:p w14:paraId="623BC76E" w14:textId="7777777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G47C</w:t>
            </w:r>
          </w:p>
        </w:tc>
        <w:tc>
          <w:tcPr>
            <w:tcW w:w="3977" w:type="dxa"/>
            <w:tcBorders>
              <w:top w:val="nil"/>
              <w:left w:val="nil"/>
              <w:bottom w:val="nil"/>
              <w:right w:val="nil"/>
            </w:tcBorders>
            <w:shd w:val="clear" w:color="auto" w:fill="auto"/>
            <w:noWrap/>
            <w:hideMark/>
          </w:tcPr>
          <w:p w14:paraId="2A5EAAFE" w14:textId="7777777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Gastroscopy, Minor Complexity</w:t>
            </w:r>
          </w:p>
        </w:tc>
        <w:tc>
          <w:tcPr>
            <w:tcW w:w="791" w:type="dxa"/>
            <w:tcBorders>
              <w:top w:val="nil"/>
              <w:left w:val="nil"/>
              <w:bottom w:val="nil"/>
              <w:right w:val="nil"/>
            </w:tcBorders>
            <w:shd w:val="clear" w:color="auto" w:fill="auto"/>
            <w:noWrap/>
            <w:hideMark/>
          </w:tcPr>
          <w:p w14:paraId="0CD2988F"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0.20</w:t>
            </w:r>
          </w:p>
        </w:tc>
        <w:tc>
          <w:tcPr>
            <w:tcW w:w="839" w:type="dxa"/>
            <w:tcBorders>
              <w:top w:val="nil"/>
              <w:left w:val="nil"/>
              <w:bottom w:val="nil"/>
              <w:right w:val="nil"/>
            </w:tcBorders>
            <w:shd w:val="clear" w:color="auto" w:fill="auto"/>
            <w:noWrap/>
            <w:hideMark/>
          </w:tcPr>
          <w:p w14:paraId="063367F7" w14:textId="77777777" w:rsidR="00C11EFE" w:rsidRPr="00581D11" w:rsidRDefault="00C11EFE" w:rsidP="00C11EFE">
            <w:pPr>
              <w:jc w:val="right"/>
              <w:rPr>
                <w:rFonts w:asciiTheme="minorHAnsi" w:hAnsiTheme="minorHAnsi" w:cstheme="minorHAnsi"/>
                <w:b/>
                <w:color w:val="000000"/>
                <w:sz w:val="14"/>
                <w:szCs w:val="14"/>
                <w:lang w:val="en-US" w:eastAsia="en-US"/>
              </w:rPr>
            </w:pPr>
            <w:r w:rsidRPr="00581D11">
              <w:rPr>
                <w:rFonts w:asciiTheme="minorHAnsi" w:hAnsiTheme="minorHAnsi" w:cstheme="minorHAnsi"/>
                <w:b/>
                <w:color w:val="000000"/>
                <w:sz w:val="14"/>
                <w:szCs w:val="14"/>
                <w:lang w:val="en-US" w:eastAsia="en-US"/>
              </w:rPr>
              <w:t>67,272</w:t>
            </w:r>
          </w:p>
        </w:tc>
        <w:tc>
          <w:tcPr>
            <w:tcW w:w="1021" w:type="dxa"/>
            <w:tcBorders>
              <w:top w:val="nil"/>
              <w:left w:val="nil"/>
              <w:bottom w:val="nil"/>
              <w:right w:val="nil"/>
            </w:tcBorders>
            <w:shd w:val="clear" w:color="auto" w:fill="auto"/>
            <w:noWrap/>
            <w:hideMark/>
          </w:tcPr>
          <w:p w14:paraId="7D28232D" w14:textId="2A04A4FA" w:rsidR="00C11EFE" w:rsidRPr="00581D11"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13,454</w:t>
            </w:r>
          </w:p>
        </w:tc>
        <w:tc>
          <w:tcPr>
            <w:tcW w:w="882" w:type="dxa"/>
            <w:tcBorders>
              <w:top w:val="nil"/>
              <w:left w:val="nil"/>
              <w:bottom w:val="nil"/>
              <w:right w:val="nil"/>
            </w:tcBorders>
            <w:shd w:val="clear" w:color="auto" w:fill="auto"/>
            <w:noWrap/>
            <w:hideMark/>
          </w:tcPr>
          <w:p w14:paraId="07DA7B40"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70,317</w:t>
            </w:r>
          </w:p>
        </w:tc>
        <w:tc>
          <w:tcPr>
            <w:tcW w:w="873" w:type="dxa"/>
            <w:tcBorders>
              <w:top w:val="nil"/>
              <w:left w:val="nil"/>
              <w:bottom w:val="nil"/>
              <w:right w:val="nil"/>
            </w:tcBorders>
            <w:shd w:val="clear" w:color="auto" w:fill="auto"/>
            <w:noWrap/>
            <w:hideMark/>
          </w:tcPr>
          <w:p w14:paraId="63B6EA24"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1.0</w:t>
            </w:r>
          </w:p>
        </w:tc>
        <w:tc>
          <w:tcPr>
            <w:tcW w:w="672" w:type="dxa"/>
            <w:tcBorders>
              <w:top w:val="nil"/>
              <w:left w:val="nil"/>
              <w:bottom w:val="nil"/>
              <w:right w:val="nil"/>
            </w:tcBorders>
            <w:shd w:val="clear" w:color="auto" w:fill="auto"/>
            <w:noWrap/>
            <w:hideMark/>
          </w:tcPr>
          <w:p w14:paraId="7B414123"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0.001</w:t>
            </w:r>
          </w:p>
        </w:tc>
        <w:tc>
          <w:tcPr>
            <w:tcW w:w="575" w:type="dxa"/>
            <w:tcBorders>
              <w:top w:val="nil"/>
              <w:left w:val="nil"/>
              <w:bottom w:val="nil"/>
              <w:right w:val="nil"/>
            </w:tcBorders>
            <w:shd w:val="clear" w:color="auto" w:fill="auto"/>
            <w:noWrap/>
            <w:hideMark/>
          </w:tcPr>
          <w:p w14:paraId="116CE8A8"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2.2%</w:t>
            </w:r>
          </w:p>
        </w:tc>
        <w:tc>
          <w:tcPr>
            <w:tcW w:w="575" w:type="dxa"/>
            <w:tcBorders>
              <w:top w:val="nil"/>
              <w:left w:val="nil"/>
              <w:bottom w:val="nil"/>
              <w:right w:val="nil"/>
            </w:tcBorders>
            <w:shd w:val="clear" w:color="auto" w:fill="auto"/>
            <w:noWrap/>
            <w:hideMark/>
          </w:tcPr>
          <w:p w14:paraId="1A264223"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0.4%</w:t>
            </w:r>
          </w:p>
        </w:tc>
        <w:tc>
          <w:tcPr>
            <w:tcW w:w="835" w:type="dxa"/>
            <w:tcBorders>
              <w:top w:val="nil"/>
              <w:left w:val="nil"/>
              <w:bottom w:val="nil"/>
              <w:right w:val="nil"/>
            </w:tcBorders>
            <w:shd w:val="clear" w:color="auto" w:fill="auto"/>
            <w:noWrap/>
            <w:hideMark/>
          </w:tcPr>
          <w:p w14:paraId="48C3E8AB"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63,202 </w:t>
            </w:r>
          </w:p>
        </w:tc>
        <w:tc>
          <w:tcPr>
            <w:tcW w:w="660" w:type="dxa"/>
            <w:tcBorders>
              <w:top w:val="nil"/>
              <w:left w:val="nil"/>
              <w:bottom w:val="nil"/>
              <w:right w:val="nil"/>
            </w:tcBorders>
            <w:shd w:val="clear" w:color="auto" w:fill="auto"/>
            <w:noWrap/>
            <w:hideMark/>
          </w:tcPr>
          <w:p w14:paraId="1EC1CB8E"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8 </w:t>
            </w:r>
          </w:p>
        </w:tc>
        <w:tc>
          <w:tcPr>
            <w:tcW w:w="1182" w:type="dxa"/>
            <w:tcBorders>
              <w:top w:val="nil"/>
              <w:left w:val="nil"/>
              <w:bottom w:val="nil"/>
              <w:right w:val="nil"/>
            </w:tcBorders>
            <w:shd w:val="clear" w:color="auto" w:fill="auto"/>
            <w:noWrap/>
            <w:hideMark/>
          </w:tcPr>
          <w:p w14:paraId="0BAABB7D"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0.19 </w:t>
            </w:r>
          </w:p>
        </w:tc>
      </w:tr>
      <w:tr w:rsidR="00C11EFE" w:rsidRPr="00231641" w14:paraId="67D14812" w14:textId="77777777" w:rsidTr="00C11EFE">
        <w:trPr>
          <w:trHeight w:hRule="exact" w:val="284"/>
        </w:trPr>
        <w:tc>
          <w:tcPr>
            <w:tcW w:w="701" w:type="dxa"/>
            <w:tcBorders>
              <w:top w:val="nil"/>
              <w:left w:val="nil"/>
              <w:bottom w:val="nil"/>
              <w:right w:val="nil"/>
            </w:tcBorders>
            <w:shd w:val="clear" w:color="auto" w:fill="auto"/>
            <w:noWrap/>
            <w:hideMark/>
          </w:tcPr>
          <w:p w14:paraId="5B684F5C"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Yes</w:t>
            </w:r>
          </w:p>
        </w:tc>
        <w:tc>
          <w:tcPr>
            <w:tcW w:w="701" w:type="dxa"/>
            <w:tcBorders>
              <w:top w:val="nil"/>
              <w:left w:val="nil"/>
              <w:bottom w:val="nil"/>
              <w:right w:val="nil"/>
            </w:tcBorders>
            <w:shd w:val="clear" w:color="auto" w:fill="auto"/>
            <w:noWrap/>
            <w:hideMark/>
          </w:tcPr>
          <w:p w14:paraId="4BB951C4"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8</w:t>
            </w:r>
          </w:p>
        </w:tc>
        <w:tc>
          <w:tcPr>
            <w:tcW w:w="582" w:type="dxa"/>
            <w:tcBorders>
              <w:top w:val="nil"/>
              <w:left w:val="nil"/>
              <w:bottom w:val="nil"/>
              <w:right w:val="nil"/>
            </w:tcBorders>
            <w:shd w:val="clear" w:color="auto" w:fill="auto"/>
            <w:noWrap/>
            <w:hideMark/>
          </w:tcPr>
          <w:p w14:paraId="1F82A1C6" w14:textId="7777777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D40Z</w:t>
            </w:r>
          </w:p>
        </w:tc>
        <w:tc>
          <w:tcPr>
            <w:tcW w:w="3977" w:type="dxa"/>
            <w:tcBorders>
              <w:top w:val="nil"/>
              <w:left w:val="nil"/>
              <w:bottom w:val="nil"/>
              <w:right w:val="nil"/>
            </w:tcBorders>
            <w:shd w:val="clear" w:color="auto" w:fill="auto"/>
            <w:noWrap/>
            <w:hideMark/>
          </w:tcPr>
          <w:p w14:paraId="7184ED09" w14:textId="7777777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Dental Extractions and Restorations</w:t>
            </w:r>
          </w:p>
        </w:tc>
        <w:tc>
          <w:tcPr>
            <w:tcW w:w="791" w:type="dxa"/>
            <w:tcBorders>
              <w:top w:val="nil"/>
              <w:left w:val="nil"/>
              <w:bottom w:val="nil"/>
              <w:right w:val="nil"/>
            </w:tcBorders>
            <w:shd w:val="clear" w:color="auto" w:fill="auto"/>
            <w:noWrap/>
            <w:hideMark/>
          </w:tcPr>
          <w:p w14:paraId="138676BF"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0.38</w:t>
            </w:r>
          </w:p>
        </w:tc>
        <w:tc>
          <w:tcPr>
            <w:tcW w:w="839" w:type="dxa"/>
            <w:tcBorders>
              <w:top w:val="nil"/>
              <w:left w:val="nil"/>
              <w:bottom w:val="nil"/>
              <w:right w:val="nil"/>
            </w:tcBorders>
            <w:shd w:val="clear" w:color="auto" w:fill="auto"/>
            <w:noWrap/>
            <w:hideMark/>
          </w:tcPr>
          <w:p w14:paraId="28863642" w14:textId="77777777" w:rsidR="00C11EFE" w:rsidRPr="00581D11" w:rsidRDefault="00C11EFE" w:rsidP="00C11EFE">
            <w:pPr>
              <w:jc w:val="right"/>
              <w:rPr>
                <w:rFonts w:asciiTheme="minorHAnsi" w:hAnsiTheme="minorHAnsi" w:cstheme="minorHAnsi"/>
                <w:b/>
                <w:color w:val="000000"/>
                <w:sz w:val="14"/>
                <w:szCs w:val="14"/>
                <w:lang w:val="en-US" w:eastAsia="en-US"/>
              </w:rPr>
            </w:pPr>
            <w:r w:rsidRPr="00581D11">
              <w:rPr>
                <w:rFonts w:asciiTheme="minorHAnsi" w:hAnsiTheme="minorHAnsi" w:cstheme="minorHAnsi"/>
                <w:b/>
                <w:color w:val="000000"/>
                <w:sz w:val="14"/>
                <w:szCs w:val="14"/>
                <w:lang w:val="en-US" w:eastAsia="en-US"/>
              </w:rPr>
              <w:t>61,614</w:t>
            </w:r>
          </w:p>
        </w:tc>
        <w:tc>
          <w:tcPr>
            <w:tcW w:w="1021" w:type="dxa"/>
            <w:tcBorders>
              <w:top w:val="nil"/>
              <w:left w:val="nil"/>
              <w:bottom w:val="nil"/>
              <w:right w:val="nil"/>
            </w:tcBorders>
            <w:shd w:val="clear" w:color="auto" w:fill="auto"/>
            <w:noWrap/>
            <w:hideMark/>
          </w:tcPr>
          <w:p w14:paraId="3FDC56A5" w14:textId="0F39E0C4" w:rsidR="00C11EFE" w:rsidRPr="00581D11"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23,413</w:t>
            </w:r>
          </w:p>
        </w:tc>
        <w:tc>
          <w:tcPr>
            <w:tcW w:w="882" w:type="dxa"/>
            <w:tcBorders>
              <w:top w:val="nil"/>
              <w:left w:val="nil"/>
              <w:bottom w:val="nil"/>
              <w:right w:val="nil"/>
            </w:tcBorders>
            <w:shd w:val="clear" w:color="auto" w:fill="auto"/>
            <w:noWrap/>
            <w:hideMark/>
          </w:tcPr>
          <w:p w14:paraId="02F4DB86"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61,890</w:t>
            </w:r>
          </w:p>
        </w:tc>
        <w:tc>
          <w:tcPr>
            <w:tcW w:w="873" w:type="dxa"/>
            <w:tcBorders>
              <w:top w:val="nil"/>
              <w:left w:val="nil"/>
              <w:bottom w:val="nil"/>
              <w:right w:val="nil"/>
            </w:tcBorders>
            <w:shd w:val="clear" w:color="auto" w:fill="auto"/>
            <w:noWrap/>
            <w:hideMark/>
          </w:tcPr>
          <w:p w14:paraId="06966685"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1.0</w:t>
            </w:r>
          </w:p>
        </w:tc>
        <w:tc>
          <w:tcPr>
            <w:tcW w:w="672" w:type="dxa"/>
            <w:tcBorders>
              <w:top w:val="nil"/>
              <w:left w:val="nil"/>
              <w:bottom w:val="nil"/>
              <w:right w:val="nil"/>
            </w:tcBorders>
            <w:shd w:val="clear" w:color="auto" w:fill="auto"/>
            <w:noWrap/>
            <w:hideMark/>
          </w:tcPr>
          <w:p w14:paraId="52E7B0B1"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0.001</w:t>
            </w:r>
          </w:p>
        </w:tc>
        <w:tc>
          <w:tcPr>
            <w:tcW w:w="575" w:type="dxa"/>
            <w:tcBorders>
              <w:top w:val="nil"/>
              <w:left w:val="nil"/>
              <w:bottom w:val="nil"/>
              <w:right w:val="nil"/>
            </w:tcBorders>
            <w:shd w:val="clear" w:color="auto" w:fill="auto"/>
            <w:noWrap/>
            <w:hideMark/>
          </w:tcPr>
          <w:p w14:paraId="1D7265DD"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2.0%</w:t>
            </w:r>
          </w:p>
        </w:tc>
        <w:tc>
          <w:tcPr>
            <w:tcW w:w="575" w:type="dxa"/>
            <w:tcBorders>
              <w:top w:val="nil"/>
              <w:left w:val="nil"/>
              <w:bottom w:val="nil"/>
              <w:right w:val="nil"/>
            </w:tcBorders>
            <w:shd w:val="clear" w:color="auto" w:fill="auto"/>
            <w:noWrap/>
            <w:hideMark/>
          </w:tcPr>
          <w:p w14:paraId="48BA853C"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0.8%</w:t>
            </w:r>
          </w:p>
        </w:tc>
        <w:tc>
          <w:tcPr>
            <w:tcW w:w="835" w:type="dxa"/>
            <w:tcBorders>
              <w:top w:val="nil"/>
              <w:left w:val="nil"/>
              <w:bottom w:val="nil"/>
              <w:right w:val="nil"/>
            </w:tcBorders>
            <w:shd w:val="clear" w:color="auto" w:fill="auto"/>
            <w:noWrap/>
            <w:hideMark/>
          </w:tcPr>
          <w:p w14:paraId="3696203F"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63,966 </w:t>
            </w:r>
          </w:p>
        </w:tc>
        <w:tc>
          <w:tcPr>
            <w:tcW w:w="660" w:type="dxa"/>
            <w:tcBorders>
              <w:top w:val="nil"/>
              <w:left w:val="nil"/>
              <w:bottom w:val="nil"/>
              <w:right w:val="nil"/>
            </w:tcBorders>
            <w:shd w:val="clear" w:color="auto" w:fill="auto"/>
            <w:noWrap/>
            <w:hideMark/>
          </w:tcPr>
          <w:p w14:paraId="385FD55F"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7 </w:t>
            </w:r>
          </w:p>
        </w:tc>
        <w:tc>
          <w:tcPr>
            <w:tcW w:w="1182" w:type="dxa"/>
            <w:tcBorders>
              <w:top w:val="nil"/>
              <w:left w:val="nil"/>
              <w:bottom w:val="nil"/>
              <w:right w:val="nil"/>
            </w:tcBorders>
            <w:shd w:val="clear" w:color="auto" w:fill="auto"/>
            <w:noWrap/>
            <w:hideMark/>
          </w:tcPr>
          <w:p w14:paraId="4F897819"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0.40 </w:t>
            </w:r>
          </w:p>
        </w:tc>
      </w:tr>
      <w:tr w:rsidR="00C11EFE" w:rsidRPr="00231641" w14:paraId="06401DBF" w14:textId="77777777" w:rsidTr="00C11EFE">
        <w:trPr>
          <w:trHeight w:hRule="exact" w:val="284"/>
        </w:trPr>
        <w:tc>
          <w:tcPr>
            <w:tcW w:w="701" w:type="dxa"/>
            <w:tcBorders>
              <w:top w:val="nil"/>
              <w:left w:val="nil"/>
              <w:bottom w:val="nil"/>
              <w:right w:val="nil"/>
            </w:tcBorders>
            <w:shd w:val="clear" w:color="auto" w:fill="auto"/>
            <w:noWrap/>
            <w:hideMark/>
          </w:tcPr>
          <w:p w14:paraId="62C6D771"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Yes</w:t>
            </w:r>
          </w:p>
        </w:tc>
        <w:tc>
          <w:tcPr>
            <w:tcW w:w="701" w:type="dxa"/>
            <w:tcBorders>
              <w:top w:val="nil"/>
              <w:left w:val="nil"/>
              <w:bottom w:val="nil"/>
              <w:right w:val="nil"/>
            </w:tcBorders>
            <w:shd w:val="clear" w:color="auto" w:fill="auto"/>
            <w:noWrap/>
            <w:hideMark/>
          </w:tcPr>
          <w:p w14:paraId="01440264"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9</w:t>
            </w:r>
          </w:p>
        </w:tc>
        <w:tc>
          <w:tcPr>
            <w:tcW w:w="582" w:type="dxa"/>
            <w:tcBorders>
              <w:top w:val="nil"/>
              <w:left w:val="nil"/>
              <w:bottom w:val="nil"/>
              <w:right w:val="nil"/>
            </w:tcBorders>
            <w:shd w:val="clear" w:color="auto" w:fill="auto"/>
            <w:noWrap/>
            <w:hideMark/>
          </w:tcPr>
          <w:p w14:paraId="291C5EDE" w14:textId="7777777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C16Z</w:t>
            </w:r>
          </w:p>
        </w:tc>
        <w:tc>
          <w:tcPr>
            <w:tcW w:w="3977" w:type="dxa"/>
            <w:tcBorders>
              <w:top w:val="nil"/>
              <w:left w:val="nil"/>
              <w:bottom w:val="nil"/>
              <w:right w:val="nil"/>
            </w:tcBorders>
            <w:shd w:val="clear" w:color="auto" w:fill="auto"/>
            <w:noWrap/>
            <w:hideMark/>
          </w:tcPr>
          <w:p w14:paraId="40702864" w14:textId="7777777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Lens Procedures</w:t>
            </w:r>
          </w:p>
        </w:tc>
        <w:tc>
          <w:tcPr>
            <w:tcW w:w="791" w:type="dxa"/>
            <w:tcBorders>
              <w:top w:val="nil"/>
              <w:left w:val="nil"/>
              <w:bottom w:val="nil"/>
              <w:right w:val="nil"/>
            </w:tcBorders>
            <w:shd w:val="clear" w:color="auto" w:fill="auto"/>
            <w:noWrap/>
            <w:hideMark/>
          </w:tcPr>
          <w:p w14:paraId="29CA5D15"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0.47</w:t>
            </w:r>
          </w:p>
        </w:tc>
        <w:tc>
          <w:tcPr>
            <w:tcW w:w="839" w:type="dxa"/>
            <w:tcBorders>
              <w:top w:val="nil"/>
              <w:left w:val="nil"/>
              <w:bottom w:val="nil"/>
              <w:right w:val="nil"/>
            </w:tcBorders>
            <w:shd w:val="clear" w:color="auto" w:fill="auto"/>
            <w:noWrap/>
            <w:hideMark/>
          </w:tcPr>
          <w:p w14:paraId="5361BB34" w14:textId="77777777" w:rsidR="00C11EFE" w:rsidRPr="00581D11" w:rsidRDefault="00C11EFE" w:rsidP="00C11EFE">
            <w:pPr>
              <w:jc w:val="right"/>
              <w:rPr>
                <w:rFonts w:asciiTheme="minorHAnsi" w:hAnsiTheme="minorHAnsi" w:cstheme="minorHAnsi"/>
                <w:b/>
                <w:color w:val="000000"/>
                <w:sz w:val="14"/>
                <w:szCs w:val="14"/>
                <w:lang w:val="en-US" w:eastAsia="en-US"/>
              </w:rPr>
            </w:pPr>
            <w:r w:rsidRPr="00581D11">
              <w:rPr>
                <w:rFonts w:asciiTheme="minorHAnsi" w:hAnsiTheme="minorHAnsi" w:cstheme="minorHAnsi"/>
                <w:b/>
                <w:color w:val="000000"/>
                <w:sz w:val="14"/>
                <w:szCs w:val="14"/>
                <w:lang w:val="en-US" w:eastAsia="en-US"/>
              </w:rPr>
              <w:t>52,814</w:t>
            </w:r>
          </w:p>
        </w:tc>
        <w:tc>
          <w:tcPr>
            <w:tcW w:w="1021" w:type="dxa"/>
            <w:tcBorders>
              <w:top w:val="nil"/>
              <w:left w:val="nil"/>
              <w:bottom w:val="nil"/>
              <w:right w:val="nil"/>
            </w:tcBorders>
            <w:shd w:val="clear" w:color="auto" w:fill="auto"/>
            <w:noWrap/>
            <w:hideMark/>
          </w:tcPr>
          <w:p w14:paraId="6757AC27" w14:textId="3A707FCB" w:rsidR="00C11EFE" w:rsidRPr="00581D11"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24,823</w:t>
            </w:r>
          </w:p>
        </w:tc>
        <w:tc>
          <w:tcPr>
            <w:tcW w:w="882" w:type="dxa"/>
            <w:tcBorders>
              <w:top w:val="nil"/>
              <w:left w:val="nil"/>
              <w:bottom w:val="nil"/>
              <w:right w:val="nil"/>
            </w:tcBorders>
            <w:shd w:val="clear" w:color="auto" w:fill="auto"/>
            <w:noWrap/>
            <w:hideMark/>
          </w:tcPr>
          <w:p w14:paraId="29745472"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53,093</w:t>
            </w:r>
          </w:p>
        </w:tc>
        <w:tc>
          <w:tcPr>
            <w:tcW w:w="873" w:type="dxa"/>
            <w:tcBorders>
              <w:top w:val="nil"/>
              <w:left w:val="nil"/>
              <w:bottom w:val="nil"/>
              <w:right w:val="nil"/>
            </w:tcBorders>
            <w:shd w:val="clear" w:color="auto" w:fill="auto"/>
            <w:noWrap/>
            <w:hideMark/>
          </w:tcPr>
          <w:p w14:paraId="6ED8720D"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1.0</w:t>
            </w:r>
          </w:p>
        </w:tc>
        <w:tc>
          <w:tcPr>
            <w:tcW w:w="672" w:type="dxa"/>
            <w:tcBorders>
              <w:top w:val="nil"/>
              <w:left w:val="nil"/>
              <w:bottom w:val="nil"/>
              <w:right w:val="nil"/>
            </w:tcBorders>
            <w:shd w:val="clear" w:color="auto" w:fill="auto"/>
            <w:noWrap/>
            <w:hideMark/>
          </w:tcPr>
          <w:p w14:paraId="009C585C"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0.001</w:t>
            </w:r>
          </w:p>
        </w:tc>
        <w:tc>
          <w:tcPr>
            <w:tcW w:w="575" w:type="dxa"/>
            <w:tcBorders>
              <w:top w:val="nil"/>
              <w:left w:val="nil"/>
              <w:bottom w:val="nil"/>
              <w:right w:val="nil"/>
            </w:tcBorders>
            <w:shd w:val="clear" w:color="auto" w:fill="auto"/>
            <w:noWrap/>
            <w:hideMark/>
          </w:tcPr>
          <w:p w14:paraId="08F669D0"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1.7%</w:t>
            </w:r>
          </w:p>
        </w:tc>
        <w:tc>
          <w:tcPr>
            <w:tcW w:w="575" w:type="dxa"/>
            <w:tcBorders>
              <w:top w:val="nil"/>
              <w:left w:val="nil"/>
              <w:bottom w:val="nil"/>
              <w:right w:val="nil"/>
            </w:tcBorders>
            <w:shd w:val="clear" w:color="auto" w:fill="auto"/>
            <w:noWrap/>
            <w:hideMark/>
          </w:tcPr>
          <w:p w14:paraId="7046005E"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0.8%</w:t>
            </w:r>
          </w:p>
        </w:tc>
        <w:tc>
          <w:tcPr>
            <w:tcW w:w="835" w:type="dxa"/>
            <w:tcBorders>
              <w:top w:val="nil"/>
              <w:left w:val="nil"/>
              <w:bottom w:val="nil"/>
              <w:right w:val="nil"/>
            </w:tcBorders>
            <w:shd w:val="clear" w:color="auto" w:fill="auto"/>
            <w:noWrap/>
            <w:hideMark/>
          </w:tcPr>
          <w:p w14:paraId="4888F725"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52,845 </w:t>
            </w:r>
          </w:p>
        </w:tc>
        <w:tc>
          <w:tcPr>
            <w:tcW w:w="660" w:type="dxa"/>
            <w:tcBorders>
              <w:top w:val="nil"/>
              <w:left w:val="nil"/>
              <w:bottom w:val="nil"/>
              <w:right w:val="nil"/>
            </w:tcBorders>
            <w:shd w:val="clear" w:color="auto" w:fill="auto"/>
            <w:noWrap/>
            <w:hideMark/>
          </w:tcPr>
          <w:p w14:paraId="497E1258"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9 </w:t>
            </w:r>
          </w:p>
        </w:tc>
        <w:tc>
          <w:tcPr>
            <w:tcW w:w="1182" w:type="dxa"/>
            <w:tcBorders>
              <w:top w:val="nil"/>
              <w:left w:val="nil"/>
              <w:bottom w:val="nil"/>
              <w:right w:val="nil"/>
            </w:tcBorders>
            <w:shd w:val="clear" w:color="auto" w:fill="auto"/>
            <w:noWrap/>
            <w:hideMark/>
          </w:tcPr>
          <w:p w14:paraId="049293E3"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0.54 </w:t>
            </w:r>
          </w:p>
        </w:tc>
      </w:tr>
      <w:tr w:rsidR="00C11EFE" w:rsidRPr="00231641" w14:paraId="2E37E4A0" w14:textId="77777777" w:rsidTr="00C11EFE">
        <w:trPr>
          <w:trHeight w:hRule="exact" w:val="284"/>
        </w:trPr>
        <w:tc>
          <w:tcPr>
            <w:tcW w:w="701" w:type="dxa"/>
            <w:tcBorders>
              <w:top w:val="nil"/>
              <w:left w:val="nil"/>
              <w:bottom w:val="nil"/>
              <w:right w:val="nil"/>
            </w:tcBorders>
            <w:shd w:val="clear" w:color="auto" w:fill="auto"/>
            <w:noWrap/>
            <w:hideMark/>
          </w:tcPr>
          <w:p w14:paraId="64C1D74A"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Yes</w:t>
            </w:r>
          </w:p>
        </w:tc>
        <w:tc>
          <w:tcPr>
            <w:tcW w:w="701" w:type="dxa"/>
            <w:tcBorders>
              <w:top w:val="nil"/>
              <w:left w:val="nil"/>
              <w:bottom w:val="nil"/>
              <w:right w:val="nil"/>
            </w:tcBorders>
            <w:shd w:val="clear" w:color="auto" w:fill="auto"/>
            <w:noWrap/>
            <w:hideMark/>
          </w:tcPr>
          <w:p w14:paraId="7B6D26D8"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10</w:t>
            </w:r>
          </w:p>
        </w:tc>
        <w:tc>
          <w:tcPr>
            <w:tcW w:w="582" w:type="dxa"/>
            <w:tcBorders>
              <w:top w:val="nil"/>
              <w:left w:val="nil"/>
              <w:bottom w:val="nil"/>
              <w:right w:val="nil"/>
            </w:tcBorders>
            <w:shd w:val="clear" w:color="auto" w:fill="auto"/>
            <w:noWrap/>
            <w:hideMark/>
          </w:tcPr>
          <w:p w14:paraId="25781B11" w14:textId="7777777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I18B</w:t>
            </w:r>
          </w:p>
        </w:tc>
        <w:tc>
          <w:tcPr>
            <w:tcW w:w="3977" w:type="dxa"/>
            <w:tcBorders>
              <w:top w:val="nil"/>
              <w:left w:val="nil"/>
              <w:bottom w:val="nil"/>
              <w:right w:val="nil"/>
            </w:tcBorders>
            <w:shd w:val="clear" w:color="auto" w:fill="auto"/>
            <w:noWrap/>
            <w:hideMark/>
          </w:tcPr>
          <w:p w14:paraId="0BB3128D" w14:textId="7777777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Other Knee Procedures, Minor Complexity</w:t>
            </w:r>
          </w:p>
        </w:tc>
        <w:tc>
          <w:tcPr>
            <w:tcW w:w="791" w:type="dxa"/>
            <w:tcBorders>
              <w:top w:val="nil"/>
              <w:left w:val="nil"/>
              <w:bottom w:val="nil"/>
              <w:right w:val="nil"/>
            </w:tcBorders>
            <w:shd w:val="clear" w:color="auto" w:fill="auto"/>
            <w:noWrap/>
            <w:hideMark/>
          </w:tcPr>
          <w:p w14:paraId="6FDB679D"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0.48</w:t>
            </w:r>
          </w:p>
        </w:tc>
        <w:tc>
          <w:tcPr>
            <w:tcW w:w="839" w:type="dxa"/>
            <w:tcBorders>
              <w:top w:val="nil"/>
              <w:left w:val="nil"/>
              <w:bottom w:val="nil"/>
              <w:right w:val="nil"/>
            </w:tcBorders>
            <w:shd w:val="clear" w:color="auto" w:fill="auto"/>
            <w:noWrap/>
            <w:hideMark/>
          </w:tcPr>
          <w:p w14:paraId="4F22DB4F" w14:textId="77777777" w:rsidR="00C11EFE" w:rsidRPr="00581D11" w:rsidRDefault="00C11EFE" w:rsidP="00C11EFE">
            <w:pPr>
              <w:jc w:val="right"/>
              <w:rPr>
                <w:rFonts w:asciiTheme="minorHAnsi" w:hAnsiTheme="minorHAnsi" w:cstheme="minorHAnsi"/>
                <w:b/>
                <w:color w:val="000000"/>
                <w:sz w:val="14"/>
                <w:szCs w:val="14"/>
                <w:lang w:val="en-US" w:eastAsia="en-US"/>
              </w:rPr>
            </w:pPr>
            <w:r w:rsidRPr="00581D11">
              <w:rPr>
                <w:rFonts w:asciiTheme="minorHAnsi" w:hAnsiTheme="minorHAnsi" w:cstheme="minorHAnsi"/>
                <w:b/>
                <w:color w:val="000000"/>
                <w:sz w:val="14"/>
                <w:szCs w:val="14"/>
                <w:lang w:val="en-US" w:eastAsia="en-US"/>
              </w:rPr>
              <w:t>47,425</w:t>
            </w:r>
          </w:p>
        </w:tc>
        <w:tc>
          <w:tcPr>
            <w:tcW w:w="1021" w:type="dxa"/>
            <w:tcBorders>
              <w:top w:val="nil"/>
              <w:left w:val="nil"/>
              <w:bottom w:val="nil"/>
              <w:right w:val="nil"/>
            </w:tcBorders>
            <w:shd w:val="clear" w:color="auto" w:fill="auto"/>
            <w:noWrap/>
            <w:hideMark/>
          </w:tcPr>
          <w:p w14:paraId="0744477C" w14:textId="08E35841" w:rsidR="00C11EFE" w:rsidRPr="00581D11"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22,764</w:t>
            </w:r>
          </w:p>
        </w:tc>
        <w:tc>
          <w:tcPr>
            <w:tcW w:w="882" w:type="dxa"/>
            <w:tcBorders>
              <w:top w:val="nil"/>
              <w:left w:val="nil"/>
              <w:bottom w:val="nil"/>
              <w:right w:val="nil"/>
            </w:tcBorders>
            <w:shd w:val="clear" w:color="auto" w:fill="auto"/>
            <w:noWrap/>
            <w:hideMark/>
          </w:tcPr>
          <w:p w14:paraId="61771518"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49,262</w:t>
            </w:r>
          </w:p>
        </w:tc>
        <w:tc>
          <w:tcPr>
            <w:tcW w:w="873" w:type="dxa"/>
            <w:tcBorders>
              <w:top w:val="nil"/>
              <w:left w:val="nil"/>
              <w:bottom w:val="nil"/>
              <w:right w:val="nil"/>
            </w:tcBorders>
            <w:shd w:val="clear" w:color="auto" w:fill="auto"/>
            <w:noWrap/>
            <w:hideMark/>
          </w:tcPr>
          <w:p w14:paraId="30712AA3"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1.0</w:t>
            </w:r>
          </w:p>
        </w:tc>
        <w:tc>
          <w:tcPr>
            <w:tcW w:w="672" w:type="dxa"/>
            <w:tcBorders>
              <w:top w:val="nil"/>
              <w:left w:val="nil"/>
              <w:bottom w:val="nil"/>
              <w:right w:val="nil"/>
            </w:tcBorders>
            <w:shd w:val="clear" w:color="auto" w:fill="auto"/>
            <w:noWrap/>
            <w:hideMark/>
          </w:tcPr>
          <w:p w14:paraId="007D7ECB"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0.002</w:t>
            </w:r>
          </w:p>
        </w:tc>
        <w:tc>
          <w:tcPr>
            <w:tcW w:w="575" w:type="dxa"/>
            <w:tcBorders>
              <w:top w:val="nil"/>
              <w:left w:val="nil"/>
              <w:bottom w:val="nil"/>
              <w:right w:val="nil"/>
            </w:tcBorders>
            <w:shd w:val="clear" w:color="auto" w:fill="auto"/>
            <w:noWrap/>
            <w:hideMark/>
          </w:tcPr>
          <w:p w14:paraId="6975E179"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1.6%</w:t>
            </w:r>
          </w:p>
        </w:tc>
        <w:tc>
          <w:tcPr>
            <w:tcW w:w="575" w:type="dxa"/>
            <w:tcBorders>
              <w:top w:val="nil"/>
              <w:left w:val="nil"/>
              <w:bottom w:val="nil"/>
              <w:right w:val="nil"/>
            </w:tcBorders>
            <w:shd w:val="clear" w:color="auto" w:fill="auto"/>
            <w:noWrap/>
            <w:hideMark/>
          </w:tcPr>
          <w:p w14:paraId="6A57D3D8"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0.7%</w:t>
            </w:r>
          </w:p>
        </w:tc>
        <w:tc>
          <w:tcPr>
            <w:tcW w:w="835" w:type="dxa"/>
            <w:tcBorders>
              <w:top w:val="nil"/>
              <w:left w:val="nil"/>
              <w:bottom w:val="nil"/>
              <w:right w:val="nil"/>
            </w:tcBorders>
            <w:shd w:val="clear" w:color="auto" w:fill="auto"/>
            <w:noWrap/>
            <w:hideMark/>
          </w:tcPr>
          <w:p w14:paraId="4666F88F"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50,000 </w:t>
            </w:r>
          </w:p>
        </w:tc>
        <w:tc>
          <w:tcPr>
            <w:tcW w:w="660" w:type="dxa"/>
            <w:tcBorders>
              <w:top w:val="nil"/>
              <w:left w:val="nil"/>
              <w:bottom w:val="nil"/>
              <w:right w:val="nil"/>
            </w:tcBorders>
            <w:shd w:val="clear" w:color="auto" w:fill="auto"/>
            <w:noWrap/>
            <w:hideMark/>
          </w:tcPr>
          <w:p w14:paraId="775A5FC9"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10 </w:t>
            </w:r>
          </w:p>
        </w:tc>
        <w:tc>
          <w:tcPr>
            <w:tcW w:w="1182" w:type="dxa"/>
            <w:tcBorders>
              <w:top w:val="nil"/>
              <w:left w:val="nil"/>
              <w:bottom w:val="nil"/>
              <w:right w:val="nil"/>
            </w:tcBorders>
            <w:shd w:val="clear" w:color="auto" w:fill="auto"/>
            <w:noWrap/>
            <w:hideMark/>
          </w:tcPr>
          <w:p w14:paraId="61199A0E"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0.46 </w:t>
            </w:r>
          </w:p>
        </w:tc>
      </w:tr>
      <w:tr w:rsidR="00C11EFE" w:rsidRPr="00231641" w14:paraId="1622CC46" w14:textId="77777777" w:rsidTr="00C11EFE">
        <w:trPr>
          <w:trHeight w:hRule="exact" w:val="284"/>
        </w:trPr>
        <w:tc>
          <w:tcPr>
            <w:tcW w:w="701" w:type="dxa"/>
            <w:tcBorders>
              <w:top w:val="nil"/>
              <w:left w:val="nil"/>
              <w:bottom w:val="nil"/>
              <w:right w:val="nil"/>
            </w:tcBorders>
            <w:shd w:val="clear" w:color="auto" w:fill="auto"/>
            <w:noWrap/>
            <w:hideMark/>
          </w:tcPr>
          <w:p w14:paraId="314AAA4A"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Yes</w:t>
            </w:r>
          </w:p>
        </w:tc>
        <w:tc>
          <w:tcPr>
            <w:tcW w:w="701" w:type="dxa"/>
            <w:tcBorders>
              <w:top w:val="nil"/>
              <w:left w:val="nil"/>
              <w:bottom w:val="nil"/>
              <w:right w:val="nil"/>
            </w:tcBorders>
            <w:shd w:val="clear" w:color="auto" w:fill="auto"/>
            <w:noWrap/>
            <w:hideMark/>
          </w:tcPr>
          <w:p w14:paraId="18739C65"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11</w:t>
            </w:r>
          </w:p>
        </w:tc>
        <w:tc>
          <w:tcPr>
            <w:tcW w:w="582" w:type="dxa"/>
            <w:tcBorders>
              <w:top w:val="nil"/>
              <w:left w:val="nil"/>
              <w:bottom w:val="nil"/>
              <w:right w:val="nil"/>
            </w:tcBorders>
            <w:shd w:val="clear" w:color="auto" w:fill="auto"/>
            <w:noWrap/>
            <w:hideMark/>
          </w:tcPr>
          <w:p w14:paraId="26439B6B" w14:textId="7777777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E63B</w:t>
            </w:r>
          </w:p>
        </w:tc>
        <w:tc>
          <w:tcPr>
            <w:tcW w:w="3977" w:type="dxa"/>
            <w:tcBorders>
              <w:top w:val="nil"/>
              <w:left w:val="nil"/>
              <w:bottom w:val="nil"/>
              <w:right w:val="nil"/>
            </w:tcBorders>
            <w:shd w:val="clear" w:color="auto" w:fill="auto"/>
            <w:noWrap/>
            <w:hideMark/>
          </w:tcPr>
          <w:p w14:paraId="0AAE31B7" w14:textId="4E98486D"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Sleep </w:t>
            </w:r>
            <w:r w:rsidRPr="00231641">
              <w:rPr>
                <w:rFonts w:asciiTheme="minorHAnsi" w:hAnsiTheme="minorHAnsi" w:cstheme="minorHAnsi"/>
                <w:color w:val="000000"/>
                <w:sz w:val="14"/>
                <w:szCs w:val="14"/>
                <w:lang w:val="en-US" w:eastAsia="en-US"/>
              </w:rPr>
              <w:t>Apnea</w:t>
            </w:r>
            <w:r w:rsidRPr="00581D11">
              <w:rPr>
                <w:rFonts w:asciiTheme="minorHAnsi" w:hAnsiTheme="minorHAnsi" w:cstheme="minorHAnsi"/>
                <w:color w:val="000000"/>
                <w:sz w:val="14"/>
                <w:szCs w:val="14"/>
                <w:lang w:val="en-US" w:eastAsia="en-US"/>
              </w:rPr>
              <w:t>, Minor Complexity</w:t>
            </w:r>
          </w:p>
        </w:tc>
        <w:tc>
          <w:tcPr>
            <w:tcW w:w="791" w:type="dxa"/>
            <w:tcBorders>
              <w:top w:val="nil"/>
              <w:left w:val="nil"/>
              <w:bottom w:val="nil"/>
              <w:right w:val="nil"/>
            </w:tcBorders>
            <w:shd w:val="clear" w:color="auto" w:fill="auto"/>
            <w:noWrap/>
            <w:hideMark/>
          </w:tcPr>
          <w:p w14:paraId="57B5E4CA"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0.18</w:t>
            </w:r>
          </w:p>
        </w:tc>
        <w:tc>
          <w:tcPr>
            <w:tcW w:w="839" w:type="dxa"/>
            <w:tcBorders>
              <w:top w:val="nil"/>
              <w:left w:val="nil"/>
              <w:bottom w:val="nil"/>
              <w:right w:val="nil"/>
            </w:tcBorders>
            <w:shd w:val="clear" w:color="auto" w:fill="auto"/>
            <w:noWrap/>
            <w:hideMark/>
          </w:tcPr>
          <w:p w14:paraId="7816F2C5" w14:textId="77777777" w:rsidR="00C11EFE" w:rsidRPr="00581D11" w:rsidRDefault="00C11EFE" w:rsidP="00C11EFE">
            <w:pPr>
              <w:jc w:val="right"/>
              <w:rPr>
                <w:rFonts w:asciiTheme="minorHAnsi" w:hAnsiTheme="minorHAnsi" w:cstheme="minorHAnsi"/>
                <w:b/>
                <w:color w:val="000000"/>
                <w:sz w:val="14"/>
                <w:szCs w:val="14"/>
                <w:lang w:val="en-US" w:eastAsia="en-US"/>
              </w:rPr>
            </w:pPr>
            <w:r w:rsidRPr="00581D11">
              <w:rPr>
                <w:rFonts w:asciiTheme="minorHAnsi" w:hAnsiTheme="minorHAnsi" w:cstheme="minorHAnsi"/>
                <w:b/>
                <w:color w:val="000000"/>
                <w:sz w:val="14"/>
                <w:szCs w:val="14"/>
                <w:lang w:val="en-US" w:eastAsia="en-US"/>
              </w:rPr>
              <w:t>44,050</w:t>
            </w:r>
          </w:p>
        </w:tc>
        <w:tc>
          <w:tcPr>
            <w:tcW w:w="1021" w:type="dxa"/>
            <w:tcBorders>
              <w:top w:val="nil"/>
              <w:left w:val="nil"/>
              <w:bottom w:val="nil"/>
              <w:right w:val="nil"/>
            </w:tcBorders>
            <w:shd w:val="clear" w:color="auto" w:fill="auto"/>
            <w:noWrap/>
            <w:hideMark/>
          </w:tcPr>
          <w:p w14:paraId="236C6428" w14:textId="14BD705C" w:rsidR="00C11EFE" w:rsidRPr="00581D11"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7,929</w:t>
            </w:r>
          </w:p>
        </w:tc>
        <w:tc>
          <w:tcPr>
            <w:tcW w:w="882" w:type="dxa"/>
            <w:tcBorders>
              <w:top w:val="nil"/>
              <w:left w:val="nil"/>
              <w:bottom w:val="nil"/>
              <w:right w:val="nil"/>
            </w:tcBorders>
            <w:shd w:val="clear" w:color="auto" w:fill="auto"/>
            <w:noWrap/>
            <w:hideMark/>
          </w:tcPr>
          <w:p w14:paraId="104B1E49"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44,125</w:t>
            </w:r>
          </w:p>
        </w:tc>
        <w:tc>
          <w:tcPr>
            <w:tcW w:w="873" w:type="dxa"/>
            <w:tcBorders>
              <w:top w:val="nil"/>
              <w:left w:val="nil"/>
              <w:bottom w:val="nil"/>
              <w:right w:val="nil"/>
            </w:tcBorders>
            <w:shd w:val="clear" w:color="auto" w:fill="auto"/>
            <w:noWrap/>
            <w:hideMark/>
          </w:tcPr>
          <w:p w14:paraId="2CD5A280"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1.0</w:t>
            </w:r>
          </w:p>
        </w:tc>
        <w:tc>
          <w:tcPr>
            <w:tcW w:w="672" w:type="dxa"/>
            <w:tcBorders>
              <w:top w:val="nil"/>
              <w:left w:val="nil"/>
              <w:bottom w:val="nil"/>
              <w:right w:val="nil"/>
            </w:tcBorders>
            <w:shd w:val="clear" w:color="auto" w:fill="auto"/>
            <w:noWrap/>
            <w:hideMark/>
          </w:tcPr>
          <w:p w14:paraId="1AC7C306"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0.001</w:t>
            </w:r>
          </w:p>
        </w:tc>
        <w:tc>
          <w:tcPr>
            <w:tcW w:w="575" w:type="dxa"/>
            <w:tcBorders>
              <w:top w:val="nil"/>
              <w:left w:val="nil"/>
              <w:bottom w:val="nil"/>
              <w:right w:val="nil"/>
            </w:tcBorders>
            <w:shd w:val="clear" w:color="auto" w:fill="auto"/>
            <w:noWrap/>
            <w:hideMark/>
          </w:tcPr>
          <w:p w14:paraId="7C916B55"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1.4%</w:t>
            </w:r>
          </w:p>
        </w:tc>
        <w:tc>
          <w:tcPr>
            <w:tcW w:w="575" w:type="dxa"/>
            <w:tcBorders>
              <w:top w:val="nil"/>
              <w:left w:val="nil"/>
              <w:bottom w:val="nil"/>
              <w:right w:val="nil"/>
            </w:tcBorders>
            <w:shd w:val="clear" w:color="auto" w:fill="auto"/>
            <w:noWrap/>
            <w:hideMark/>
          </w:tcPr>
          <w:p w14:paraId="71CF97E2"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0.3%</w:t>
            </w:r>
          </w:p>
        </w:tc>
        <w:tc>
          <w:tcPr>
            <w:tcW w:w="835" w:type="dxa"/>
            <w:tcBorders>
              <w:top w:val="nil"/>
              <w:left w:val="nil"/>
              <w:bottom w:val="nil"/>
              <w:right w:val="nil"/>
            </w:tcBorders>
            <w:shd w:val="clear" w:color="auto" w:fill="auto"/>
            <w:noWrap/>
            <w:hideMark/>
          </w:tcPr>
          <w:p w14:paraId="4402AA9E"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42,072 </w:t>
            </w:r>
          </w:p>
        </w:tc>
        <w:tc>
          <w:tcPr>
            <w:tcW w:w="660" w:type="dxa"/>
            <w:tcBorders>
              <w:top w:val="nil"/>
              <w:left w:val="nil"/>
              <w:bottom w:val="nil"/>
              <w:right w:val="nil"/>
            </w:tcBorders>
            <w:shd w:val="clear" w:color="auto" w:fill="auto"/>
            <w:noWrap/>
            <w:hideMark/>
          </w:tcPr>
          <w:p w14:paraId="3558506E"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11 </w:t>
            </w:r>
          </w:p>
        </w:tc>
        <w:tc>
          <w:tcPr>
            <w:tcW w:w="1182" w:type="dxa"/>
            <w:tcBorders>
              <w:top w:val="nil"/>
              <w:left w:val="nil"/>
              <w:bottom w:val="nil"/>
              <w:right w:val="nil"/>
            </w:tcBorders>
            <w:shd w:val="clear" w:color="auto" w:fill="auto"/>
            <w:noWrap/>
            <w:hideMark/>
          </w:tcPr>
          <w:p w14:paraId="18126E6B"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0.17 </w:t>
            </w:r>
          </w:p>
        </w:tc>
      </w:tr>
      <w:tr w:rsidR="00C11EFE" w:rsidRPr="00231641" w14:paraId="70E936BC" w14:textId="77777777" w:rsidTr="00C11EFE">
        <w:trPr>
          <w:trHeight w:hRule="exact" w:val="284"/>
        </w:trPr>
        <w:tc>
          <w:tcPr>
            <w:tcW w:w="701" w:type="dxa"/>
            <w:tcBorders>
              <w:top w:val="nil"/>
              <w:left w:val="nil"/>
              <w:bottom w:val="nil"/>
              <w:right w:val="nil"/>
            </w:tcBorders>
            <w:shd w:val="clear" w:color="auto" w:fill="auto"/>
            <w:noWrap/>
            <w:hideMark/>
          </w:tcPr>
          <w:p w14:paraId="50036542"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Yes</w:t>
            </w:r>
          </w:p>
        </w:tc>
        <w:tc>
          <w:tcPr>
            <w:tcW w:w="701" w:type="dxa"/>
            <w:tcBorders>
              <w:top w:val="nil"/>
              <w:left w:val="nil"/>
              <w:bottom w:val="nil"/>
              <w:right w:val="nil"/>
            </w:tcBorders>
            <w:shd w:val="clear" w:color="auto" w:fill="auto"/>
            <w:noWrap/>
            <w:hideMark/>
          </w:tcPr>
          <w:p w14:paraId="2D5067EC"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12</w:t>
            </w:r>
          </w:p>
        </w:tc>
        <w:tc>
          <w:tcPr>
            <w:tcW w:w="582" w:type="dxa"/>
            <w:tcBorders>
              <w:top w:val="nil"/>
              <w:left w:val="nil"/>
              <w:bottom w:val="nil"/>
              <w:right w:val="nil"/>
            </w:tcBorders>
            <w:shd w:val="clear" w:color="auto" w:fill="auto"/>
            <w:noWrap/>
            <w:hideMark/>
          </w:tcPr>
          <w:p w14:paraId="00AFA580" w14:textId="7777777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F42B</w:t>
            </w:r>
          </w:p>
        </w:tc>
        <w:tc>
          <w:tcPr>
            <w:tcW w:w="3977" w:type="dxa"/>
            <w:tcBorders>
              <w:top w:val="nil"/>
              <w:left w:val="nil"/>
              <w:bottom w:val="nil"/>
              <w:right w:val="nil"/>
            </w:tcBorders>
            <w:shd w:val="clear" w:color="auto" w:fill="auto"/>
            <w:noWrap/>
            <w:hideMark/>
          </w:tcPr>
          <w:p w14:paraId="6D6CCE07" w14:textId="7777777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Circulatory </w:t>
            </w:r>
            <w:proofErr w:type="spellStart"/>
            <w:r w:rsidRPr="00581D11">
              <w:rPr>
                <w:rFonts w:asciiTheme="minorHAnsi" w:hAnsiTheme="minorHAnsi" w:cstheme="minorHAnsi"/>
                <w:color w:val="000000"/>
                <w:sz w:val="14"/>
                <w:szCs w:val="14"/>
                <w:lang w:val="en-US" w:eastAsia="en-US"/>
              </w:rPr>
              <w:t>Dsrds</w:t>
            </w:r>
            <w:proofErr w:type="spellEnd"/>
            <w:r w:rsidRPr="00581D11">
              <w:rPr>
                <w:rFonts w:asciiTheme="minorHAnsi" w:hAnsiTheme="minorHAnsi" w:cstheme="minorHAnsi"/>
                <w:color w:val="000000"/>
                <w:sz w:val="14"/>
                <w:szCs w:val="14"/>
                <w:lang w:val="en-US" w:eastAsia="en-US"/>
              </w:rPr>
              <w:t xml:space="preserve">, Not </w:t>
            </w:r>
            <w:proofErr w:type="spellStart"/>
            <w:r w:rsidRPr="00581D11">
              <w:rPr>
                <w:rFonts w:asciiTheme="minorHAnsi" w:hAnsiTheme="minorHAnsi" w:cstheme="minorHAnsi"/>
                <w:color w:val="000000"/>
                <w:sz w:val="14"/>
                <w:szCs w:val="14"/>
                <w:lang w:val="en-US" w:eastAsia="en-US"/>
              </w:rPr>
              <w:t>Adm</w:t>
            </w:r>
            <w:proofErr w:type="spellEnd"/>
            <w:r w:rsidRPr="00581D11">
              <w:rPr>
                <w:rFonts w:asciiTheme="minorHAnsi" w:hAnsiTheme="minorHAnsi" w:cstheme="minorHAnsi"/>
                <w:color w:val="000000"/>
                <w:sz w:val="14"/>
                <w:szCs w:val="14"/>
                <w:lang w:val="en-US" w:eastAsia="en-US"/>
              </w:rPr>
              <w:t xml:space="preserve"> for AMI W Invasive Cardiac </w:t>
            </w:r>
            <w:proofErr w:type="spellStart"/>
            <w:r w:rsidRPr="00581D11">
              <w:rPr>
                <w:rFonts w:asciiTheme="minorHAnsi" w:hAnsiTheme="minorHAnsi" w:cstheme="minorHAnsi"/>
                <w:color w:val="000000"/>
                <w:sz w:val="14"/>
                <w:szCs w:val="14"/>
                <w:lang w:val="en-US" w:eastAsia="en-US"/>
              </w:rPr>
              <w:t>Inves</w:t>
            </w:r>
            <w:proofErr w:type="spellEnd"/>
            <w:r w:rsidRPr="00581D11">
              <w:rPr>
                <w:rFonts w:asciiTheme="minorHAnsi" w:hAnsiTheme="minorHAnsi" w:cstheme="minorHAnsi"/>
                <w:color w:val="000000"/>
                <w:sz w:val="14"/>
                <w:szCs w:val="14"/>
                <w:lang w:val="en-US" w:eastAsia="en-US"/>
              </w:rPr>
              <w:t xml:space="preserve"> Proc, Minor Comp</w:t>
            </w:r>
          </w:p>
        </w:tc>
        <w:tc>
          <w:tcPr>
            <w:tcW w:w="791" w:type="dxa"/>
            <w:tcBorders>
              <w:top w:val="nil"/>
              <w:left w:val="nil"/>
              <w:bottom w:val="nil"/>
              <w:right w:val="nil"/>
            </w:tcBorders>
            <w:shd w:val="clear" w:color="auto" w:fill="auto"/>
            <w:noWrap/>
            <w:hideMark/>
          </w:tcPr>
          <w:p w14:paraId="0228DB08"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1.05</w:t>
            </w:r>
          </w:p>
        </w:tc>
        <w:tc>
          <w:tcPr>
            <w:tcW w:w="839" w:type="dxa"/>
            <w:tcBorders>
              <w:top w:val="nil"/>
              <w:left w:val="nil"/>
              <w:bottom w:val="nil"/>
              <w:right w:val="nil"/>
            </w:tcBorders>
            <w:shd w:val="clear" w:color="auto" w:fill="auto"/>
            <w:noWrap/>
            <w:hideMark/>
          </w:tcPr>
          <w:p w14:paraId="746783EA" w14:textId="77777777" w:rsidR="00C11EFE" w:rsidRPr="00581D11" w:rsidRDefault="00C11EFE" w:rsidP="00C11EFE">
            <w:pPr>
              <w:jc w:val="right"/>
              <w:rPr>
                <w:rFonts w:asciiTheme="minorHAnsi" w:hAnsiTheme="minorHAnsi" w:cstheme="minorHAnsi"/>
                <w:b/>
                <w:color w:val="000000"/>
                <w:sz w:val="14"/>
                <w:szCs w:val="14"/>
                <w:lang w:val="en-US" w:eastAsia="en-US"/>
              </w:rPr>
            </w:pPr>
            <w:r w:rsidRPr="00581D11">
              <w:rPr>
                <w:rFonts w:asciiTheme="minorHAnsi" w:hAnsiTheme="minorHAnsi" w:cstheme="minorHAnsi"/>
                <w:b/>
                <w:color w:val="000000"/>
                <w:sz w:val="14"/>
                <w:szCs w:val="14"/>
                <w:lang w:val="en-US" w:eastAsia="en-US"/>
              </w:rPr>
              <w:t>42,020</w:t>
            </w:r>
          </w:p>
        </w:tc>
        <w:tc>
          <w:tcPr>
            <w:tcW w:w="1021" w:type="dxa"/>
            <w:tcBorders>
              <w:top w:val="nil"/>
              <w:left w:val="nil"/>
              <w:bottom w:val="nil"/>
              <w:right w:val="nil"/>
            </w:tcBorders>
            <w:shd w:val="clear" w:color="auto" w:fill="auto"/>
            <w:noWrap/>
            <w:hideMark/>
          </w:tcPr>
          <w:p w14:paraId="423CA930" w14:textId="428C3C7C" w:rsidR="00C11EFE" w:rsidRPr="00581D11"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44,121</w:t>
            </w:r>
          </w:p>
        </w:tc>
        <w:tc>
          <w:tcPr>
            <w:tcW w:w="882" w:type="dxa"/>
            <w:tcBorders>
              <w:top w:val="nil"/>
              <w:left w:val="nil"/>
              <w:bottom w:val="nil"/>
              <w:right w:val="nil"/>
            </w:tcBorders>
            <w:shd w:val="clear" w:color="auto" w:fill="auto"/>
            <w:noWrap/>
            <w:hideMark/>
          </w:tcPr>
          <w:p w14:paraId="2C3366B0"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58,117</w:t>
            </w:r>
          </w:p>
        </w:tc>
        <w:tc>
          <w:tcPr>
            <w:tcW w:w="873" w:type="dxa"/>
            <w:tcBorders>
              <w:top w:val="nil"/>
              <w:left w:val="nil"/>
              <w:bottom w:val="nil"/>
              <w:right w:val="nil"/>
            </w:tcBorders>
            <w:shd w:val="clear" w:color="auto" w:fill="auto"/>
            <w:noWrap/>
            <w:hideMark/>
          </w:tcPr>
          <w:p w14:paraId="4AF73605"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1.4</w:t>
            </w:r>
          </w:p>
        </w:tc>
        <w:tc>
          <w:tcPr>
            <w:tcW w:w="672" w:type="dxa"/>
            <w:tcBorders>
              <w:top w:val="nil"/>
              <w:left w:val="nil"/>
              <w:bottom w:val="nil"/>
              <w:right w:val="nil"/>
            </w:tcBorders>
            <w:shd w:val="clear" w:color="auto" w:fill="auto"/>
            <w:noWrap/>
            <w:hideMark/>
          </w:tcPr>
          <w:p w14:paraId="08E02D9E"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0.006</w:t>
            </w:r>
          </w:p>
        </w:tc>
        <w:tc>
          <w:tcPr>
            <w:tcW w:w="575" w:type="dxa"/>
            <w:tcBorders>
              <w:top w:val="nil"/>
              <w:left w:val="nil"/>
              <w:bottom w:val="nil"/>
              <w:right w:val="nil"/>
            </w:tcBorders>
            <w:shd w:val="clear" w:color="auto" w:fill="auto"/>
            <w:noWrap/>
            <w:hideMark/>
          </w:tcPr>
          <w:p w14:paraId="1B42CB09"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1.4%</w:t>
            </w:r>
          </w:p>
        </w:tc>
        <w:tc>
          <w:tcPr>
            <w:tcW w:w="575" w:type="dxa"/>
            <w:tcBorders>
              <w:top w:val="nil"/>
              <w:left w:val="nil"/>
              <w:bottom w:val="nil"/>
              <w:right w:val="nil"/>
            </w:tcBorders>
            <w:shd w:val="clear" w:color="auto" w:fill="auto"/>
            <w:noWrap/>
            <w:hideMark/>
          </w:tcPr>
          <w:p w14:paraId="6C73DA6E"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1.5%</w:t>
            </w:r>
          </w:p>
        </w:tc>
        <w:tc>
          <w:tcPr>
            <w:tcW w:w="835" w:type="dxa"/>
            <w:tcBorders>
              <w:top w:val="nil"/>
              <w:left w:val="nil"/>
              <w:bottom w:val="nil"/>
              <w:right w:val="nil"/>
            </w:tcBorders>
            <w:shd w:val="clear" w:color="auto" w:fill="auto"/>
            <w:noWrap/>
            <w:hideMark/>
          </w:tcPr>
          <w:p w14:paraId="338F96B6"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41,023 </w:t>
            </w:r>
          </w:p>
        </w:tc>
        <w:tc>
          <w:tcPr>
            <w:tcW w:w="660" w:type="dxa"/>
            <w:tcBorders>
              <w:top w:val="nil"/>
              <w:left w:val="nil"/>
              <w:bottom w:val="nil"/>
              <w:right w:val="nil"/>
            </w:tcBorders>
            <w:shd w:val="clear" w:color="auto" w:fill="auto"/>
            <w:noWrap/>
            <w:hideMark/>
          </w:tcPr>
          <w:p w14:paraId="26959B8F"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12 </w:t>
            </w:r>
          </w:p>
        </w:tc>
        <w:tc>
          <w:tcPr>
            <w:tcW w:w="1182" w:type="dxa"/>
            <w:tcBorders>
              <w:top w:val="nil"/>
              <w:left w:val="nil"/>
              <w:bottom w:val="nil"/>
              <w:right w:val="nil"/>
            </w:tcBorders>
            <w:shd w:val="clear" w:color="auto" w:fill="auto"/>
            <w:noWrap/>
            <w:hideMark/>
          </w:tcPr>
          <w:p w14:paraId="547D95D0"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0.86 </w:t>
            </w:r>
          </w:p>
        </w:tc>
      </w:tr>
      <w:tr w:rsidR="00C11EFE" w:rsidRPr="00231641" w14:paraId="7B33B36E" w14:textId="77777777" w:rsidTr="00C11EFE">
        <w:trPr>
          <w:trHeight w:hRule="exact" w:val="284"/>
        </w:trPr>
        <w:tc>
          <w:tcPr>
            <w:tcW w:w="701" w:type="dxa"/>
            <w:tcBorders>
              <w:top w:val="nil"/>
              <w:left w:val="nil"/>
              <w:bottom w:val="nil"/>
              <w:right w:val="nil"/>
            </w:tcBorders>
            <w:shd w:val="clear" w:color="auto" w:fill="auto"/>
            <w:noWrap/>
            <w:hideMark/>
          </w:tcPr>
          <w:p w14:paraId="3DE5B2E6"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Yes</w:t>
            </w:r>
          </w:p>
        </w:tc>
        <w:tc>
          <w:tcPr>
            <w:tcW w:w="701" w:type="dxa"/>
            <w:tcBorders>
              <w:top w:val="nil"/>
              <w:left w:val="nil"/>
              <w:bottom w:val="nil"/>
              <w:right w:val="nil"/>
            </w:tcBorders>
            <w:shd w:val="clear" w:color="auto" w:fill="auto"/>
            <w:noWrap/>
            <w:hideMark/>
          </w:tcPr>
          <w:p w14:paraId="300CEAE9"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13</w:t>
            </w:r>
          </w:p>
        </w:tc>
        <w:tc>
          <w:tcPr>
            <w:tcW w:w="582" w:type="dxa"/>
            <w:tcBorders>
              <w:top w:val="nil"/>
              <w:left w:val="nil"/>
              <w:bottom w:val="nil"/>
              <w:right w:val="nil"/>
            </w:tcBorders>
            <w:shd w:val="clear" w:color="auto" w:fill="auto"/>
            <w:noWrap/>
            <w:hideMark/>
          </w:tcPr>
          <w:p w14:paraId="7A9CBFD0" w14:textId="7777777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L41Z</w:t>
            </w:r>
          </w:p>
        </w:tc>
        <w:tc>
          <w:tcPr>
            <w:tcW w:w="3977" w:type="dxa"/>
            <w:tcBorders>
              <w:top w:val="nil"/>
              <w:left w:val="nil"/>
              <w:bottom w:val="nil"/>
              <w:right w:val="nil"/>
            </w:tcBorders>
            <w:shd w:val="clear" w:color="auto" w:fill="auto"/>
            <w:noWrap/>
            <w:hideMark/>
          </w:tcPr>
          <w:p w14:paraId="6A77803A" w14:textId="7777777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Cystourethroscopy for Urinary Disorder, </w:t>
            </w:r>
            <w:proofErr w:type="spellStart"/>
            <w:r w:rsidRPr="00581D11">
              <w:rPr>
                <w:rFonts w:asciiTheme="minorHAnsi" w:hAnsiTheme="minorHAnsi" w:cstheme="minorHAnsi"/>
                <w:color w:val="000000"/>
                <w:sz w:val="14"/>
                <w:szCs w:val="14"/>
                <w:lang w:val="en-US" w:eastAsia="en-US"/>
              </w:rPr>
              <w:t>Sameday</w:t>
            </w:r>
            <w:proofErr w:type="spellEnd"/>
          </w:p>
        </w:tc>
        <w:tc>
          <w:tcPr>
            <w:tcW w:w="791" w:type="dxa"/>
            <w:tcBorders>
              <w:top w:val="nil"/>
              <w:left w:val="nil"/>
              <w:bottom w:val="nil"/>
              <w:right w:val="nil"/>
            </w:tcBorders>
            <w:shd w:val="clear" w:color="auto" w:fill="auto"/>
            <w:noWrap/>
            <w:hideMark/>
          </w:tcPr>
          <w:p w14:paraId="057F200B"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0.20</w:t>
            </w:r>
          </w:p>
        </w:tc>
        <w:tc>
          <w:tcPr>
            <w:tcW w:w="839" w:type="dxa"/>
            <w:tcBorders>
              <w:top w:val="nil"/>
              <w:left w:val="nil"/>
              <w:bottom w:val="nil"/>
              <w:right w:val="nil"/>
            </w:tcBorders>
            <w:shd w:val="clear" w:color="auto" w:fill="auto"/>
            <w:noWrap/>
            <w:hideMark/>
          </w:tcPr>
          <w:p w14:paraId="78FCF9D8" w14:textId="77777777" w:rsidR="00C11EFE" w:rsidRPr="00581D11" w:rsidRDefault="00C11EFE" w:rsidP="00C11EFE">
            <w:pPr>
              <w:jc w:val="right"/>
              <w:rPr>
                <w:rFonts w:asciiTheme="minorHAnsi" w:hAnsiTheme="minorHAnsi" w:cstheme="minorHAnsi"/>
                <w:b/>
                <w:color w:val="000000"/>
                <w:sz w:val="14"/>
                <w:szCs w:val="14"/>
                <w:lang w:val="en-US" w:eastAsia="en-US"/>
              </w:rPr>
            </w:pPr>
            <w:r w:rsidRPr="00581D11">
              <w:rPr>
                <w:rFonts w:asciiTheme="minorHAnsi" w:hAnsiTheme="minorHAnsi" w:cstheme="minorHAnsi"/>
                <w:b/>
                <w:color w:val="000000"/>
                <w:sz w:val="14"/>
                <w:szCs w:val="14"/>
                <w:lang w:val="en-US" w:eastAsia="en-US"/>
              </w:rPr>
              <w:t>40,511</w:t>
            </w:r>
          </w:p>
        </w:tc>
        <w:tc>
          <w:tcPr>
            <w:tcW w:w="1021" w:type="dxa"/>
            <w:tcBorders>
              <w:top w:val="nil"/>
              <w:left w:val="nil"/>
              <w:bottom w:val="nil"/>
              <w:right w:val="nil"/>
            </w:tcBorders>
            <w:shd w:val="clear" w:color="auto" w:fill="auto"/>
            <w:noWrap/>
            <w:hideMark/>
          </w:tcPr>
          <w:p w14:paraId="1C09C7FC" w14:textId="18F92A54" w:rsidR="00C11EFE" w:rsidRPr="00581D11"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8,102</w:t>
            </w:r>
          </w:p>
        </w:tc>
        <w:tc>
          <w:tcPr>
            <w:tcW w:w="882" w:type="dxa"/>
            <w:tcBorders>
              <w:top w:val="nil"/>
              <w:left w:val="nil"/>
              <w:bottom w:val="nil"/>
              <w:right w:val="nil"/>
            </w:tcBorders>
            <w:shd w:val="clear" w:color="auto" w:fill="auto"/>
            <w:noWrap/>
            <w:hideMark/>
          </w:tcPr>
          <w:p w14:paraId="3E49D368"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40,511</w:t>
            </w:r>
          </w:p>
        </w:tc>
        <w:tc>
          <w:tcPr>
            <w:tcW w:w="873" w:type="dxa"/>
            <w:tcBorders>
              <w:top w:val="nil"/>
              <w:left w:val="nil"/>
              <w:bottom w:val="nil"/>
              <w:right w:val="nil"/>
            </w:tcBorders>
            <w:shd w:val="clear" w:color="auto" w:fill="auto"/>
            <w:noWrap/>
            <w:hideMark/>
          </w:tcPr>
          <w:p w14:paraId="314013D9"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1.0</w:t>
            </w:r>
          </w:p>
        </w:tc>
        <w:tc>
          <w:tcPr>
            <w:tcW w:w="672" w:type="dxa"/>
            <w:tcBorders>
              <w:top w:val="nil"/>
              <w:left w:val="nil"/>
              <w:bottom w:val="nil"/>
              <w:right w:val="nil"/>
            </w:tcBorders>
            <w:shd w:val="clear" w:color="auto" w:fill="auto"/>
            <w:noWrap/>
            <w:hideMark/>
          </w:tcPr>
          <w:p w14:paraId="02464839"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0.001</w:t>
            </w:r>
          </w:p>
        </w:tc>
        <w:tc>
          <w:tcPr>
            <w:tcW w:w="575" w:type="dxa"/>
            <w:tcBorders>
              <w:top w:val="nil"/>
              <w:left w:val="nil"/>
              <w:bottom w:val="nil"/>
              <w:right w:val="nil"/>
            </w:tcBorders>
            <w:shd w:val="clear" w:color="auto" w:fill="auto"/>
            <w:noWrap/>
            <w:hideMark/>
          </w:tcPr>
          <w:p w14:paraId="5D4D64C2"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1.3%</w:t>
            </w:r>
          </w:p>
        </w:tc>
        <w:tc>
          <w:tcPr>
            <w:tcW w:w="575" w:type="dxa"/>
            <w:tcBorders>
              <w:top w:val="nil"/>
              <w:left w:val="nil"/>
              <w:bottom w:val="nil"/>
              <w:right w:val="nil"/>
            </w:tcBorders>
            <w:shd w:val="clear" w:color="auto" w:fill="auto"/>
            <w:noWrap/>
            <w:hideMark/>
          </w:tcPr>
          <w:p w14:paraId="7D1F4D34"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0.3%</w:t>
            </w:r>
          </w:p>
        </w:tc>
        <w:tc>
          <w:tcPr>
            <w:tcW w:w="835" w:type="dxa"/>
            <w:tcBorders>
              <w:top w:val="nil"/>
              <w:left w:val="nil"/>
              <w:bottom w:val="nil"/>
              <w:right w:val="nil"/>
            </w:tcBorders>
            <w:shd w:val="clear" w:color="auto" w:fill="auto"/>
            <w:noWrap/>
            <w:hideMark/>
          </w:tcPr>
          <w:p w14:paraId="34E1B5DC"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33,817 </w:t>
            </w:r>
          </w:p>
        </w:tc>
        <w:tc>
          <w:tcPr>
            <w:tcW w:w="660" w:type="dxa"/>
            <w:tcBorders>
              <w:top w:val="nil"/>
              <w:left w:val="nil"/>
              <w:bottom w:val="nil"/>
              <w:right w:val="nil"/>
            </w:tcBorders>
            <w:shd w:val="clear" w:color="auto" w:fill="auto"/>
            <w:noWrap/>
            <w:hideMark/>
          </w:tcPr>
          <w:p w14:paraId="520A7709"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15 </w:t>
            </w:r>
          </w:p>
        </w:tc>
        <w:tc>
          <w:tcPr>
            <w:tcW w:w="1182" w:type="dxa"/>
            <w:tcBorders>
              <w:top w:val="nil"/>
              <w:left w:val="nil"/>
              <w:bottom w:val="nil"/>
              <w:right w:val="nil"/>
            </w:tcBorders>
            <w:shd w:val="clear" w:color="auto" w:fill="auto"/>
            <w:noWrap/>
            <w:hideMark/>
          </w:tcPr>
          <w:p w14:paraId="7685845C"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0.20 </w:t>
            </w:r>
          </w:p>
        </w:tc>
      </w:tr>
      <w:tr w:rsidR="00C11EFE" w:rsidRPr="00231641" w14:paraId="1E992D71" w14:textId="77777777" w:rsidTr="00C11EFE">
        <w:trPr>
          <w:trHeight w:hRule="exact" w:val="284"/>
        </w:trPr>
        <w:tc>
          <w:tcPr>
            <w:tcW w:w="701" w:type="dxa"/>
            <w:tcBorders>
              <w:top w:val="nil"/>
              <w:left w:val="nil"/>
              <w:bottom w:val="nil"/>
              <w:right w:val="nil"/>
            </w:tcBorders>
            <w:shd w:val="clear" w:color="auto" w:fill="auto"/>
            <w:noWrap/>
            <w:hideMark/>
          </w:tcPr>
          <w:p w14:paraId="09778677"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Yes</w:t>
            </w:r>
          </w:p>
        </w:tc>
        <w:tc>
          <w:tcPr>
            <w:tcW w:w="701" w:type="dxa"/>
            <w:tcBorders>
              <w:top w:val="nil"/>
              <w:left w:val="nil"/>
              <w:bottom w:val="nil"/>
              <w:right w:val="nil"/>
            </w:tcBorders>
            <w:shd w:val="clear" w:color="auto" w:fill="auto"/>
            <w:noWrap/>
            <w:hideMark/>
          </w:tcPr>
          <w:p w14:paraId="496E2E50"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14</w:t>
            </w:r>
          </w:p>
        </w:tc>
        <w:tc>
          <w:tcPr>
            <w:tcW w:w="582" w:type="dxa"/>
            <w:tcBorders>
              <w:top w:val="nil"/>
              <w:left w:val="nil"/>
              <w:bottom w:val="nil"/>
              <w:right w:val="nil"/>
            </w:tcBorders>
            <w:shd w:val="clear" w:color="auto" w:fill="auto"/>
            <w:noWrap/>
            <w:hideMark/>
          </w:tcPr>
          <w:p w14:paraId="22F39DEA" w14:textId="7777777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G10B</w:t>
            </w:r>
          </w:p>
        </w:tc>
        <w:tc>
          <w:tcPr>
            <w:tcW w:w="3977" w:type="dxa"/>
            <w:tcBorders>
              <w:top w:val="nil"/>
              <w:left w:val="nil"/>
              <w:bottom w:val="nil"/>
              <w:right w:val="nil"/>
            </w:tcBorders>
            <w:shd w:val="clear" w:color="auto" w:fill="auto"/>
            <w:noWrap/>
            <w:hideMark/>
          </w:tcPr>
          <w:p w14:paraId="76FDCE3B" w14:textId="5C21F65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Hernia Procedures, Minor Complexity</w:t>
            </w:r>
          </w:p>
        </w:tc>
        <w:tc>
          <w:tcPr>
            <w:tcW w:w="791" w:type="dxa"/>
            <w:tcBorders>
              <w:top w:val="nil"/>
              <w:left w:val="nil"/>
              <w:bottom w:val="nil"/>
              <w:right w:val="nil"/>
            </w:tcBorders>
            <w:shd w:val="clear" w:color="auto" w:fill="auto"/>
            <w:noWrap/>
            <w:hideMark/>
          </w:tcPr>
          <w:p w14:paraId="01DD9E6E"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0.86</w:t>
            </w:r>
          </w:p>
        </w:tc>
        <w:tc>
          <w:tcPr>
            <w:tcW w:w="839" w:type="dxa"/>
            <w:tcBorders>
              <w:top w:val="nil"/>
              <w:left w:val="nil"/>
              <w:bottom w:val="nil"/>
              <w:right w:val="nil"/>
            </w:tcBorders>
            <w:shd w:val="clear" w:color="auto" w:fill="auto"/>
            <w:noWrap/>
            <w:hideMark/>
          </w:tcPr>
          <w:p w14:paraId="2E139224" w14:textId="77777777" w:rsidR="00C11EFE" w:rsidRPr="00581D11" w:rsidRDefault="00C11EFE" w:rsidP="00C11EFE">
            <w:pPr>
              <w:jc w:val="right"/>
              <w:rPr>
                <w:rFonts w:asciiTheme="minorHAnsi" w:hAnsiTheme="minorHAnsi" w:cstheme="minorHAnsi"/>
                <w:b/>
                <w:color w:val="000000"/>
                <w:sz w:val="14"/>
                <w:szCs w:val="14"/>
                <w:lang w:val="en-US" w:eastAsia="en-US"/>
              </w:rPr>
            </w:pPr>
            <w:r w:rsidRPr="00581D11">
              <w:rPr>
                <w:rFonts w:asciiTheme="minorHAnsi" w:hAnsiTheme="minorHAnsi" w:cstheme="minorHAnsi"/>
                <w:b/>
                <w:color w:val="000000"/>
                <w:sz w:val="14"/>
                <w:szCs w:val="14"/>
                <w:lang w:val="en-US" w:eastAsia="en-US"/>
              </w:rPr>
              <w:t>36,311</w:t>
            </w:r>
          </w:p>
        </w:tc>
        <w:tc>
          <w:tcPr>
            <w:tcW w:w="1021" w:type="dxa"/>
            <w:tcBorders>
              <w:top w:val="nil"/>
              <w:left w:val="nil"/>
              <w:bottom w:val="nil"/>
              <w:right w:val="nil"/>
            </w:tcBorders>
            <w:shd w:val="clear" w:color="auto" w:fill="auto"/>
            <w:noWrap/>
            <w:hideMark/>
          </w:tcPr>
          <w:p w14:paraId="3FDA410D" w14:textId="29D9A4B8" w:rsidR="00C11EFE" w:rsidRPr="00581D11"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31,227</w:t>
            </w:r>
          </w:p>
        </w:tc>
        <w:tc>
          <w:tcPr>
            <w:tcW w:w="882" w:type="dxa"/>
            <w:tcBorders>
              <w:top w:val="nil"/>
              <w:left w:val="nil"/>
              <w:bottom w:val="nil"/>
              <w:right w:val="nil"/>
            </w:tcBorders>
            <w:shd w:val="clear" w:color="auto" w:fill="auto"/>
            <w:noWrap/>
            <w:hideMark/>
          </w:tcPr>
          <w:p w14:paraId="32FE75A0"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44,514</w:t>
            </w:r>
          </w:p>
        </w:tc>
        <w:tc>
          <w:tcPr>
            <w:tcW w:w="873" w:type="dxa"/>
            <w:tcBorders>
              <w:top w:val="nil"/>
              <w:left w:val="nil"/>
              <w:bottom w:val="nil"/>
              <w:right w:val="nil"/>
            </w:tcBorders>
            <w:shd w:val="clear" w:color="auto" w:fill="auto"/>
            <w:noWrap/>
            <w:hideMark/>
          </w:tcPr>
          <w:p w14:paraId="66F35629"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1.2</w:t>
            </w:r>
          </w:p>
        </w:tc>
        <w:tc>
          <w:tcPr>
            <w:tcW w:w="672" w:type="dxa"/>
            <w:tcBorders>
              <w:top w:val="nil"/>
              <w:left w:val="nil"/>
              <w:bottom w:val="nil"/>
              <w:right w:val="nil"/>
            </w:tcBorders>
            <w:shd w:val="clear" w:color="auto" w:fill="auto"/>
            <w:noWrap/>
            <w:hideMark/>
          </w:tcPr>
          <w:p w14:paraId="203D5756"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0.003</w:t>
            </w:r>
          </w:p>
        </w:tc>
        <w:tc>
          <w:tcPr>
            <w:tcW w:w="575" w:type="dxa"/>
            <w:tcBorders>
              <w:top w:val="nil"/>
              <w:left w:val="nil"/>
              <w:bottom w:val="nil"/>
              <w:right w:val="nil"/>
            </w:tcBorders>
            <w:shd w:val="clear" w:color="auto" w:fill="auto"/>
            <w:noWrap/>
            <w:hideMark/>
          </w:tcPr>
          <w:p w14:paraId="6C4C3C0E"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1.2%</w:t>
            </w:r>
          </w:p>
        </w:tc>
        <w:tc>
          <w:tcPr>
            <w:tcW w:w="575" w:type="dxa"/>
            <w:tcBorders>
              <w:top w:val="nil"/>
              <w:left w:val="nil"/>
              <w:bottom w:val="nil"/>
              <w:right w:val="nil"/>
            </w:tcBorders>
            <w:shd w:val="clear" w:color="auto" w:fill="auto"/>
            <w:noWrap/>
            <w:hideMark/>
          </w:tcPr>
          <w:p w14:paraId="43A8DFAB"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1.0%</w:t>
            </w:r>
          </w:p>
        </w:tc>
        <w:tc>
          <w:tcPr>
            <w:tcW w:w="835" w:type="dxa"/>
            <w:tcBorders>
              <w:top w:val="nil"/>
              <w:left w:val="nil"/>
              <w:bottom w:val="nil"/>
              <w:right w:val="nil"/>
            </w:tcBorders>
            <w:shd w:val="clear" w:color="auto" w:fill="auto"/>
            <w:noWrap/>
            <w:hideMark/>
          </w:tcPr>
          <w:p w14:paraId="40998341"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34,317 </w:t>
            </w:r>
          </w:p>
        </w:tc>
        <w:tc>
          <w:tcPr>
            <w:tcW w:w="660" w:type="dxa"/>
            <w:tcBorders>
              <w:top w:val="nil"/>
              <w:left w:val="nil"/>
              <w:bottom w:val="nil"/>
              <w:right w:val="nil"/>
            </w:tcBorders>
            <w:shd w:val="clear" w:color="auto" w:fill="auto"/>
            <w:noWrap/>
            <w:hideMark/>
          </w:tcPr>
          <w:p w14:paraId="5C4D302D"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14 </w:t>
            </w:r>
          </w:p>
        </w:tc>
        <w:tc>
          <w:tcPr>
            <w:tcW w:w="1182" w:type="dxa"/>
            <w:tcBorders>
              <w:top w:val="nil"/>
              <w:left w:val="nil"/>
              <w:bottom w:val="nil"/>
              <w:right w:val="nil"/>
            </w:tcBorders>
            <w:shd w:val="clear" w:color="auto" w:fill="auto"/>
            <w:noWrap/>
            <w:hideMark/>
          </w:tcPr>
          <w:p w14:paraId="183E06D7"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0.95 </w:t>
            </w:r>
          </w:p>
        </w:tc>
      </w:tr>
      <w:tr w:rsidR="00C11EFE" w:rsidRPr="00231641" w14:paraId="3025107D" w14:textId="77777777" w:rsidTr="00C11EFE">
        <w:trPr>
          <w:trHeight w:hRule="exact" w:val="284"/>
        </w:trPr>
        <w:tc>
          <w:tcPr>
            <w:tcW w:w="701" w:type="dxa"/>
            <w:tcBorders>
              <w:top w:val="nil"/>
              <w:left w:val="nil"/>
              <w:bottom w:val="nil"/>
              <w:right w:val="nil"/>
            </w:tcBorders>
            <w:shd w:val="clear" w:color="auto" w:fill="auto"/>
            <w:noWrap/>
            <w:hideMark/>
          </w:tcPr>
          <w:p w14:paraId="7570F887"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Yes</w:t>
            </w:r>
          </w:p>
        </w:tc>
        <w:tc>
          <w:tcPr>
            <w:tcW w:w="701" w:type="dxa"/>
            <w:tcBorders>
              <w:top w:val="nil"/>
              <w:left w:val="nil"/>
              <w:bottom w:val="nil"/>
              <w:right w:val="nil"/>
            </w:tcBorders>
            <w:shd w:val="clear" w:color="auto" w:fill="auto"/>
            <w:noWrap/>
            <w:hideMark/>
          </w:tcPr>
          <w:p w14:paraId="09FB40E4"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15</w:t>
            </w:r>
          </w:p>
        </w:tc>
        <w:tc>
          <w:tcPr>
            <w:tcW w:w="582" w:type="dxa"/>
            <w:tcBorders>
              <w:top w:val="nil"/>
              <w:left w:val="nil"/>
              <w:bottom w:val="nil"/>
              <w:right w:val="nil"/>
            </w:tcBorders>
            <w:shd w:val="clear" w:color="auto" w:fill="auto"/>
            <w:noWrap/>
            <w:hideMark/>
          </w:tcPr>
          <w:p w14:paraId="06F52966" w14:textId="7777777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I16Z</w:t>
            </w:r>
          </w:p>
        </w:tc>
        <w:tc>
          <w:tcPr>
            <w:tcW w:w="3977" w:type="dxa"/>
            <w:tcBorders>
              <w:top w:val="nil"/>
              <w:left w:val="nil"/>
              <w:bottom w:val="nil"/>
              <w:right w:val="nil"/>
            </w:tcBorders>
            <w:shd w:val="clear" w:color="auto" w:fill="auto"/>
            <w:noWrap/>
            <w:hideMark/>
          </w:tcPr>
          <w:p w14:paraId="0641D4DF" w14:textId="7777777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Other Shoulder Procedures</w:t>
            </w:r>
          </w:p>
        </w:tc>
        <w:tc>
          <w:tcPr>
            <w:tcW w:w="791" w:type="dxa"/>
            <w:tcBorders>
              <w:top w:val="nil"/>
              <w:left w:val="nil"/>
              <w:bottom w:val="nil"/>
              <w:right w:val="nil"/>
            </w:tcBorders>
            <w:shd w:val="clear" w:color="auto" w:fill="auto"/>
            <w:noWrap/>
            <w:hideMark/>
          </w:tcPr>
          <w:p w14:paraId="269025F0"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1.26</w:t>
            </w:r>
          </w:p>
        </w:tc>
        <w:tc>
          <w:tcPr>
            <w:tcW w:w="839" w:type="dxa"/>
            <w:tcBorders>
              <w:top w:val="nil"/>
              <w:left w:val="nil"/>
              <w:bottom w:val="nil"/>
              <w:right w:val="nil"/>
            </w:tcBorders>
            <w:shd w:val="clear" w:color="auto" w:fill="auto"/>
            <w:noWrap/>
            <w:hideMark/>
          </w:tcPr>
          <w:p w14:paraId="030C2123" w14:textId="77777777" w:rsidR="00C11EFE" w:rsidRPr="00581D11" w:rsidRDefault="00C11EFE" w:rsidP="00C11EFE">
            <w:pPr>
              <w:jc w:val="right"/>
              <w:rPr>
                <w:rFonts w:asciiTheme="minorHAnsi" w:hAnsiTheme="minorHAnsi" w:cstheme="minorHAnsi"/>
                <w:b/>
                <w:color w:val="000000"/>
                <w:sz w:val="14"/>
                <w:szCs w:val="14"/>
                <w:lang w:val="en-US" w:eastAsia="en-US"/>
              </w:rPr>
            </w:pPr>
            <w:r w:rsidRPr="00581D11">
              <w:rPr>
                <w:rFonts w:asciiTheme="minorHAnsi" w:hAnsiTheme="minorHAnsi" w:cstheme="minorHAnsi"/>
                <w:b/>
                <w:color w:val="000000"/>
                <w:sz w:val="14"/>
                <w:szCs w:val="14"/>
                <w:lang w:val="en-US" w:eastAsia="en-US"/>
              </w:rPr>
              <w:t>34,252</w:t>
            </w:r>
          </w:p>
        </w:tc>
        <w:tc>
          <w:tcPr>
            <w:tcW w:w="1021" w:type="dxa"/>
            <w:tcBorders>
              <w:top w:val="nil"/>
              <w:left w:val="nil"/>
              <w:bottom w:val="nil"/>
              <w:right w:val="nil"/>
            </w:tcBorders>
            <w:shd w:val="clear" w:color="auto" w:fill="auto"/>
            <w:noWrap/>
            <w:hideMark/>
          </w:tcPr>
          <w:p w14:paraId="035FF0FE" w14:textId="1D90F645" w:rsidR="00C11EFE" w:rsidRPr="00581D11"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43,158</w:t>
            </w:r>
          </w:p>
        </w:tc>
        <w:tc>
          <w:tcPr>
            <w:tcW w:w="882" w:type="dxa"/>
            <w:tcBorders>
              <w:top w:val="nil"/>
              <w:left w:val="nil"/>
              <w:bottom w:val="nil"/>
              <w:right w:val="nil"/>
            </w:tcBorders>
            <w:shd w:val="clear" w:color="auto" w:fill="auto"/>
            <w:noWrap/>
            <w:hideMark/>
          </w:tcPr>
          <w:p w14:paraId="12ACF960"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41,879</w:t>
            </w:r>
          </w:p>
        </w:tc>
        <w:tc>
          <w:tcPr>
            <w:tcW w:w="873" w:type="dxa"/>
            <w:tcBorders>
              <w:top w:val="nil"/>
              <w:left w:val="nil"/>
              <w:bottom w:val="nil"/>
              <w:right w:val="nil"/>
            </w:tcBorders>
            <w:shd w:val="clear" w:color="auto" w:fill="auto"/>
            <w:noWrap/>
            <w:hideMark/>
          </w:tcPr>
          <w:p w14:paraId="10E78BB8"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1.2</w:t>
            </w:r>
          </w:p>
        </w:tc>
        <w:tc>
          <w:tcPr>
            <w:tcW w:w="672" w:type="dxa"/>
            <w:tcBorders>
              <w:top w:val="nil"/>
              <w:left w:val="nil"/>
              <w:bottom w:val="nil"/>
              <w:right w:val="nil"/>
            </w:tcBorders>
            <w:shd w:val="clear" w:color="auto" w:fill="auto"/>
            <w:noWrap/>
            <w:hideMark/>
          </w:tcPr>
          <w:p w14:paraId="1DE7D0C0"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0.004</w:t>
            </w:r>
          </w:p>
        </w:tc>
        <w:tc>
          <w:tcPr>
            <w:tcW w:w="575" w:type="dxa"/>
            <w:tcBorders>
              <w:top w:val="nil"/>
              <w:left w:val="nil"/>
              <w:bottom w:val="nil"/>
              <w:right w:val="nil"/>
            </w:tcBorders>
            <w:shd w:val="clear" w:color="auto" w:fill="auto"/>
            <w:noWrap/>
            <w:hideMark/>
          </w:tcPr>
          <w:p w14:paraId="614008BD"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1.1%</w:t>
            </w:r>
          </w:p>
        </w:tc>
        <w:tc>
          <w:tcPr>
            <w:tcW w:w="575" w:type="dxa"/>
            <w:tcBorders>
              <w:top w:val="nil"/>
              <w:left w:val="nil"/>
              <w:bottom w:val="nil"/>
              <w:right w:val="nil"/>
            </w:tcBorders>
            <w:shd w:val="clear" w:color="auto" w:fill="auto"/>
            <w:noWrap/>
            <w:hideMark/>
          </w:tcPr>
          <w:p w14:paraId="709C1895"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1.4%</w:t>
            </w:r>
          </w:p>
        </w:tc>
        <w:tc>
          <w:tcPr>
            <w:tcW w:w="835" w:type="dxa"/>
            <w:tcBorders>
              <w:top w:val="nil"/>
              <w:left w:val="nil"/>
              <w:bottom w:val="nil"/>
              <w:right w:val="nil"/>
            </w:tcBorders>
            <w:shd w:val="clear" w:color="auto" w:fill="auto"/>
            <w:noWrap/>
            <w:hideMark/>
          </w:tcPr>
          <w:p w14:paraId="2F67ED16"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35,578 </w:t>
            </w:r>
          </w:p>
        </w:tc>
        <w:tc>
          <w:tcPr>
            <w:tcW w:w="660" w:type="dxa"/>
            <w:tcBorders>
              <w:top w:val="nil"/>
              <w:left w:val="nil"/>
              <w:bottom w:val="nil"/>
              <w:right w:val="nil"/>
            </w:tcBorders>
            <w:shd w:val="clear" w:color="auto" w:fill="auto"/>
            <w:noWrap/>
            <w:hideMark/>
          </w:tcPr>
          <w:p w14:paraId="40FF40A1"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13 </w:t>
            </w:r>
          </w:p>
        </w:tc>
        <w:tc>
          <w:tcPr>
            <w:tcW w:w="1182" w:type="dxa"/>
            <w:tcBorders>
              <w:top w:val="nil"/>
              <w:left w:val="nil"/>
              <w:bottom w:val="nil"/>
              <w:right w:val="nil"/>
            </w:tcBorders>
            <w:shd w:val="clear" w:color="auto" w:fill="auto"/>
            <w:noWrap/>
            <w:hideMark/>
          </w:tcPr>
          <w:p w14:paraId="1B5F3FF3"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1.29 </w:t>
            </w:r>
          </w:p>
        </w:tc>
      </w:tr>
      <w:tr w:rsidR="00C11EFE" w:rsidRPr="00231641" w14:paraId="33AA21C2" w14:textId="77777777" w:rsidTr="00C11EFE">
        <w:trPr>
          <w:trHeight w:hRule="exact" w:val="284"/>
        </w:trPr>
        <w:tc>
          <w:tcPr>
            <w:tcW w:w="701" w:type="dxa"/>
            <w:tcBorders>
              <w:top w:val="nil"/>
              <w:left w:val="nil"/>
              <w:bottom w:val="nil"/>
              <w:right w:val="nil"/>
            </w:tcBorders>
            <w:shd w:val="clear" w:color="auto" w:fill="auto"/>
            <w:noWrap/>
            <w:hideMark/>
          </w:tcPr>
          <w:p w14:paraId="18F662A1"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Yes</w:t>
            </w:r>
          </w:p>
        </w:tc>
        <w:tc>
          <w:tcPr>
            <w:tcW w:w="701" w:type="dxa"/>
            <w:tcBorders>
              <w:top w:val="nil"/>
              <w:left w:val="nil"/>
              <w:bottom w:val="nil"/>
              <w:right w:val="nil"/>
            </w:tcBorders>
            <w:shd w:val="clear" w:color="auto" w:fill="auto"/>
            <w:noWrap/>
            <w:hideMark/>
          </w:tcPr>
          <w:p w14:paraId="3F327E73"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16</w:t>
            </w:r>
          </w:p>
        </w:tc>
        <w:tc>
          <w:tcPr>
            <w:tcW w:w="582" w:type="dxa"/>
            <w:tcBorders>
              <w:top w:val="nil"/>
              <w:left w:val="nil"/>
              <w:bottom w:val="nil"/>
              <w:right w:val="nil"/>
            </w:tcBorders>
            <w:shd w:val="clear" w:color="auto" w:fill="auto"/>
            <w:noWrap/>
            <w:hideMark/>
          </w:tcPr>
          <w:p w14:paraId="0F29D1F4" w14:textId="7777777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I04B</w:t>
            </w:r>
          </w:p>
        </w:tc>
        <w:tc>
          <w:tcPr>
            <w:tcW w:w="3977" w:type="dxa"/>
            <w:tcBorders>
              <w:top w:val="nil"/>
              <w:left w:val="nil"/>
              <w:bottom w:val="nil"/>
              <w:right w:val="nil"/>
            </w:tcBorders>
            <w:shd w:val="clear" w:color="auto" w:fill="auto"/>
            <w:noWrap/>
            <w:hideMark/>
          </w:tcPr>
          <w:p w14:paraId="52683EC1" w14:textId="7777777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Knee Replacement, Minor Complexity</w:t>
            </w:r>
          </w:p>
        </w:tc>
        <w:tc>
          <w:tcPr>
            <w:tcW w:w="791" w:type="dxa"/>
            <w:tcBorders>
              <w:top w:val="nil"/>
              <w:left w:val="nil"/>
              <w:bottom w:val="nil"/>
              <w:right w:val="nil"/>
            </w:tcBorders>
            <w:shd w:val="clear" w:color="auto" w:fill="auto"/>
            <w:noWrap/>
            <w:hideMark/>
          </w:tcPr>
          <w:p w14:paraId="043C4609"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4.25</w:t>
            </w:r>
          </w:p>
        </w:tc>
        <w:tc>
          <w:tcPr>
            <w:tcW w:w="839" w:type="dxa"/>
            <w:tcBorders>
              <w:top w:val="nil"/>
              <w:left w:val="nil"/>
              <w:bottom w:val="nil"/>
              <w:right w:val="nil"/>
            </w:tcBorders>
            <w:shd w:val="clear" w:color="auto" w:fill="auto"/>
            <w:noWrap/>
            <w:hideMark/>
          </w:tcPr>
          <w:p w14:paraId="17578B88" w14:textId="77777777" w:rsidR="00C11EFE" w:rsidRPr="00581D11" w:rsidRDefault="00C11EFE" w:rsidP="00C11EFE">
            <w:pPr>
              <w:jc w:val="right"/>
              <w:rPr>
                <w:rFonts w:asciiTheme="minorHAnsi" w:hAnsiTheme="minorHAnsi" w:cstheme="minorHAnsi"/>
                <w:b/>
                <w:color w:val="000000"/>
                <w:sz w:val="14"/>
                <w:szCs w:val="14"/>
                <w:lang w:val="en-US" w:eastAsia="en-US"/>
              </w:rPr>
            </w:pPr>
            <w:r w:rsidRPr="00581D11">
              <w:rPr>
                <w:rFonts w:asciiTheme="minorHAnsi" w:hAnsiTheme="minorHAnsi" w:cstheme="minorHAnsi"/>
                <w:b/>
                <w:color w:val="000000"/>
                <w:sz w:val="14"/>
                <w:szCs w:val="14"/>
                <w:lang w:val="en-US" w:eastAsia="en-US"/>
              </w:rPr>
              <w:t>33,469</w:t>
            </w:r>
          </w:p>
        </w:tc>
        <w:tc>
          <w:tcPr>
            <w:tcW w:w="1021" w:type="dxa"/>
            <w:tcBorders>
              <w:top w:val="nil"/>
              <w:left w:val="nil"/>
              <w:bottom w:val="nil"/>
              <w:right w:val="nil"/>
            </w:tcBorders>
            <w:shd w:val="clear" w:color="auto" w:fill="auto"/>
            <w:noWrap/>
            <w:hideMark/>
          </w:tcPr>
          <w:p w14:paraId="1490A618" w14:textId="5D447D39" w:rsidR="00C11EFE" w:rsidRPr="00581D11"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142,243</w:t>
            </w:r>
          </w:p>
        </w:tc>
        <w:tc>
          <w:tcPr>
            <w:tcW w:w="882" w:type="dxa"/>
            <w:tcBorders>
              <w:top w:val="nil"/>
              <w:left w:val="nil"/>
              <w:bottom w:val="nil"/>
              <w:right w:val="nil"/>
            </w:tcBorders>
            <w:shd w:val="clear" w:color="auto" w:fill="auto"/>
            <w:noWrap/>
            <w:hideMark/>
          </w:tcPr>
          <w:p w14:paraId="0C40975A"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177,475</w:t>
            </w:r>
          </w:p>
        </w:tc>
        <w:tc>
          <w:tcPr>
            <w:tcW w:w="873" w:type="dxa"/>
            <w:tcBorders>
              <w:top w:val="nil"/>
              <w:left w:val="nil"/>
              <w:bottom w:val="nil"/>
              <w:right w:val="nil"/>
            </w:tcBorders>
            <w:shd w:val="clear" w:color="auto" w:fill="auto"/>
            <w:noWrap/>
            <w:hideMark/>
          </w:tcPr>
          <w:p w14:paraId="24FB06C1"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5.3</w:t>
            </w:r>
          </w:p>
        </w:tc>
        <w:tc>
          <w:tcPr>
            <w:tcW w:w="672" w:type="dxa"/>
            <w:tcBorders>
              <w:top w:val="nil"/>
              <w:left w:val="nil"/>
              <w:bottom w:val="nil"/>
              <w:right w:val="nil"/>
            </w:tcBorders>
            <w:shd w:val="clear" w:color="auto" w:fill="auto"/>
            <w:noWrap/>
            <w:hideMark/>
          </w:tcPr>
          <w:p w14:paraId="4D3ED049"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0.006</w:t>
            </w:r>
          </w:p>
        </w:tc>
        <w:tc>
          <w:tcPr>
            <w:tcW w:w="575" w:type="dxa"/>
            <w:tcBorders>
              <w:top w:val="nil"/>
              <w:left w:val="nil"/>
              <w:bottom w:val="nil"/>
              <w:right w:val="nil"/>
            </w:tcBorders>
            <w:shd w:val="clear" w:color="auto" w:fill="auto"/>
            <w:noWrap/>
            <w:hideMark/>
          </w:tcPr>
          <w:p w14:paraId="7DC966DE"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1.1%</w:t>
            </w:r>
          </w:p>
        </w:tc>
        <w:tc>
          <w:tcPr>
            <w:tcW w:w="575" w:type="dxa"/>
            <w:tcBorders>
              <w:top w:val="nil"/>
              <w:left w:val="nil"/>
              <w:bottom w:val="nil"/>
              <w:right w:val="nil"/>
            </w:tcBorders>
            <w:shd w:val="clear" w:color="auto" w:fill="auto"/>
            <w:noWrap/>
            <w:hideMark/>
          </w:tcPr>
          <w:p w14:paraId="327C577F"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4.7%</w:t>
            </w:r>
          </w:p>
        </w:tc>
        <w:tc>
          <w:tcPr>
            <w:tcW w:w="835" w:type="dxa"/>
            <w:tcBorders>
              <w:top w:val="nil"/>
              <w:left w:val="nil"/>
              <w:bottom w:val="nil"/>
              <w:right w:val="nil"/>
            </w:tcBorders>
            <w:shd w:val="clear" w:color="auto" w:fill="auto"/>
            <w:noWrap/>
            <w:hideMark/>
          </w:tcPr>
          <w:p w14:paraId="67357EEC"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25,912 </w:t>
            </w:r>
          </w:p>
        </w:tc>
        <w:tc>
          <w:tcPr>
            <w:tcW w:w="660" w:type="dxa"/>
            <w:tcBorders>
              <w:top w:val="nil"/>
              <w:left w:val="nil"/>
              <w:bottom w:val="nil"/>
              <w:right w:val="nil"/>
            </w:tcBorders>
            <w:shd w:val="clear" w:color="auto" w:fill="auto"/>
            <w:noWrap/>
            <w:hideMark/>
          </w:tcPr>
          <w:p w14:paraId="0A531122"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18 </w:t>
            </w:r>
          </w:p>
        </w:tc>
        <w:tc>
          <w:tcPr>
            <w:tcW w:w="1182" w:type="dxa"/>
            <w:tcBorders>
              <w:top w:val="nil"/>
              <w:left w:val="nil"/>
              <w:bottom w:val="nil"/>
              <w:right w:val="nil"/>
            </w:tcBorders>
            <w:shd w:val="clear" w:color="auto" w:fill="auto"/>
            <w:noWrap/>
            <w:hideMark/>
          </w:tcPr>
          <w:p w14:paraId="2FC50052"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5.34 </w:t>
            </w:r>
          </w:p>
        </w:tc>
      </w:tr>
      <w:tr w:rsidR="00C11EFE" w:rsidRPr="00231641" w14:paraId="4F1BC156" w14:textId="77777777" w:rsidTr="00C11EFE">
        <w:trPr>
          <w:trHeight w:hRule="exact" w:val="284"/>
        </w:trPr>
        <w:tc>
          <w:tcPr>
            <w:tcW w:w="701" w:type="dxa"/>
            <w:tcBorders>
              <w:top w:val="nil"/>
              <w:left w:val="nil"/>
              <w:bottom w:val="nil"/>
              <w:right w:val="nil"/>
            </w:tcBorders>
            <w:shd w:val="clear" w:color="auto" w:fill="auto"/>
            <w:noWrap/>
            <w:hideMark/>
          </w:tcPr>
          <w:p w14:paraId="20DDCC65"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Yes</w:t>
            </w:r>
          </w:p>
        </w:tc>
        <w:tc>
          <w:tcPr>
            <w:tcW w:w="701" w:type="dxa"/>
            <w:tcBorders>
              <w:top w:val="nil"/>
              <w:left w:val="nil"/>
              <w:bottom w:val="nil"/>
              <w:right w:val="nil"/>
            </w:tcBorders>
            <w:shd w:val="clear" w:color="auto" w:fill="auto"/>
            <w:noWrap/>
            <w:hideMark/>
          </w:tcPr>
          <w:p w14:paraId="77F70C04"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17</w:t>
            </w:r>
          </w:p>
        </w:tc>
        <w:tc>
          <w:tcPr>
            <w:tcW w:w="582" w:type="dxa"/>
            <w:tcBorders>
              <w:top w:val="nil"/>
              <w:left w:val="nil"/>
              <w:bottom w:val="nil"/>
              <w:right w:val="nil"/>
            </w:tcBorders>
            <w:shd w:val="clear" w:color="auto" w:fill="auto"/>
            <w:noWrap/>
            <w:hideMark/>
          </w:tcPr>
          <w:p w14:paraId="5B94E0AD" w14:textId="7777777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J11B</w:t>
            </w:r>
          </w:p>
        </w:tc>
        <w:tc>
          <w:tcPr>
            <w:tcW w:w="3977" w:type="dxa"/>
            <w:tcBorders>
              <w:top w:val="nil"/>
              <w:left w:val="nil"/>
              <w:bottom w:val="nil"/>
              <w:right w:val="nil"/>
            </w:tcBorders>
            <w:shd w:val="clear" w:color="auto" w:fill="auto"/>
            <w:noWrap/>
            <w:hideMark/>
          </w:tcPr>
          <w:p w14:paraId="797C23FC" w14:textId="7777777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Other Skin, Subcutaneous Tissue and Breast Procedures, Minor Complexity</w:t>
            </w:r>
          </w:p>
        </w:tc>
        <w:tc>
          <w:tcPr>
            <w:tcW w:w="791" w:type="dxa"/>
            <w:tcBorders>
              <w:top w:val="nil"/>
              <w:left w:val="nil"/>
              <w:bottom w:val="nil"/>
              <w:right w:val="nil"/>
            </w:tcBorders>
            <w:shd w:val="clear" w:color="auto" w:fill="auto"/>
            <w:noWrap/>
            <w:hideMark/>
          </w:tcPr>
          <w:p w14:paraId="2A7D8444"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0.36</w:t>
            </w:r>
          </w:p>
        </w:tc>
        <w:tc>
          <w:tcPr>
            <w:tcW w:w="839" w:type="dxa"/>
            <w:tcBorders>
              <w:top w:val="nil"/>
              <w:left w:val="nil"/>
              <w:bottom w:val="nil"/>
              <w:right w:val="nil"/>
            </w:tcBorders>
            <w:shd w:val="clear" w:color="auto" w:fill="auto"/>
            <w:noWrap/>
            <w:hideMark/>
          </w:tcPr>
          <w:p w14:paraId="2C47F926" w14:textId="77777777" w:rsidR="00C11EFE" w:rsidRPr="00581D11" w:rsidRDefault="00C11EFE" w:rsidP="00C11EFE">
            <w:pPr>
              <w:jc w:val="right"/>
              <w:rPr>
                <w:rFonts w:asciiTheme="minorHAnsi" w:hAnsiTheme="minorHAnsi" w:cstheme="minorHAnsi"/>
                <w:b/>
                <w:color w:val="000000"/>
                <w:sz w:val="14"/>
                <w:szCs w:val="14"/>
                <w:lang w:val="en-US" w:eastAsia="en-US"/>
              </w:rPr>
            </w:pPr>
            <w:r w:rsidRPr="00581D11">
              <w:rPr>
                <w:rFonts w:asciiTheme="minorHAnsi" w:hAnsiTheme="minorHAnsi" w:cstheme="minorHAnsi"/>
                <w:b/>
                <w:color w:val="000000"/>
                <w:sz w:val="14"/>
                <w:szCs w:val="14"/>
                <w:lang w:val="en-US" w:eastAsia="en-US"/>
              </w:rPr>
              <w:t>32,840</w:t>
            </w:r>
          </w:p>
        </w:tc>
        <w:tc>
          <w:tcPr>
            <w:tcW w:w="1021" w:type="dxa"/>
            <w:tcBorders>
              <w:top w:val="nil"/>
              <w:left w:val="nil"/>
              <w:bottom w:val="nil"/>
              <w:right w:val="nil"/>
            </w:tcBorders>
            <w:shd w:val="clear" w:color="auto" w:fill="auto"/>
            <w:noWrap/>
            <w:hideMark/>
          </w:tcPr>
          <w:p w14:paraId="602DF57A" w14:textId="2784CA7A" w:rsidR="00C11EFE" w:rsidRPr="00581D11"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11,822</w:t>
            </w:r>
          </w:p>
        </w:tc>
        <w:tc>
          <w:tcPr>
            <w:tcW w:w="882" w:type="dxa"/>
            <w:tcBorders>
              <w:top w:val="nil"/>
              <w:left w:val="nil"/>
              <w:bottom w:val="nil"/>
              <w:right w:val="nil"/>
            </w:tcBorders>
            <w:shd w:val="clear" w:color="auto" w:fill="auto"/>
            <w:noWrap/>
            <w:hideMark/>
          </w:tcPr>
          <w:p w14:paraId="5E2F3EE2"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33,794</w:t>
            </w:r>
          </w:p>
        </w:tc>
        <w:tc>
          <w:tcPr>
            <w:tcW w:w="873" w:type="dxa"/>
            <w:tcBorders>
              <w:top w:val="nil"/>
              <w:left w:val="nil"/>
              <w:bottom w:val="nil"/>
              <w:right w:val="nil"/>
            </w:tcBorders>
            <w:shd w:val="clear" w:color="auto" w:fill="auto"/>
            <w:noWrap/>
            <w:hideMark/>
          </w:tcPr>
          <w:p w14:paraId="558C3DB7"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1.0</w:t>
            </w:r>
          </w:p>
        </w:tc>
        <w:tc>
          <w:tcPr>
            <w:tcW w:w="672" w:type="dxa"/>
            <w:tcBorders>
              <w:top w:val="nil"/>
              <w:left w:val="nil"/>
              <w:bottom w:val="nil"/>
              <w:right w:val="nil"/>
            </w:tcBorders>
            <w:shd w:val="clear" w:color="auto" w:fill="auto"/>
            <w:noWrap/>
            <w:hideMark/>
          </w:tcPr>
          <w:p w14:paraId="0028789D"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0.002</w:t>
            </w:r>
          </w:p>
        </w:tc>
        <w:tc>
          <w:tcPr>
            <w:tcW w:w="575" w:type="dxa"/>
            <w:tcBorders>
              <w:top w:val="nil"/>
              <w:left w:val="nil"/>
              <w:bottom w:val="nil"/>
              <w:right w:val="nil"/>
            </w:tcBorders>
            <w:shd w:val="clear" w:color="auto" w:fill="auto"/>
            <w:noWrap/>
            <w:hideMark/>
          </w:tcPr>
          <w:p w14:paraId="2BA7DE6D"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1.1%</w:t>
            </w:r>
          </w:p>
        </w:tc>
        <w:tc>
          <w:tcPr>
            <w:tcW w:w="575" w:type="dxa"/>
            <w:tcBorders>
              <w:top w:val="nil"/>
              <w:left w:val="nil"/>
              <w:bottom w:val="nil"/>
              <w:right w:val="nil"/>
            </w:tcBorders>
            <w:shd w:val="clear" w:color="auto" w:fill="auto"/>
            <w:noWrap/>
            <w:hideMark/>
          </w:tcPr>
          <w:p w14:paraId="620CC8B3"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0.4%</w:t>
            </w:r>
          </w:p>
        </w:tc>
        <w:tc>
          <w:tcPr>
            <w:tcW w:w="835" w:type="dxa"/>
            <w:tcBorders>
              <w:top w:val="nil"/>
              <w:left w:val="nil"/>
              <w:bottom w:val="nil"/>
              <w:right w:val="nil"/>
            </w:tcBorders>
            <w:shd w:val="clear" w:color="auto" w:fill="auto"/>
            <w:noWrap/>
            <w:hideMark/>
          </w:tcPr>
          <w:p w14:paraId="1F7C5FBC"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32,545 </w:t>
            </w:r>
          </w:p>
        </w:tc>
        <w:tc>
          <w:tcPr>
            <w:tcW w:w="660" w:type="dxa"/>
            <w:tcBorders>
              <w:top w:val="nil"/>
              <w:left w:val="nil"/>
              <w:bottom w:val="nil"/>
              <w:right w:val="nil"/>
            </w:tcBorders>
            <w:shd w:val="clear" w:color="auto" w:fill="auto"/>
            <w:noWrap/>
            <w:hideMark/>
          </w:tcPr>
          <w:p w14:paraId="01716792"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16 </w:t>
            </w:r>
          </w:p>
        </w:tc>
        <w:tc>
          <w:tcPr>
            <w:tcW w:w="1182" w:type="dxa"/>
            <w:tcBorders>
              <w:top w:val="nil"/>
              <w:left w:val="nil"/>
              <w:bottom w:val="nil"/>
              <w:right w:val="nil"/>
            </w:tcBorders>
            <w:shd w:val="clear" w:color="auto" w:fill="auto"/>
            <w:noWrap/>
            <w:hideMark/>
          </w:tcPr>
          <w:p w14:paraId="769F0F52"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0.32 </w:t>
            </w:r>
          </w:p>
        </w:tc>
      </w:tr>
      <w:tr w:rsidR="00C11EFE" w:rsidRPr="00231641" w14:paraId="39F9455B" w14:textId="77777777" w:rsidTr="00C11EFE">
        <w:trPr>
          <w:trHeight w:hRule="exact" w:val="284"/>
        </w:trPr>
        <w:tc>
          <w:tcPr>
            <w:tcW w:w="701" w:type="dxa"/>
            <w:tcBorders>
              <w:top w:val="nil"/>
              <w:left w:val="nil"/>
              <w:bottom w:val="nil"/>
              <w:right w:val="nil"/>
            </w:tcBorders>
            <w:shd w:val="clear" w:color="auto" w:fill="auto"/>
            <w:noWrap/>
            <w:hideMark/>
          </w:tcPr>
          <w:p w14:paraId="76D4F20E"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No</w:t>
            </w:r>
          </w:p>
        </w:tc>
        <w:tc>
          <w:tcPr>
            <w:tcW w:w="701" w:type="dxa"/>
            <w:tcBorders>
              <w:top w:val="nil"/>
              <w:left w:val="nil"/>
              <w:bottom w:val="nil"/>
              <w:right w:val="nil"/>
            </w:tcBorders>
            <w:shd w:val="clear" w:color="auto" w:fill="auto"/>
            <w:noWrap/>
            <w:hideMark/>
          </w:tcPr>
          <w:p w14:paraId="6256FFEA"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18</w:t>
            </w:r>
          </w:p>
        </w:tc>
        <w:tc>
          <w:tcPr>
            <w:tcW w:w="582" w:type="dxa"/>
            <w:tcBorders>
              <w:top w:val="nil"/>
              <w:left w:val="nil"/>
              <w:bottom w:val="nil"/>
              <w:right w:val="nil"/>
            </w:tcBorders>
            <w:shd w:val="clear" w:color="auto" w:fill="auto"/>
            <w:noWrap/>
            <w:hideMark/>
          </w:tcPr>
          <w:p w14:paraId="3EA4A586" w14:textId="7777777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N07B</w:t>
            </w:r>
          </w:p>
        </w:tc>
        <w:tc>
          <w:tcPr>
            <w:tcW w:w="3977" w:type="dxa"/>
            <w:tcBorders>
              <w:top w:val="nil"/>
              <w:left w:val="nil"/>
              <w:bottom w:val="nil"/>
              <w:right w:val="nil"/>
            </w:tcBorders>
            <w:shd w:val="clear" w:color="auto" w:fill="auto"/>
            <w:noWrap/>
            <w:hideMark/>
          </w:tcPr>
          <w:p w14:paraId="4D6EE6A3" w14:textId="7777777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Other Uterus and Adnexa Procedures for Non-Malignancy, Minor Complexity</w:t>
            </w:r>
          </w:p>
        </w:tc>
        <w:tc>
          <w:tcPr>
            <w:tcW w:w="791" w:type="dxa"/>
            <w:tcBorders>
              <w:top w:val="nil"/>
              <w:left w:val="nil"/>
              <w:bottom w:val="nil"/>
              <w:right w:val="nil"/>
            </w:tcBorders>
            <w:shd w:val="clear" w:color="auto" w:fill="auto"/>
            <w:noWrap/>
            <w:hideMark/>
          </w:tcPr>
          <w:p w14:paraId="3292D6B4"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0.33</w:t>
            </w:r>
          </w:p>
        </w:tc>
        <w:tc>
          <w:tcPr>
            <w:tcW w:w="839" w:type="dxa"/>
            <w:tcBorders>
              <w:top w:val="nil"/>
              <w:left w:val="nil"/>
              <w:bottom w:val="nil"/>
              <w:right w:val="nil"/>
            </w:tcBorders>
            <w:shd w:val="clear" w:color="auto" w:fill="auto"/>
            <w:noWrap/>
            <w:hideMark/>
          </w:tcPr>
          <w:p w14:paraId="464388EA" w14:textId="77777777" w:rsidR="00C11EFE" w:rsidRPr="00581D11" w:rsidRDefault="00C11EFE" w:rsidP="00C11EFE">
            <w:pPr>
              <w:jc w:val="right"/>
              <w:rPr>
                <w:rFonts w:asciiTheme="minorHAnsi" w:hAnsiTheme="minorHAnsi" w:cstheme="minorHAnsi"/>
                <w:b/>
                <w:color w:val="000000"/>
                <w:sz w:val="14"/>
                <w:szCs w:val="14"/>
                <w:lang w:val="en-US" w:eastAsia="en-US"/>
              </w:rPr>
            </w:pPr>
            <w:r w:rsidRPr="00581D11">
              <w:rPr>
                <w:rFonts w:asciiTheme="minorHAnsi" w:hAnsiTheme="minorHAnsi" w:cstheme="minorHAnsi"/>
                <w:b/>
                <w:color w:val="000000"/>
                <w:sz w:val="14"/>
                <w:szCs w:val="14"/>
                <w:lang w:val="en-US" w:eastAsia="en-US"/>
              </w:rPr>
              <w:t>28,966</w:t>
            </w:r>
          </w:p>
        </w:tc>
        <w:tc>
          <w:tcPr>
            <w:tcW w:w="1021" w:type="dxa"/>
            <w:tcBorders>
              <w:top w:val="nil"/>
              <w:left w:val="nil"/>
              <w:bottom w:val="nil"/>
              <w:right w:val="nil"/>
            </w:tcBorders>
            <w:shd w:val="clear" w:color="auto" w:fill="auto"/>
            <w:noWrap/>
            <w:hideMark/>
          </w:tcPr>
          <w:p w14:paraId="27E84476" w14:textId="2C586AD6" w:rsidR="00C11EFE" w:rsidRPr="00581D11"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9,559</w:t>
            </w:r>
          </w:p>
        </w:tc>
        <w:tc>
          <w:tcPr>
            <w:tcW w:w="882" w:type="dxa"/>
            <w:tcBorders>
              <w:top w:val="nil"/>
              <w:left w:val="nil"/>
              <w:bottom w:val="nil"/>
              <w:right w:val="nil"/>
            </w:tcBorders>
            <w:shd w:val="clear" w:color="auto" w:fill="auto"/>
            <w:noWrap/>
            <w:hideMark/>
          </w:tcPr>
          <w:p w14:paraId="14973956"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29,028</w:t>
            </w:r>
          </w:p>
        </w:tc>
        <w:tc>
          <w:tcPr>
            <w:tcW w:w="873" w:type="dxa"/>
            <w:tcBorders>
              <w:top w:val="nil"/>
              <w:left w:val="nil"/>
              <w:bottom w:val="nil"/>
              <w:right w:val="nil"/>
            </w:tcBorders>
            <w:shd w:val="clear" w:color="auto" w:fill="auto"/>
            <w:noWrap/>
            <w:hideMark/>
          </w:tcPr>
          <w:p w14:paraId="087F6340"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1.0</w:t>
            </w:r>
          </w:p>
        </w:tc>
        <w:tc>
          <w:tcPr>
            <w:tcW w:w="672" w:type="dxa"/>
            <w:tcBorders>
              <w:top w:val="nil"/>
              <w:left w:val="nil"/>
              <w:bottom w:val="nil"/>
              <w:right w:val="nil"/>
            </w:tcBorders>
            <w:shd w:val="clear" w:color="auto" w:fill="auto"/>
            <w:noWrap/>
            <w:hideMark/>
          </w:tcPr>
          <w:p w14:paraId="1A0F3AE9"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0.002</w:t>
            </w:r>
          </w:p>
        </w:tc>
        <w:tc>
          <w:tcPr>
            <w:tcW w:w="575" w:type="dxa"/>
            <w:tcBorders>
              <w:top w:val="nil"/>
              <w:left w:val="nil"/>
              <w:bottom w:val="nil"/>
              <w:right w:val="nil"/>
            </w:tcBorders>
            <w:shd w:val="clear" w:color="auto" w:fill="auto"/>
            <w:noWrap/>
            <w:hideMark/>
          </w:tcPr>
          <w:p w14:paraId="5553BA03"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0.9%</w:t>
            </w:r>
          </w:p>
        </w:tc>
        <w:tc>
          <w:tcPr>
            <w:tcW w:w="575" w:type="dxa"/>
            <w:tcBorders>
              <w:top w:val="nil"/>
              <w:left w:val="nil"/>
              <w:bottom w:val="nil"/>
              <w:right w:val="nil"/>
            </w:tcBorders>
            <w:shd w:val="clear" w:color="auto" w:fill="auto"/>
            <w:noWrap/>
            <w:hideMark/>
          </w:tcPr>
          <w:p w14:paraId="0813D5DE"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0.3%</w:t>
            </w:r>
          </w:p>
        </w:tc>
        <w:tc>
          <w:tcPr>
            <w:tcW w:w="835" w:type="dxa"/>
            <w:tcBorders>
              <w:top w:val="nil"/>
              <w:left w:val="nil"/>
              <w:bottom w:val="nil"/>
              <w:right w:val="nil"/>
            </w:tcBorders>
            <w:shd w:val="clear" w:color="auto" w:fill="auto"/>
            <w:noWrap/>
            <w:hideMark/>
          </w:tcPr>
          <w:p w14:paraId="7C0051C7"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20,160 </w:t>
            </w:r>
          </w:p>
        </w:tc>
        <w:tc>
          <w:tcPr>
            <w:tcW w:w="660" w:type="dxa"/>
            <w:tcBorders>
              <w:top w:val="nil"/>
              <w:left w:val="nil"/>
              <w:bottom w:val="nil"/>
              <w:right w:val="nil"/>
            </w:tcBorders>
            <w:shd w:val="clear" w:color="auto" w:fill="auto"/>
            <w:noWrap/>
            <w:hideMark/>
          </w:tcPr>
          <w:p w14:paraId="334E3EF9"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28 </w:t>
            </w:r>
          </w:p>
        </w:tc>
        <w:tc>
          <w:tcPr>
            <w:tcW w:w="1182" w:type="dxa"/>
            <w:tcBorders>
              <w:top w:val="nil"/>
              <w:left w:val="nil"/>
              <w:bottom w:val="nil"/>
              <w:right w:val="nil"/>
            </w:tcBorders>
            <w:shd w:val="clear" w:color="auto" w:fill="auto"/>
            <w:noWrap/>
            <w:hideMark/>
          </w:tcPr>
          <w:p w14:paraId="5BD29DB6"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0.39 </w:t>
            </w:r>
          </w:p>
        </w:tc>
      </w:tr>
      <w:tr w:rsidR="00C11EFE" w:rsidRPr="00231641" w14:paraId="6CE05737" w14:textId="77777777" w:rsidTr="00C11EFE">
        <w:trPr>
          <w:trHeight w:hRule="exact" w:val="284"/>
        </w:trPr>
        <w:tc>
          <w:tcPr>
            <w:tcW w:w="701" w:type="dxa"/>
            <w:tcBorders>
              <w:top w:val="nil"/>
              <w:left w:val="nil"/>
              <w:bottom w:val="nil"/>
              <w:right w:val="nil"/>
            </w:tcBorders>
            <w:shd w:val="clear" w:color="auto" w:fill="auto"/>
            <w:noWrap/>
            <w:hideMark/>
          </w:tcPr>
          <w:p w14:paraId="2AE67FAA"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No</w:t>
            </w:r>
          </w:p>
        </w:tc>
        <w:tc>
          <w:tcPr>
            <w:tcW w:w="701" w:type="dxa"/>
            <w:tcBorders>
              <w:top w:val="nil"/>
              <w:left w:val="nil"/>
              <w:bottom w:val="nil"/>
              <w:right w:val="nil"/>
            </w:tcBorders>
            <w:shd w:val="clear" w:color="auto" w:fill="auto"/>
            <w:noWrap/>
            <w:hideMark/>
          </w:tcPr>
          <w:p w14:paraId="67BC5ACC"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19</w:t>
            </w:r>
          </w:p>
        </w:tc>
        <w:tc>
          <w:tcPr>
            <w:tcW w:w="582" w:type="dxa"/>
            <w:tcBorders>
              <w:top w:val="nil"/>
              <w:left w:val="nil"/>
              <w:bottom w:val="nil"/>
              <w:right w:val="nil"/>
            </w:tcBorders>
            <w:shd w:val="clear" w:color="auto" w:fill="auto"/>
            <w:noWrap/>
            <w:hideMark/>
          </w:tcPr>
          <w:p w14:paraId="3FF42D3C" w14:textId="7777777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D11Z</w:t>
            </w:r>
          </w:p>
        </w:tc>
        <w:tc>
          <w:tcPr>
            <w:tcW w:w="3977" w:type="dxa"/>
            <w:tcBorders>
              <w:top w:val="nil"/>
              <w:left w:val="nil"/>
              <w:bottom w:val="nil"/>
              <w:right w:val="nil"/>
            </w:tcBorders>
            <w:shd w:val="clear" w:color="auto" w:fill="auto"/>
            <w:noWrap/>
            <w:hideMark/>
          </w:tcPr>
          <w:p w14:paraId="15782A92" w14:textId="5727A32A"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Tonsillectomy and Adenoidectomy</w:t>
            </w:r>
          </w:p>
        </w:tc>
        <w:tc>
          <w:tcPr>
            <w:tcW w:w="791" w:type="dxa"/>
            <w:tcBorders>
              <w:top w:val="nil"/>
              <w:left w:val="nil"/>
              <w:bottom w:val="nil"/>
              <w:right w:val="nil"/>
            </w:tcBorders>
            <w:shd w:val="clear" w:color="auto" w:fill="auto"/>
            <w:noWrap/>
            <w:hideMark/>
          </w:tcPr>
          <w:p w14:paraId="3E05D95D"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0.50</w:t>
            </w:r>
          </w:p>
        </w:tc>
        <w:tc>
          <w:tcPr>
            <w:tcW w:w="839" w:type="dxa"/>
            <w:tcBorders>
              <w:top w:val="nil"/>
              <w:left w:val="nil"/>
              <w:bottom w:val="nil"/>
              <w:right w:val="nil"/>
            </w:tcBorders>
            <w:shd w:val="clear" w:color="auto" w:fill="auto"/>
            <w:noWrap/>
            <w:hideMark/>
          </w:tcPr>
          <w:p w14:paraId="017092B7" w14:textId="77777777" w:rsidR="00C11EFE" w:rsidRPr="00581D11" w:rsidRDefault="00C11EFE" w:rsidP="00C11EFE">
            <w:pPr>
              <w:jc w:val="right"/>
              <w:rPr>
                <w:rFonts w:asciiTheme="minorHAnsi" w:hAnsiTheme="minorHAnsi" w:cstheme="minorHAnsi"/>
                <w:b/>
                <w:color w:val="000000"/>
                <w:sz w:val="14"/>
                <w:szCs w:val="14"/>
                <w:lang w:val="en-US" w:eastAsia="en-US"/>
              </w:rPr>
            </w:pPr>
            <w:r w:rsidRPr="00581D11">
              <w:rPr>
                <w:rFonts w:asciiTheme="minorHAnsi" w:hAnsiTheme="minorHAnsi" w:cstheme="minorHAnsi"/>
                <w:b/>
                <w:color w:val="000000"/>
                <w:sz w:val="14"/>
                <w:szCs w:val="14"/>
                <w:lang w:val="en-US" w:eastAsia="en-US"/>
              </w:rPr>
              <w:t>28,384</w:t>
            </w:r>
          </w:p>
        </w:tc>
        <w:tc>
          <w:tcPr>
            <w:tcW w:w="1021" w:type="dxa"/>
            <w:tcBorders>
              <w:top w:val="nil"/>
              <w:left w:val="nil"/>
              <w:bottom w:val="nil"/>
              <w:right w:val="nil"/>
            </w:tcBorders>
            <w:shd w:val="clear" w:color="auto" w:fill="auto"/>
            <w:noWrap/>
            <w:hideMark/>
          </w:tcPr>
          <w:p w14:paraId="56B9265C" w14:textId="57075647" w:rsidR="00C11EFE" w:rsidRPr="00581D11"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14,192</w:t>
            </w:r>
          </w:p>
        </w:tc>
        <w:tc>
          <w:tcPr>
            <w:tcW w:w="882" w:type="dxa"/>
            <w:tcBorders>
              <w:top w:val="nil"/>
              <w:left w:val="nil"/>
              <w:bottom w:val="nil"/>
              <w:right w:val="nil"/>
            </w:tcBorders>
            <w:shd w:val="clear" w:color="auto" w:fill="auto"/>
            <w:noWrap/>
            <w:hideMark/>
          </w:tcPr>
          <w:p w14:paraId="180173E3"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29,061</w:t>
            </w:r>
          </w:p>
        </w:tc>
        <w:tc>
          <w:tcPr>
            <w:tcW w:w="873" w:type="dxa"/>
            <w:tcBorders>
              <w:top w:val="nil"/>
              <w:left w:val="nil"/>
              <w:bottom w:val="nil"/>
              <w:right w:val="nil"/>
            </w:tcBorders>
            <w:shd w:val="clear" w:color="auto" w:fill="auto"/>
            <w:noWrap/>
            <w:hideMark/>
          </w:tcPr>
          <w:p w14:paraId="0AC78FF4"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1.0</w:t>
            </w:r>
          </w:p>
        </w:tc>
        <w:tc>
          <w:tcPr>
            <w:tcW w:w="672" w:type="dxa"/>
            <w:tcBorders>
              <w:top w:val="nil"/>
              <w:left w:val="nil"/>
              <w:bottom w:val="nil"/>
              <w:right w:val="nil"/>
            </w:tcBorders>
            <w:shd w:val="clear" w:color="auto" w:fill="auto"/>
            <w:noWrap/>
            <w:hideMark/>
          </w:tcPr>
          <w:p w14:paraId="24EA37DE"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0.002</w:t>
            </w:r>
          </w:p>
        </w:tc>
        <w:tc>
          <w:tcPr>
            <w:tcW w:w="575" w:type="dxa"/>
            <w:tcBorders>
              <w:top w:val="nil"/>
              <w:left w:val="nil"/>
              <w:bottom w:val="nil"/>
              <w:right w:val="nil"/>
            </w:tcBorders>
            <w:shd w:val="clear" w:color="auto" w:fill="auto"/>
            <w:noWrap/>
            <w:hideMark/>
          </w:tcPr>
          <w:p w14:paraId="486E0A47"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0.9%</w:t>
            </w:r>
          </w:p>
        </w:tc>
        <w:tc>
          <w:tcPr>
            <w:tcW w:w="575" w:type="dxa"/>
            <w:tcBorders>
              <w:top w:val="nil"/>
              <w:left w:val="nil"/>
              <w:bottom w:val="nil"/>
              <w:right w:val="nil"/>
            </w:tcBorders>
            <w:shd w:val="clear" w:color="auto" w:fill="auto"/>
            <w:noWrap/>
            <w:hideMark/>
          </w:tcPr>
          <w:p w14:paraId="408D1C56"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0.5%</w:t>
            </w:r>
          </w:p>
        </w:tc>
        <w:tc>
          <w:tcPr>
            <w:tcW w:w="835" w:type="dxa"/>
            <w:tcBorders>
              <w:top w:val="nil"/>
              <w:left w:val="nil"/>
              <w:bottom w:val="nil"/>
              <w:right w:val="nil"/>
            </w:tcBorders>
            <w:shd w:val="clear" w:color="auto" w:fill="auto"/>
            <w:noWrap/>
            <w:hideMark/>
          </w:tcPr>
          <w:p w14:paraId="0084E138"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22,603 </w:t>
            </w:r>
          </w:p>
        </w:tc>
        <w:tc>
          <w:tcPr>
            <w:tcW w:w="660" w:type="dxa"/>
            <w:tcBorders>
              <w:top w:val="nil"/>
              <w:left w:val="nil"/>
              <w:bottom w:val="nil"/>
              <w:right w:val="nil"/>
            </w:tcBorders>
            <w:shd w:val="clear" w:color="auto" w:fill="auto"/>
            <w:noWrap/>
            <w:hideMark/>
          </w:tcPr>
          <w:p w14:paraId="04C0C9E2"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22 </w:t>
            </w:r>
          </w:p>
        </w:tc>
        <w:tc>
          <w:tcPr>
            <w:tcW w:w="1182" w:type="dxa"/>
            <w:tcBorders>
              <w:top w:val="nil"/>
              <w:left w:val="nil"/>
              <w:bottom w:val="nil"/>
              <w:right w:val="nil"/>
            </w:tcBorders>
            <w:shd w:val="clear" w:color="auto" w:fill="auto"/>
            <w:noWrap/>
            <w:hideMark/>
          </w:tcPr>
          <w:p w14:paraId="730DA0D7"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0.46 </w:t>
            </w:r>
          </w:p>
        </w:tc>
      </w:tr>
      <w:tr w:rsidR="00C11EFE" w:rsidRPr="00231641" w14:paraId="307369CB" w14:textId="77777777" w:rsidTr="00C11EFE">
        <w:trPr>
          <w:trHeight w:hRule="exact" w:val="284"/>
        </w:trPr>
        <w:tc>
          <w:tcPr>
            <w:tcW w:w="701" w:type="dxa"/>
            <w:tcBorders>
              <w:top w:val="nil"/>
              <w:left w:val="nil"/>
              <w:bottom w:val="nil"/>
              <w:right w:val="nil"/>
            </w:tcBorders>
            <w:shd w:val="clear" w:color="auto" w:fill="auto"/>
            <w:noWrap/>
            <w:hideMark/>
          </w:tcPr>
          <w:p w14:paraId="757EC45A"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Yes</w:t>
            </w:r>
          </w:p>
        </w:tc>
        <w:tc>
          <w:tcPr>
            <w:tcW w:w="701" w:type="dxa"/>
            <w:tcBorders>
              <w:top w:val="nil"/>
              <w:left w:val="nil"/>
              <w:bottom w:val="nil"/>
              <w:right w:val="nil"/>
            </w:tcBorders>
            <w:shd w:val="clear" w:color="auto" w:fill="auto"/>
            <w:noWrap/>
            <w:hideMark/>
          </w:tcPr>
          <w:p w14:paraId="1B3F95C7" w14:textId="77777777" w:rsidR="00C11EFE" w:rsidRPr="00581D11" w:rsidRDefault="00C11EFE" w:rsidP="00C11EFE">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20</w:t>
            </w:r>
          </w:p>
        </w:tc>
        <w:tc>
          <w:tcPr>
            <w:tcW w:w="582" w:type="dxa"/>
            <w:tcBorders>
              <w:top w:val="nil"/>
              <w:left w:val="nil"/>
              <w:bottom w:val="nil"/>
              <w:right w:val="nil"/>
            </w:tcBorders>
            <w:shd w:val="clear" w:color="auto" w:fill="auto"/>
            <w:noWrap/>
            <w:hideMark/>
          </w:tcPr>
          <w:p w14:paraId="7161A81D" w14:textId="7777777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Q61B</w:t>
            </w:r>
          </w:p>
        </w:tc>
        <w:tc>
          <w:tcPr>
            <w:tcW w:w="3977" w:type="dxa"/>
            <w:tcBorders>
              <w:top w:val="nil"/>
              <w:left w:val="nil"/>
              <w:bottom w:val="nil"/>
              <w:right w:val="nil"/>
            </w:tcBorders>
            <w:shd w:val="clear" w:color="auto" w:fill="auto"/>
            <w:noWrap/>
            <w:hideMark/>
          </w:tcPr>
          <w:p w14:paraId="4A7B62E9" w14:textId="77777777" w:rsidR="00C11EFE" w:rsidRPr="00581D11" w:rsidRDefault="00C11EFE" w:rsidP="00C11EFE">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Red Blood Cell Disorders, Intermediate Complexity</w:t>
            </w:r>
          </w:p>
        </w:tc>
        <w:tc>
          <w:tcPr>
            <w:tcW w:w="791" w:type="dxa"/>
            <w:tcBorders>
              <w:top w:val="nil"/>
              <w:left w:val="nil"/>
              <w:bottom w:val="nil"/>
              <w:right w:val="nil"/>
            </w:tcBorders>
            <w:shd w:val="clear" w:color="auto" w:fill="auto"/>
            <w:noWrap/>
            <w:hideMark/>
          </w:tcPr>
          <w:p w14:paraId="7A8E6094"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0.27</w:t>
            </w:r>
          </w:p>
        </w:tc>
        <w:tc>
          <w:tcPr>
            <w:tcW w:w="839" w:type="dxa"/>
            <w:tcBorders>
              <w:top w:val="nil"/>
              <w:left w:val="nil"/>
              <w:bottom w:val="nil"/>
              <w:right w:val="nil"/>
            </w:tcBorders>
            <w:shd w:val="clear" w:color="auto" w:fill="auto"/>
            <w:noWrap/>
            <w:hideMark/>
          </w:tcPr>
          <w:p w14:paraId="431C0919" w14:textId="77777777" w:rsidR="00C11EFE" w:rsidRPr="00581D11" w:rsidRDefault="00C11EFE" w:rsidP="00C11EFE">
            <w:pPr>
              <w:jc w:val="right"/>
              <w:rPr>
                <w:rFonts w:asciiTheme="minorHAnsi" w:hAnsiTheme="minorHAnsi" w:cstheme="minorHAnsi"/>
                <w:b/>
                <w:color w:val="000000"/>
                <w:sz w:val="14"/>
                <w:szCs w:val="14"/>
                <w:lang w:val="en-US" w:eastAsia="en-US"/>
              </w:rPr>
            </w:pPr>
            <w:r w:rsidRPr="00581D11">
              <w:rPr>
                <w:rFonts w:asciiTheme="minorHAnsi" w:hAnsiTheme="minorHAnsi" w:cstheme="minorHAnsi"/>
                <w:b/>
                <w:color w:val="000000"/>
                <w:sz w:val="14"/>
                <w:szCs w:val="14"/>
                <w:lang w:val="en-US" w:eastAsia="en-US"/>
              </w:rPr>
              <w:t>27,957</w:t>
            </w:r>
          </w:p>
        </w:tc>
        <w:tc>
          <w:tcPr>
            <w:tcW w:w="1021" w:type="dxa"/>
            <w:tcBorders>
              <w:top w:val="nil"/>
              <w:left w:val="nil"/>
              <w:bottom w:val="nil"/>
              <w:right w:val="nil"/>
            </w:tcBorders>
            <w:shd w:val="clear" w:color="auto" w:fill="auto"/>
            <w:noWrap/>
            <w:hideMark/>
          </w:tcPr>
          <w:p w14:paraId="2595DD53" w14:textId="4F85C705" w:rsidR="00C11EFE" w:rsidRPr="00581D11" w:rsidRDefault="00C11EFE" w:rsidP="00C11EFE">
            <w:pPr>
              <w:jc w:val="right"/>
              <w:rPr>
                <w:rFonts w:asciiTheme="minorHAnsi" w:hAnsiTheme="minorHAnsi" w:cstheme="minorHAnsi"/>
                <w:color w:val="000000"/>
                <w:sz w:val="14"/>
                <w:szCs w:val="14"/>
                <w:lang w:val="en-US" w:eastAsia="en-US"/>
              </w:rPr>
            </w:pPr>
            <w:r w:rsidRPr="00C11EFE">
              <w:rPr>
                <w:rFonts w:asciiTheme="minorHAnsi" w:hAnsiTheme="minorHAnsi" w:cstheme="minorHAnsi"/>
                <w:color w:val="000000"/>
                <w:sz w:val="14"/>
                <w:szCs w:val="14"/>
                <w:lang w:val="en-US" w:eastAsia="en-US"/>
              </w:rPr>
              <w:t>7,548</w:t>
            </w:r>
          </w:p>
        </w:tc>
        <w:tc>
          <w:tcPr>
            <w:tcW w:w="882" w:type="dxa"/>
            <w:tcBorders>
              <w:top w:val="nil"/>
              <w:left w:val="nil"/>
              <w:bottom w:val="nil"/>
              <w:right w:val="nil"/>
            </w:tcBorders>
            <w:shd w:val="clear" w:color="auto" w:fill="auto"/>
            <w:noWrap/>
            <w:hideMark/>
          </w:tcPr>
          <w:p w14:paraId="01587972"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32,951</w:t>
            </w:r>
          </w:p>
        </w:tc>
        <w:tc>
          <w:tcPr>
            <w:tcW w:w="873" w:type="dxa"/>
            <w:tcBorders>
              <w:top w:val="nil"/>
              <w:left w:val="nil"/>
              <w:bottom w:val="nil"/>
              <w:right w:val="nil"/>
            </w:tcBorders>
            <w:shd w:val="clear" w:color="auto" w:fill="auto"/>
            <w:noWrap/>
            <w:hideMark/>
          </w:tcPr>
          <w:p w14:paraId="3A37B80C"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1.2</w:t>
            </w:r>
          </w:p>
        </w:tc>
        <w:tc>
          <w:tcPr>
            <w:tcW w:w="672" w:type="dxa"/>
            <w:tcBorders>
              <w:top w:val="nil"/>
              <w:left w:val="nil"/>
              <w:bottom w:val="nil"/>
              <w:right w:val="nil"/>
            </w:tcBorders>
            <w:shd w:val="clear" w:color="auto" w:fill="auto"/>
            <w:noWrap/>
            <w:hideMark/>
          </w:tcPr>
          <w:p w14:paraId="069C6F98"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0.003</w:t>
            </w:r>
          </w:p>
        </w:tc>
        <w:tc>
          <w:tcPr>
            <w:tcW w:w="575" w:type="dxa"/>
            <w:tcBorders>
              <w:top w:val="nil"/>
              <w:left w:val="nil"/>
              <w:bottom w:val="nil"/>
              <w:right w:val="nil"/>
            </w:tcBorders>
            <w:shd w:val="clear" w:color="auto" w:fill="auto"/>
            <w:noWrap/>
            <w:hideMark/>
          </w:tcPr>
          <w:p w14:paraId="3A71C0E2"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0.9%</w:t>
            </w:r>
          </w:p>
        </w:tc>
        <w:tc>
          <w:tcPr>
            <w:tcW w:w="575" w:type="dxa"/>
            <w:tcBorders>
              <w:top w:val="nil"/>
              <w:left w:val="nil"/>
              <w:bottom w:val="nil"/>
              <w:right w:val="nil"/>
            </w:tcBorders>
            <w:shd w:val="clear" w:color="auto" w:fill="auto"/>
            <w:noWrap/>
            <w:hideMark/>
          </w:tcPr>
          <w:p w14:paraId="39016D74"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0.2%</w:t>
            </w:r>
          </w:p>
        </w:tc>
        <w:tc>
          <w:tcPr>
            <w:tcW w:w="835" w:type="dxa"/>
            <w:tcBorders>
              <w:top w:val="nil"/>
              <w:left w:val="nil"/>
              <w:bottom w:val="nil"/>
              <w:right w:val="nil"/>
            </w:tcBorders>
            <w:shd w:val="clear" w:color="auto" w:fill="auto"/>
            <w:noWrap/>
            <w:hideMark/>
          </w:tcPr>
          <w:p w14:paraId="06D0BC55"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23,580 </w:t>
            </w:r>
          </w:p>
        </w:tc>
        <w:tc>
          <w:tcPr>
            <w:tcW w:w="660" w:type="dxa"/>
            <w:tcBorders>
              <w:top w:val="nil"/>
              <w:left w:val="nil"/>
              <w:bottom w:val="nil"/>
              <w:right w:val="nil"/>
            </w:tcBorders>
            <w:shd w:val="clear" w:color="auto" w:fill="auto"/>
            <w:noWrap/>
            <w:hideMark/>
          </w:tcPr>
          <w:p w14:paraId="10D5BD68"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20 </w:t>
            </w:r>
          </w:p>
        </w:tc>
        <w:tc>
          <w:tcPr>
            <w:tcW w:w="1182" w:type="dxa"/>
            <w:tcBorders>
              <w:top w:val="nil"/>
              <w:left w:val="nil"/>
              <w:bottom w:val="nil"/>
              <w:right w:val="nil"/>
            </w:tcBorders>
            <w:shd w:val="clear" w:color="auto" w:fill="auto"/>
            <w:noWrap/>
            <w:hideMark/>
          </w:tcPr>
          <w:p w14:paraId="72CFFEEB" w14:textId="77777777" w:rsidR="00C11EFE" w:rsidRPr="00581D11" w:rsidRDefault="00C11EFE" w:rsidP="00C11EFE">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0.27 </w:t>
            </w:r>
          </w:p>
        </w:tc>
      </w:tr>
      <w:tr w:rsidR="00581D11" w:rsidRPr="00231641" w14:paraId="61C91DEE" w14:textId="77777777" w:rsidTr="00C11EFE">
        <w:trPr>
          <w:trHeight w:hRule="exact" w:val="284"/>
        </w:trPr>
        <w:tc>
          <w:tcPr>
            <w:tcW w:w="701" w:type="dxa"/>
            <w:tcBorders>
              <w:top w:val="single" w:sz="4" w:space="0" w:color="auto"/>
              <w:left w:val="nil"/>
              <w:bottom w:val="nil"/>
              <w:right w:val="nil"/>
            </w:tcBorders>
            <w:shd w:val="clear" w:color="auto" w:fill="auto"/>
            <w:noWrap/>
            <w:hideMark/>
          </w:tcPr>
          <w:p w14:paraId="56AE644A" w14:textId="77777777" w:rsidR="00581D11" w:rsidRPr="00581D11" w:rsidRDefault="00581D11" w:rsidP="00581D11">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18</w:t>
            </w:r>
          </w:p>
        </w:tc>
        <w:tc>
          <w:tcPr>
            <w:tcW w:w="5260" w:type="dxa"/>
            <w:gridSpan w:val="3"/>
            <w:tcBorders>
              <w:top w:val="single" w:sz="4" w:space="0" w:color="auto"/>
              <w:left w:val="nil"/>
              <w:bottom w:val="nil"/>
              <w:right w:val="nil"/>
            </w:tcBorders>
            <w:shd w:val="clear" w:color="auto" w:fill="auto"/>
            <w:noWrap/>
            <w:hideMark/>
          </w:tcPr>
          <w:p w14:paraId="7B4A5906" w14:textId="77777777" w:rsidR="00581D11" w:rsidRPr="00581D11" w:rsidRDefault="00581D11" w:rsidP="00581D11">
            <w:pPr>
              <w:rPr>
                <w:rFonts w:asciiTheme="minorHAnsi" w:hAnsiTheme="minorHAnsi" w:cstheme="minorHAnsi"/>
                <w:b/>
                <w:bCs/>
                <w:color w:val="000000"/>
                <w:sz w:val="14"/>
                <w:szCs w:val="14"/>
                <w:lang w:val="en-US" w:eastAsia="en-US"/>
              </w:rPr>
            </w:pPr>
            <w:r w:rsidRPr="00581D11">
              <w:rPr>
                <w:rFonts w:asciiTheme="minorHAnsi" w:hAnsiTheme="minorHAnsi" w:cstheme="minorHAnsi"/>
                <w:b/>
                <w:bCs/>
                <w:color w:val="000000"/>
                <w:sz w:val="14"/>
                <w:szCs w:val="14"/>
                <w:lang w:val="en-US" w:eastAsia="en-US"/>
              </w:rPr>
              <w:t>Sub-total, 20 highest separation count</w:t>
            </w:r>
          </w:p>
        </w:tc>
        <w:tc>
          <w:tcPr>
            <w:tcW w:w="791" w:type="dxa"/>
            <w:tcBorders>
              <w:top w:val="single" w:sz="4" w:space="0" w:color="auto"/>
              <w:left w:val="nil"/>
              <w:bottom w:val="nil"/>
              <w:right w:val="nil"/>
            </w:tcBorders>
            <w:shd w:val="clear" w:color="auto" w:fill="auto"/>
            <w:noWrap/>
            <w:hideMark/>
          </w:tcPr>
          <w:p w14:paraId="6E463BD4" w14:textId="77777777" w:rsidR="00581D11" w:rsidRPr="00581D11" w:rsidRDefault="00581D11" w:rsidP="00581D11">
            <w:pPr>
              <w:jc w:val="right"/>
              <w:rPr>
                <w:rFonts w:asciiTheme="minorHAnsi" w:hAnsiTheme="minorHAnsi" w:cstheme="minorHAnsi"/>
                <w:b/>
                <w:bCs/>
                <w:color w:val="000000"/>
                <w:sz w:val="14"/>
                <w:szCs w:val="14"/>
                <w:lang w:val="en-US" w:eastAsia="en-US"/>
              </w:rPr>
            </w:pPr>
            <w:r w:rsidRPr="00581D11">
              <w:rPr>
                <w:rFonts w:asciiTheme="minorHAnsi" w:hAnsiTheme="minorHAnsi" w:cstheme="minorHAnsi"/>
                <w:b/>
                <w:bCs/>
                <w:color w:val="000000"/>
                <w:sz w:val="14"/>
                <w:szCs w:val="14"/>
                <w:lang w:val="en-US" w:eastAsia="en-US"/>
              </w:rPr>
              <w:t>0.41</w:t>
            </w:r>
          </w:p>
        </w:tc>
        <w:tc>
          <w:tcPr>
            <w:tcW w:w="839" w:type="dxa"/>
            <w:tcBorders>
              <w:top w:val="single" w:sz="4" w:space="0" w:color="auto"/>
              <w:left w:val="nil"/>
              <w:bottom w:val="nil"/>
              <w:right w:val="nil"/>
            </w:tcBorders>
            <w:shd w:val="clear" w:color="auto" w:fill="auto"/>
            <w:noWrap/>
            <w:hideMark/>
          </w:tcPr>
          <w:p w14:paraId="17722F93" w14:textId="77777777" w:rsidR="00581D11" w:rsidRPr="00581D11" w:rsidRDefault="00581D11" w:rsidP="00581D11">
            <w:pPr>
              <w:jc w:val="right"/>
              <w:rPr>
                <w:rFonts w:asciiTheme="minorHAnsi" w:hAnsiTheme="minorHAnsi" w:cstheme="minorHAnsi"/>
                <w:b/>
                <w:bCs/>
                <w:color w:val="000000"/>
                <w:sz w:val="14"/>
                <w:szCs w:val="14"/>
                <w:lang w:val="en-US" w:eastAsia="en-US"/>
              </w:rPr>
            </w:pPr>
            <w:r w:rsidRPr="00581D11">
              <w:rPr>
                <w:rFonts w:asciiTheme="minorHAnsi" w:hAnsiTheme="minorHAnsi" w:cstheme="minorHAnsi"/>
                <w:b/>
                <w:bCs/>
                <w:color w:val="000000"/>
                <w:sz w:val="14"/>
                <w:szCs w:val="14"/>
                <w:lang w:val="en-US" w:eastAsia="en-US"/>
              </w:rPr>
              <w:t>1,322,903</w:t>
            </w:r>
          </w:p>
        </w:tc>
        <w:tc>
          <w:tcPr>
            <w:tcW w:w="1021" w:type="dxa"/>
            <w:tcBorders>
              <w:top w:val="single" w:sz="4" w:space="0" w:color="auto"/>
              <w:left w:val="nil"/>
              <w:bottom w:val="nil"/>
              <w:right w:val="nil"/>
            </w:tcBorders>
            <w:shd w:val="clear" w:color="auto" w:fill="auto"/>
            <w:noWrap/>
            <w:hideMark/>
          </w:tcPr>
          <w:p w14:paraId="1297E21D" w14:textId="23085874" w:rsidR="00581D11" w:rsidRPr="00581D11" w:rsidRDefault="00581D11" w:rsidP="00C11EFE">
            <w:pPr>
              <w:jc w:val="right"/>
              <w:rPr>
                <w:rFonts w:asciiTheme="minorHAnsi" w:hAnsiTheme="minorHAnsi" w:cstheme="minorHAnsi"/>
                <w:b/>
                <w:bCs/>
                <w:color w:val="000000"/>
                <w:sz w:val="14"/>
                <w:szCs w:val="14"/>
                <w:lang w:val="en-US" w:eastAsia="en-US"/>
              </w:rPr>
            </w:pPr>
            <w:r w:rsidRPr="00581D11">
              <w:rPr>
                <w:rFonts w:asciiTheme="minorHAnsi" w:hAnsiTheme="minorHAnsi" w:cstheme="minorHAnsi"/>
                <w:b/>
                <w:bCs/>
                <w:color w:val="000000"/>
                <w:sz w:val="14"/>
                <w:szCs w:val="14"/>
                <w:lang w:val="en-US" w:eastAsia="en-US"/>
              </w:rPr>
              <w:t>54</w:t>
            </w:r>
            <w:r w:rsidR="00C11EFE">
              <w:rPr>
                <w:rFonts w:asciiTheme="minorHAnsi" w:hAnsiTheme="minorHAnsi" w:cstheme="minorHAnsi"/>
                <w:b/>
                <w:bCs/>
                <w:color w:val="000000"/>
                <w:sz w:val="14"/>
                <w:szCs w:val="14"/>
                <w:lang w:val="en-US" w:eastAsia="en-US"/>
              </w:rPr>
              <w:t>9</w:t>
            </w:r>
            <w:r w:rsidRPr="00581D11">
              <w:rPr>
                <w:rFonts w:asciiTheme="minorHAnsi" w:hAnsiTheme="minorHAnsi" w:cstheme="minorHAnsi"/>
                <w:b/>
                <w:bCs/>
                <w:color w:val="000000"/>
                <w:sz w:val="14"/>
                <w:szCs w:val="14"/>
                <w:lang w:val="en-US" w:eastAsia="en-US"/>
              </w:rPr>
              <w:t>,</w:t>
            </w:r>
            <w:r w:rsidR="00C11EFE">
              <w:rPr>
                <w:rFonts w:asciiTheme="minorHAnsi" w:hAnsiTheme="minorHAnsi" w:cstheme="minorHAnsi"/>
                <w:b/>
                <w:bCs/>
                <w:color w:val="000000"/>
                <w:sz w:val="14"/>
                <w:szCs w:val="14"/>
                <w:lang w:val="en-US" w:eastAsia="en-US"/>
              </w:rPr>
              <w:t>177</w:t>
            </w:r>
          </w:p>
        </w:tc>
        <w:tc>
          <w:tcPr>
            <w:tcW w:w="882" w:type="dxa"/>
            <w:tcBorders>
              <w:top w:val="single" w:sz="4" w:space="0" w:color="auto"/>
              <w:left w:val="nil"/>
              <w:bottom w:val="nil"/>
              <w:right w:val="nil"/>
            </w:tcBorders>
            <w:shd w:val="clear" w:color="auto" w:fill="auto"/>
            <w:noWrap/>
            <w:hideMark/>
          </w:tcPr>
          <w:p w14:paraId="67CA1F7D" w14:textId="77777777" w:rsidR="00581D11" w:rsidRPr="00581D11" w:rsidRDefault="00581D11" w:rsidP="00581D11">
            <w:pPr>
              <w:jc w:val="right"/>
              <w:rPr>
                <w:rFonts w:asciiTheme="minorHAnsi" w:hAnsiTheme="minorHAnsi" w:cstheme="minorHAnsi"/>
                <w:b/>
                <w:bCs/>
                <w:color w:val="000000"/>
                <w:sz w:val="14"/>
                <w:szCs w:val="14"/>
                <w:lang w:val="en-US" w:eastAsia="en-US"/>
              </w:rPr>
            </w:pPr>
            <w:r w:rsidRPr="00581D11">
              <w:rPr>
                <w:rFonts w:asciiTheme="minorHAnsi" w:hAnsiTheme="minorHAnsi" w:cstheme="minorHAnsi"/>
                <w:b/>
                <w:bCs/>
                <w:color w:val="000000"/>
                <w:sz w:val="14"/>
                <w:szCs w:val="14"/>
                <w:lang w:val="en-US" w:eastAsia="en-US"/>
              </w:rPr>
              <w:t>1,521,653</w:t>
            </w:r>
          </w:p>
        </w:tc>
        <w:tc>
          <w:tcPr>
            <w:tcW w:w="873" w:type="dxa"/>
            <w:tcBorders>
              <w:top w:val="single" w:sz="4" w:space="0" w:color="auto"/>
              <w:left w:val="nil"/>
              <w:bottom w:val="nil"/>
              <w:right w:val="nil"/>
            </w:tcBorders>
            <w:shd w:val="clear" w:color="auto" w:fill="auto"/>
            <w:noWrap/>
            <w:hideMark/>
          </w:tcPr>
          <w:p w14:paraId="5026FE03" w14:textId="77777777" w:rsidR="00581D11" w:rsidRPr="00581D11" w:rsidRDefault="00581D11" w:rsidP="00581D11">
            <w:pPr>
              <w:jc w:val="right"/>
              <w:rPr>
                <w:rFonts w:asciiTheme="minorHAnsi" w:hAnsiTheme="minorHAnsi" w:cstheme="minorHAnsi"/>
                <w:b/>
                <w:bCs/>
                <w:color w:val="000000"/>
                <w:sz w:val="14"/>
                <w:szCs w:val="14"/>
                <w:lang w:val="en-US" w:eastAsia="en-US"/>
              </w:rPr>
            </w:pPr>
            <w:r w:rsidRPr="00581D11">
              <w:rPr>
                <w:rFonts w:asciiTheme="minorHAnsi" w:hAnsiTheme="minorHAnsi" w:cstheme="minorHAnsi"/>
                <w:b/>
                <w:bCs/>
                <w:color w:val="000000"/>
                <w:sz w:val="14"/>
                <w:szCs w:val="14"/>
                <w:lang w:val="en-US" w:eastAsia="en-US"/>
              </w:rPr>
              <w:t>1.2</w:t>
            </w:r>
          </w:p>
        </w:tc>
        <w:tc>
          <w:tcPr>
            <w:tcW w:w="672" w:type="dxa"/>
            <w:tcBorders>
              <w:top w:val="single" w:sz="4" w:space="0" w:color="auto"/>
              <w:left w:val="nil"/>
              <w:bottom w:val="nil"/>
              <w:right w:val="nil"/>
            </w:tcBorders>
            <w:shd w:val="clear" w:color="auto" w:fill="auto"/>
            <w:noWrap/>
            <w:hideMark/>
          </w:tcPr>
          <w:p w14:paraId="02EB9FBF" w14:textId="77777777" w:rsidR="00581D11" w:rsidRPr="00581D11" w:rsidRDefault="00581D11" w:rsidP="00581D11">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w:t>
            </w:r>
          </w:p>
        </w:tc>
        <w:tc>
          <w:tcPr>
            <w:tcW w:w="575" w:type="dxa"/>
            <w:tcBorders>
              <w:top w:val="single" w:sz="4" w:space="0" w:color="auto"/>
              <w:left w:val="nil"/>
              <w:bottom w:val="nil"/>
              <w:right w:val="nil"/>
            </w:tcBorders>
            <w:shd w:val="clear" w:color="auto" w:fill="auto"/>
            <w:noWrap/>
            <w:hideMark/>
          </w:tcPr>
          <w:p w14:paraId="245C1005" w14:textId="77777777" w:rsidR="00581D11" w:rsidRPr="00581D11" w:rsidRDefault="00581D11" w:rsidP="00581D11">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43%</w:t>
            </w:r>
          </w:p>
        </w:tc>
        <w:tc>
          <w:tcPr>
            <w:tcW w:w="575" w:type="dxa"/>
            <w:tcBorders>
              <w:top w:val="single" w:sz="4" w:space="0" w:color="auto"/>
              <w:left w:val="nil"/>
              <w:bottom w:val="nil"/>
              <w:right w:val="nil"/>
            </w:tcBorders>
            <w:shd w:val="clear" w:color="auto" w:fill="auto"/>
            <w:noWrap/>
            <w:hideMark/>
          </w:tcPr>
          <w:p w14:paraId="7ADF5B0B" w14:textId="77777777" w:rsidR="00581D11" w:rsidRPr="00581D11" w:rsidRDefault="00581D11" w:rsidP="00581D11">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18%</w:t>
            </w:r>
          </w:p>
        </w:tc>
        <w:tc>
          <w:tcPr>
            <w:tcW w:w="835" w:type="dxa"/>
            <w:tcBorders>
              <w:top w:val="single" w:sz="4" w:space="0" w:color="auto"/>
              <w:left w:val="nil"/>
              <w:bottom w:val="nil"/>
              <w:right w:val="nil"/>
            </w:tcBorders>
            <w:shd w:val="clear" w:color="auto" w:fill="auto"/>
            <w:noWrap/>
            <w:hideMark/>
          </w:tcPr>
          <w:p w14:paraId="65B4B3EC" w14:textId="77777777" w:rsidR="00581D11" w:rsidRPr="00581D11" w:rsidRDefault="00581D11" w:rsidP="00581D11">
            <w:pPr>
              <w:rPr>
                <w:rFonts w:asciiTheme="minorHAnsi" w:hAnsiTheme="minorHAnsi" w:cstheme="minorHAnsi"/>
                <w:b/>
                <w:bCs/>
                <w:color w:val="000000"/>
                <w:sz w:val="14"/>
                <w:szCs w:val="14"/>
                <w:lang w:val="en-US" w:eastAsia="en-US"/>
              </w:rPr>
            </w:pPr>
            <w:r w:rsidRPr="00581D11">
              <w:rPr>
                <w:rFonts w:asciiTheme="minorHAnsi" w:hAnsiTheme="minorHAnsi" w:cstheme="minorHAnsi"/>
                <w:b/>
                <w:bCs/>
                <w:color w:val="000000"/>
                <w:sz w:val="14"/>
                <w:szCs w:val="14"/>
                <w:lang w:val="en-US" w:eastAsia="en-US"/>
              </w:rPr>
              <w:t> </w:t>
            </w:r>
          </w:p>
        </w:tc>
        <w:tc>
          <w:tcPr>
            <w:tcW w:w="660" w:type="dxa"/>
            <w:tcBorders>
              <w:top w:val="single" w:sz="4" w:space="0" w:color="auto"/>
              <w:left w:val="nil"/>
              <w:bottom w:val="nil"/>
              <w:right w:val="nil"/>
            </w:tcBorders>
            <w:shd w:val="clear" w:color="auto" w:fill="auto"/>
            <w:noWrap/>
            <w:hideMark/>
          </w:tcPr>
          <w:p w14:paraId="6067598C" w14:textId="77777777" w:rsidR="00581D11" w:rsidRPr="00581D11" w:rsidRDefault="00581D11" w:rsidP="00581D11">
            <w:pPr>
              <w:rPr>
                <w:rFonts w:asciiTheme="minorHAnsi" w:hAnsiTheme="minorHAnsi" w:cstheme="minorHAnsi"/>
                <w:b/>
                <w:bCs/>
                <w:color w:val="000000"/>
                <w:sz w:val="14"/>
                <w:szCs w:val="14"/>
                <w:lang w:val="en-US" w:eastAsia="en-US"/>
              </w:rPr>
            </w:pPr>
            <w:r w:rsidRPr="00581D11">
              <w:rPr>
                <w:rFonts w:asciiTheme="minorHAnsi" w:hAnsiTheme="minorHAnsi" w:cstheme="minorHAnsi"/>
                <w:b/>
                <w:bCs/>
                <w:color w:val="000000"/>
                <w:sz w:val="14"/>
                <w:szCs w:val="14"/>
                <w:lang w:val="en-US" w:eastAsia="en-US"/>
              </w:rPr>
              <w:t> </w:t>
            </w:r>
          </w:p>
        </w:tc>
        <w:tc>
          <w:tcPr>
            <w:tcW w:w="1182" w:type="dxa"/>
            <w:tcBorders>
              <w:top w:val="single" w:sz="4" w:space="0" w:color="auto"/>
              <w:left w:val="nil"/>
              <w:bottom w:val="nil"/>
              <w:right w:val="nil"/>
            </w:tcBorders>
            <w:shd w:val="clear" w:color="auto" w:fill="auto"/>
            <w:noWrap/>
            <w:hideMark/>
          </w:tcPr>
          <w:p w14:paraId="77E33084" w14:textId="77777777" w:rsidR="00581D11" w:rsidRPr="00581D11" w:rsidRDefault="00581D11" w:rsidP="00581D11">
            <w:pPr>
              <w:rPr>
                <w:rFonts w:asciiTheme="minorHAnsi" w:hAnsiTheme="minorHAnsi" w:cstheme="minorHAnsi"/>
                <w:b/>
                <w:bCs/>
                <w:color w:val="000000"/>
                <w:sz w:val="14"/>
                <w:szCs w:val="14"/>
                <w:lang w:val="en-US" w:eastAsia="en-US"/>
              </w:rPr>
            </w:pPr>
            <w:r w:rsidRPr="00581D11">
              <w:rPr>
                <w:rFonts w:asciiTheme="minorHAnsi" w:hAnsiTheme="minorHAnsi" w:cstheme="minorHAnsi"/>
                <w:b/>
                <w:bCs/>
                <w:color w:val="000000"/>
                <w:sz w:val="14"/>
                <w:szCs w:val="14"/>
                <w:lang w:val="en-US" w:eastAsia="en-US"/>
              </w:rPr>
              <w:t> </w:t>
            </w:r>
          </w:p>
        </w:tc>
      </w:tr>
      <w:tr w:rsidR="00581D11" w:rsidRPr="00231641" w14:paraId="48878EA2" w14:textId="77777777" w:rsidTr="00C11EFE">
        <w:trPr>
          <w:trHeight w:hRule="exact" w:val="284"/>
        </w:trPr>
        <w:tc>
          <w:tcPr>
            <w:tcW w:w="701" w:type="dxa"/>
            <w:tcBorders>
              <w:top w:val="nil"/>
              <w:left w:val="nil"/>
              <w:bottom w:val="nil"/>
              <w:right w:val="nil"/>
            </w:tcBorders>
            <w:shd w:val="clear" w:color="auto" w:fill="auto"/>
            <w:noWrap/>
            <w:hideMark/>
          </w:tcPr>
          <w:p w14:paraId="7B8E158A" w14:textId="77777777" w:rsidR="00581D11" w:rsidRPr="00581D11" w:rsidRDefault="00581D11" w:rsidP="00581D11">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xml:space="preserve">in </w:t>
            </w:r>
          </w:p>
        </w:tc>
        <w:tc>
          <w:tcPr>
            <w:tcW w:w="701" w:type="dxa"/>
            <w:tcBorders>
              <w:top w:val="nil"/>
              <w:left w:val="nil"/>
              <w:bottom w:val="nil"/>
              <w:right w:val="nil"/>
            </w:tcBorders>
            <w:shd w:val="clear" w:color="auto" w:fill="auto"/>
            <w:noWrap/>
            <w:hideMark/>
          </w:tcPr>
          <w:p w14:paraId="14DD466C" w14:textId="77777777" w:rsidR="00581D11" w:rsidRPr="00581D11" w:rsidRDefault="00581D11" w:rsidP="00581D11">
            <w:pPr>
              <w:rPr>
                <w:rFonts w:asciiTheme="minorHAnsi" w:hAnsiTheme="minorHAnsi" w:cstheme="minorHAnsi"/>
                <w:b/>
                <w:bCs/>
                <w:color w:val="000000"/>
                <w:sz w:val="14"/>
                <w:szCs w:val="14"/>
                <w:lang w:val="en-US" w:eastAsia="en-US"/>
              </w:rPr>
            </w:pPr>
            <w:r w:rsidRPr="00581D11">
              <w:rPr>
                <w:rFonts w:asciiTheme="minorHAnsi" w:hAnsiTheme="minorHAnsi" w:cstheme="minorHAnsi"/>
                <w:b/>
                <w:bCs/>
                <w:color w:val="000000"/>
                <w:sz w:val="14"/>
                <w:szCs w:val="14"/>
                <w:lang w:val="en-US" w:eastAsia="en-US"/>
              </w:rPr>
              <w:t>All DRGs</w:t>
            </w:r>
          </w:p>
        </w:tc>
        <w:tc>
          <w:tcPr>
            <w:tcW w:w="582" w:type="dxa"/>
            <w:tcBorders>
              <w:top w:val="nil"/>
              <w:left w:val="nil"/>
              <w:bottom w:val="nil"/>
              <w:right w:val="nil"/>
            </w:tcBorders>
            <w:shd w:val="clear" w:color="auto" w:fill="auto"/>
            <w:noWrap/>
            <w:hideMark/>
          </w:tcPr>
          <w:p w14:paraId="07E3574F" w14:textId="77777777" w:rsidR="00581D11" w:rsidRPr="00581D11" w:rsidRDefault="00581D11" w:rsidP="00581D11">
            <w:pPr>
              <w:rPr>
                <w:rFonts w:asciiTheme="minorHAnsi" w:hAnsiTheme="minorHAnsi" w:cstheme="minorHAnsi"/>
                <w:b/>
                <w:bCs/>
                <w:color w:val="000000"/>
                <w:sz w:val="14"/>
                <w:szCs w:val="14"/>
                <w:lang w:val="en-US" w:eastAsia="en-US"/>
              </w:rPr>
            </w:pPr>
          </w:p>
        </w:tc>
        <w:tc>
          <w:tcPr>
            <w:tcW w:w="3977" w:type="dxa"/>
            <w:tcBorders>
              <w:top w:val="nil"/>
              <w:left w:val="nil"/>
              <w:bottom w:val="nil"/>
              <w:right w:val="nil"/>
            </w:tcBorders>
            <w:shd w:val="clear" w:color="auto" w:fill="auto"/>
            <w:noWrap/>
            <w:hideMark/>
          </w:tcPr>
          <w:p w14:paraId="37991C69" w14:textId="5FCBA716" w:rsidR="00581D11" w:rsidRPr="00581D11" w:rsidRDefault="00581D11" w:rsidP="00581D11">
            <w:pPr>
              <w:rPr>
                <w:rFonts w:asciiTheme="minorHAnsi" w:hAnsiTheme="minorHAnsi" w:cstheme="minorHAnsi"/>
                <w:b/>
                <w:bCs/>
                <w:color w:val="000000"/>
                <w:sz w:val="14"/>
                <w:szCs w:val="14"/>
                <w:lang w:val="en-US" w:eastAsia="en-US"/>
              </w:rPr>
            </w:pPr>
            <w:r w:rsidRPr="00581D11">
              <w:rPr>
                <w:rFonts w:asciiTheme="minorHAnsi" w:hAnsiTheme="minorHAnsi" w:cstheme="minorHAnsi"/>
                <w:b/>
                <w:bCs/>
                <w:color w:val="000000"/>
                <w:sz w:val="14"/>
                <w:szCs w:val="14"/>
                <w:lang w:val="en-US" w:eastAsia="en-US"/>
              </w:rPr>
              <w:t xml:space="preserve"> </w:t>
            </w:r>
          </w:p>
        </w:tc>
        <w:tc>
          <w:tcPr>
            <w:tcW w:w="791" w:type="dxa"/>
            <w:tcBorders>
              <w:top w:val="nil"/>
              <w:left w:val="nil"/>
              <w:bottom w:val="nil"/>
              <w:right w:val="nil"/>
            </w:tcBorders>
            <w:shd w:val="clear" w:color="auto" w:fill="auto"/>
            <w:noWrap/>
            <w:hideMark/>
          </w:tcPr>
          <w:p w14:paraId="07E3B028" w14:textId="77777777" w:rsidR="00581D11" w:rsidRPr="00581D11" w:rsidRDefault="00581D11" w:rsidP="00581D11">
            <w:pPr>
              <w:jc w:val="right"/>
              <w:rPr>
                <w:rFonts w:asciiTheme="minorHAnsi" w:hAnsiTheme="minorHAnsi" w:cstheme="minorHAnsi"/>
                <w:b/>
                <w:bCs/>
                <w:color w:val="000000"/>
                <w:sz w:val="14"/>
                <w:szCs w:val="14"/>
                <w:lang w:val="en-US" w:eastAsia="en-US"/>
              </w:rPr>
            </w:pPr>
            <w:r w:rsidRPr="00581D11">
              <w:rPr>
                <w:rFonts w:asciiTheme="minorHAnsi" w:hAnsiTheme="minorHAnsi" w:cstheme="minorHAnsi"/>
                <w:b/>
                <w:bCs/>
                <w:color w:val="000000"/>
                <w:sz w:val="14"/>
                <w:szCs w:val="14"/>
                <w:lang w:val="en-US" w:eastAsia="en-US"/>
              </w:rPr>
              <w:t>1.00</w:t>
            </w:r>
          </w:p>
        </w:tc>
        <w:tc>
          <w:tcPr>
            <w:tcW w:w="839" w:type="dxa"/>
            <w:tcBorders>
              <w:top w:val="nil"/>
              <w:left w:val="nil"/>
              <w:bottom w:val="nil"/>
              <w:right w:val="nil"/>
            </w:tcBorders>
            <w:shd w:val="clear" w:color="auto" w:fill="auto"/>
            <w:noWrap/>
            <w:hideMark/>
          </w:tcPr>
          <w:p w14:paraId="44E99100" w14:textId="77777777" w:rsidR="00581D11" w:rsidRPr="00581D11" w:rsidRDefault="00581D11" w:rsidP="00581D11">
            <w:pPr>
              <w:jc w:val="right"/>
              <w:rPr>
                <w:rFonts w:asciiTheme="minorHAnsi" w:hAnsiTheme="minorHAnsi" w:cstheme="minorHAnsi"/>
                <w:b/>
                <w:bCs/>
                <w:color w:val="000000"/>
                <w:sz w:val="14"/>
                <w:szCs w:val="14"/>
                <w:lang w:val="en-US" w:eastAsia="en-US"/>
              </w:rPr>
            </w:pPr>
            <w:r w:rsidRPr="00581D11">
              <w:rPr>
                <w:rFonts w:asciiTheme="minorHAnsi" w:hAnsiTheme="minorHAnsi" w:cstheme="minorHAnsi"/>
                <w:b/>
                <w:bCs/>
                <w:color w:val="000000"/>
                <w:sz w:val="14"/>
                <w:szCs w:val="14"/>
                <w:lang w:val="en-US" w:eastAsia="en-US"/>
              </w:rPr>
              <w:t>3,051,681</w:t>
            </w:r>
          </w:p>
        </w:tc>
        <w:tc>
          <w:tcPr>
            <w:tcW w:w="1021" w:type="dxa"/>
            <w:tcBorders>
              <w:top w:val="nil"/>
              <w:left w:val="nil"/>
              <w:bottom w:val="nil"/>
              <w:right w:val="nil"/>
            </w:tcBorders>
            <w:shd w:val="clear" w:color="auto" w:fill="auto"/>
            <w:noWrap/>
            <w:hideMark/>
          </w:tcPr>
          <w:p w14:paraId="4F6C75C1" w14:textId="62774DB3" w:rsidR="00581D11" w:rsidRPr="00581D11" w:rsidRDefault="00581D11" w:rsidP="00581D11">
            <w:pPr>
              <w:jc w:val="right"/>
              <w:rPr>
                <w:rFonts w:asciiTheme="minorHAnsi" w:hAnsiTheme="minorHAnsi" w:cstheme="minorHAnsi"/>
                <w:b/>
                <w:bCs/>
                <w:color w:val="000000"/>
                <w:sz w:val="14"/>
                <w:szCs w:val="14"/>
                <w:lang w:val="en-US" w:eastAsia="en-US"/>
              </w:rPr>
            </w:pPr>
            <w:r w:rsidRPr="00581D11">
              <w:rPr>
                <w:rFonts w:asciiTheme="minorHAnsi" w:hAnsiTheme="minorHAnsi" w:cstheme="minorHAnsi"/>
                <w:b/>
                <w:bCs/>
                <w:color w:val="000000"/>
                <w:sz w:val="14"/>
                <w:szCs w:val="14"/>
                <w:lang w:val="en-US" w:eastAsia="en-US"/>
              </w:rPr>
              <w:t>3,051,681</w:t>
            </w:r>
          </w:p>
        </w:tc>
        <w:tc>
          <w:tcPr>
            <w:tcW w:w="882" w:type="dxa"/>
            <w:tcBorders>
              <w:top w:val="nil"/>
              <w:left w:val="nil"/>
              <w:bottom w:val="nil"/>
              <w:right w:val="nil"/>
            </w:tcBorders>
            <w:shd w:val="clear" w:color="auto" w:fill="auto"/>
            <w:noWrap/>
            <w:hideMark/>
          </w:tcPr>
          <w:p w14:paraId="0EEE5544" w14:textId="77777777" w:rsidR="00581D11" w:rsidRPr="00581D11" w:rsidRDefault="00581D11" w:rsidP="00581D11">
            <w:pPr>
              <w:jc w:val="right"/>
              <w:rPr>
                <w:rFonts w:asciiTheme="minorHAnsi" w:hAnsiTheme="minorHAnsi" w:cstheme="minorHAnsi"/>
                <w:b/>
                <w:bCs/>
                <w:color w:val="000000"/>
                <w:sz w:val="14"/>
                <w:szCs w:val="14"/>
                <w:lang w:val="en-US" w:eastAsia="en-US"/>
              </w:rPr>
            </w:pPr>
            <w:r w:rsidRPr="00581D11">
              <w:rPr>
                <w:rFonts w:asciiTheme="minorHAnsi" w:hAnsiTheme="minorHAnsi" w:cstheme="minorHAnsi"/>
                <w:b/>
                <w:bCs/>
                <w:color w:val="000000"/>
                <w:sz w:val="14"/>
                <w:szCs w:val="14"/>
                <w:lang w:val="en-US" w:eastAsia="en-US"/>
              </w:rPr>
              <w:t>7,153,742</w:t>
            </w:r>
          </w:p>
        </w:tc>
        <w:tc>
          <w:tcPr>
            <w:tcW w:w="873" w:type="dxa"/>
            <w:tcBorders>
              <w:top w:val="nil"/>
              <w:left w:val="nil"/>
              <w:bottom w:val="nil"/>
              <w:right w:val="nil"/>
            </w:tcBorders>
            <w:shd w:val="clear" w:color="auto" w:fill="auto"/>
            <w:noWrap/>
            <w:hideMark/>
          </w:tcPr>
          <w:p w14:paraId="6849D79C" w14:textId="77777777" w:rsidR="00581D11" w:rsidRPr="00581D11" w:rsidRDefault="00581D11" w:rsidP="00581D11">
            <w:pPr>
              <w:jc w:val="right"/>
              <w:rPr>
                <w:rFonts w:asciiTheme="minorHAnsi" w:hAnsiTheme="minorHAnsi" w:cstheme="minorHAnsi"/>
                <w:b/>
                <w:bCs/>
                <w:color w:val="000000"/>
                <w:sz w:val="14"/>
                <w:szCs w:val="14"/>
                <w:lang w:val="en-US" w:eastAsia="en-US"/>
              </w:rPr>
            </w:pPr>
            <w:r w:rsidRPr="00581D11">
              <w:rPr>
                <w:rFonts w:asciiTheme="minorHAnsi" w:hAnsiTheme="minorHAnsi" w:cstheme="minorHAnsi"/>
                <w:b/>
                <w:bCs/>
                <w:color w:val="000000"/>
                <w:sz w:val="14"/>
                <w:szCs w:val="14"/>
                <w:lang w:val="en-US" w:eastAsia="en-US"/>
              </w:rPr>
              <w:t>2.3</w:t>
            </w:r>
          </w:p>
        </w:tc>
        <w:tc>
          <w:tcPr>
            <w:tcW w:w="672" w:type="dxa"/>
            <w:tcBorders>
              <w:top w:val="nil"/>
              <w:left w:val="nil"/>
              <w:bottom w:val="nil"/>
              <w:right w:val="nil"/>
            </w:tcBorders>
            <w:shd w:val="clear" w:color="auto" w:fill="auto"/>
            <w:noWrap/>
            <w:hideMark/>
          </w:tcPr>
          <w:p w14:paraId="73E16791" w14:textId="77777777" w:rsidR="00581D11" w:rsidRPr="00581D11" w:rsidRDefault="00581D11" w:rsidP="00581D11">
            <w:pPr>
              <w:jc w:val="right"/>
              <w:rPr>
                <w:rFonts w:asciiTheme="minorHAnsi" w:hAnsiTheme="minorHAnsi" w:cstheme="minorHAnsi"/>
                <w:b/>
                <w:bCs/>
                <w:color w:val="000000"/>
                <w:sz w:val="14"/>
                <w:szCs w:val="14"/>
                <w:lang w:val="en-US" w:eastAsia="en-US"/>
              </w:rPr>
            </w:pPr>
          </w:p>
        </w:tc>
        <w:tc>
          <w:tcPr>
            <w:tcW w:w="575" w:type="dxa"/>
            <w:tcBorders>
              <w:top w:val="nil"/>
              <w:left w:val="nil"/>
              <w:bottom w:val="nil"/>
              <w:right w:val="nil"/>
            </w:tcBorders>
            <w:shd w:val="clear" w:color="auto" w:fill="auto"/>
            <w:noWrap/>
            <w:hideMark/>
          </w:tcPr>
          <w:p w14:paraId="294F1519" w14:textId="77777777" w:rsidR="00581D11" w:rsidRPr="00581D11" w:rsidRDefault="00581D11" w:rsidP="00581D11">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100%</w:t>
            </w:r>
          </w:p>
        </w:tc>
        <w:tc>
          <w:tcPr>
            <w:tcW w:w="575" w:type="dxa"/>
            <w:tcBorders>
              <w:top w:val="nil"/>
              <w:left w:val="nil"/>
              <w:bottom w:val="nil"/>
              <w:right w:val="nil"/>
            </w:tcBorders>
            <w:shd w:val="clear" w:color="auto" w:fill="auto"/>
            <w:noWrap/>
            <w:hideMark/>
          </w:tcPr>
          <w:p w14:paraId="59E91774" w14:textId="77777777" w:rsidR="00581D11" w:rsidRPr="00581D11" w:rsidRDefault="00581D11" w:rsidP="00581D11">
            <w:pPr>
              <w:jc w:val="right"/>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100%</w:t>
            </w:r>
          </w:p>
        </w:tc>
        <w:tc>
          <w:tcPr>
            <w:tcW w:w="835" w:type="dxa"/>
            <w:tcBorders>
              <w:top w:val="nil"/>
              <w:left w:val="nil"/>
              <w:bottom w:val="nil"/>
              <w:right w:val="nil"/>
            </w:tcBorders>
            <w:shd w:val="clear" w:color="auto" w:fill="auto"/>
            <w:noWrap/>
            <w:hideMark/>
          </w:tcPr>
          <w:p w14:paraId="5E359FE5" w14:textId="77777777" w:rsidR="00581D11" w:rsidRPr="00581D11" w:rsidRDefault="00581D11" w:rsidP="00581D11">
            <w:pPr>
              <w:jc w:val="right"/>
              <w:rPr>
                <w:rFonts w:asciiTheme="minorHAnsi" w:hAnsiTheme="minorHAnsi" w:cstheme="minorHAnsi"/>
                <w:color w:val="000000"/>
                <w:sz w:val="14"/>
                <w:szCs w:val="14"/>
                <w:lang w:val="en-US" w:eastAsia="en-US"/>
              </w:rPr>
            </w:pPr>
          </w:p>
        </w:tc>
        <w:tc>
          <w:tcPr>
            <w:tcW w:w="660" w:type="dxa"/>
            <w:tcBorders>
              <w:top w:val="nil"/>
              <w:left w:val="nil"/>
              <w:bottom w:val="nil"/>
              <w:right w:val="nil"/>
            </w:tcBorders>
            <w:shd w:val="clear" w:color="auto" w:fill="auto"/>
            <w:noWrap/>
            <w:hideMark/>
          </w:tcPr>
          <w:p w14:paraId="4A43FD77" w14:textId="77777777" w:rsidR="00581D11" w:rsidRPr="00581D11" w:rsidRDefault="00581D11" w:rsidP="00581D11">
            <w:pPr>
              <w:rPr>
                <w:rFonts w:asciiTheme="minorHAnsi" w:hAnsiTheme="minorHAnsi" w:cstheme="minorHAnsi"/>
                <w:sz w:val="20"/>
                <w:lang w:val="en-US" w:eastAsia="en-US"/>
              </w:rPr>
            </w:pPr>
          </w:p>
        </w:tc>
        <w:tc>
          <w:tcPr>
            <w:tcW w:w="1182" w:type="dxa"/>
            <w:tcBorders>
              <w:top w:val="nil"/>
              <w:left w:val="nil"/>
              <w:bottom w:val="nil"/>
              <w:right w:val="nil"/>
            </w:tcBorders>
            <w:shd w:val="clear" w:color="auto" w:fill="auto"/>
            <w:noWrap/>
            <w:hideMark/>
          </w:tcPr>
          <w:p w14:paraId="2D5F9FF0" w14:textId="77777777" w:rsidR="00581D11" w:rsidRPr="00581D11" w:rsidRDefault="00581D11" w:rsidP="00581D11">
            <w:pPr>
              <w:rPr>
                <w:rFonts w:asciiTheme="minorHAnsi" w:hAnsiTheme="minorHAnsi" w:cstheme="minorHAnsi"/>
                <w:b/>
                <w:bCs/>
                <w:color w:val="000000"/>
                <w:sz w:val="14"/>
                <w:szCs w:val="14"/>
                <w:lang w:val="en-US" w:eastAsia="en-US"/>
              </w:rPr>
            </w:pPr>
            <w:r w:rsidRPr="00581D11">
              <w:rPr>
                <w:rFonts w:asciiTheme="minorHAnsi" w:hAnsiTheme="minorHAnsi" w:cstheme="minorHAnsi"/>
                <w:b/>
                <w:bCs/>
                <w:color w:val="000000"/>
                <w:sz w:val="14"/>
                <w:szCs w:val="14"/>
                <w:lang w:val="en-US" w:eastAsia="en-US"/>
              </w:rPr>
              <w:t> </w:t>
            </w:r>
          </w:p>
        </w:tc>
      </w:tr>
      <w:tr w:rsidR="00581D11" w:rsidRPr="00231641" w14:paraId="52B8E10B" w14:textId="77777777" w:rsidTr="00C11EFE">
        <w:trPr>
          <w:trHeight w:hRule="exact" w:val="284"/>
        </w:trPr>
        <w:tc>
          <w:tcPr>
            <w:tcW w:w="701" w:type="dxa"/>
            <w:tcBorders>
              <w:top w:val="nil"/>
              <w:left w:val="nil"/>
              <w:bottom w:val="single" w:sz="4" w:space="0" w:color="auto"/>
              <w:right w:val="nil"/>
            </w:tcBorders>
            <w:shd w:val="clear" w:color="auto" w:fill="auto"/>
            <w:noWrap/>
            <w:hideMark/>
          </w:tcPr>
          <w:p w14:paraId="1377AB88" w14:textId="77777777" w:rsidR="00581D11" w:rsidRPr="00581D11" w:rsidRDefault="00581D11" w:rsidP="00581D11">
            <w:pPr>
              <w:jc w:val="cente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Top 20</w:t>
            </w:r>
          </w:p>
        </w:tc>
        <w:tc>
          <w:tcPr>
            <w:tcW w:w="5260" w:type="dxa"/>
            <w:gridSpan w:val="3"/>
            <w:tcBorders>
              <w:top w:val="nil"/>
              <w:left w:val="nil"/>
              <w:bottom w:val="single" w:sz="4" w:space="0" w:color="auto"/>
              <w:right w:val="nil"/>
            </w:tcBorders>
            <w:shd w:val="clear" w:color="auto" w:fill="auto"/>
            <w:noWrap/>
            <w:hideMark/>
          </w:tcPr>
          <w:p w14:paraId="70FC293D" w14:textId="26D8EF34" w:rsidR="00581D11" w:rsidRPr="00581D11" w:rsidRDefault="00581D11" w:rsidP="00581D11">
            <w:pPr>
              <w:rPr>
                <w:rFonts w:asciiTheme="minorHAnsi" w:hAnsiTheme="minorHAnsi" w:cstheme="minorHAnsi"/>
                <w:b/>
                <w:bCs/>
                <w:color w:val="000000"/>
                <w:sz w:val="14"/>
                <w:szCs w:val="14"/>
                <w:lang w:val="en-US" w:eastAsia="en-US"/>
              </w:rPr>
            </w:pPr>
            <w:r w:rsidRPr="00581D11">
              <w:rPr>
                <w:rFonts w:asciiTheme="minorHAnsi" w:hAnsiTheme="minorHAnsi" w:cstheme="minorHAnsi"/>
                <w:b/>
                <w:bCs/>
                <w:color w:val="000000"/>
                <w:sz w:val="14"/>
                <w:szCs w:val="14"/>
                <w:lang w:val="en-US" w:eastAsia="en-US"/>
              </w:rPr>
              <w:t>Top 20 separation count, % of all DRGs</w:t>
            </w:r>
          </w:p>
        </w:tc>
        <w:tc>
          <w:tcPr>
            <w:tcW w:w="791" w:type="dxa"/>
            <w:tcBorders>
              <w:top w:val="nil"/>
              <w:left w:val="nil"/>
              <w:bottom w:val="single" w:sz="4" w:space="0" w:color="auto"/>
              <w:right w:val="nil"/>
            </w:tcBorders>
            <w:shd w:val="clear" w:color="auto" w:fill="auto"/>
            <w:noWrap/>
            <w:hideMark/>
          </w:tcPr>
          <w:p w14:paraId="14C70924" w14:textId="77777777" w:rsidR="00581D11" w:rsidRPr="00581D11" w:rsidRDefault="00581D11" w:rsidP="00581D11">
            <w:pPr>
              <w:rPr>
                <w:rFonts w:asciiTheme="minorHAnsi" w:hAnsiTheme="minorHAnsi" w:cstheme="minorHAnsi"/>
                <w:b/>
                <w:bCs/>
                <w:color w:val="000000"/>
                <w:sz w:val="14"/>
                <w:szCs w:val="14"/>
                <w:lang w:val="en-US" w:eastAsia="en-US"/>
              </w:rPr>
            </w:pPr>
            <w:r w:rsidRPr="00581D11">
              <w:rPr>
                <w:rFonts w:asciiTheme="minorHAnsi" w:hAnsiTheme="minorHAnsi" w:cstheme="minorHAnsi"/>
                <w:b/>
                <w:bCs/>
                <w:color w:val="000000"/>
                <w:sz w:val="14"/>
                <w:szCs w:val="14"/>
                <w:lang w:val="en-US" w:eastAsia="en-US"/>
              </w:rPr>
              <w:t> </w:t>
            </w:r>
          </w:p>
        </w:tc>
        <w:tc>
          <w:tcPr>
            <w:tcW w:w="839" w:type="dxa"/>
            <w:tcBorders>
              <w:top w:val="nil"/>
              <w:left w:val="nil"/>
              <w:bottom w:val="single" w:sz="4" w:space="0" w:color="auto"/>
              <w:right w:val="nil"/>
            </w:tcBorders>
            <w:shd w:val="clear" w:color="auto" w:fill="auto"/>
            <w:noWrap/>
            <w:hideMark/>
          </w:tcPr>
          <w:p w14:paraId="32B666D9" w14:textId="24A5AFE8" w:rsidR="00581D11" w:rsidRPr="00581D11" w:rsidRDefault="00581D11" w:rsidP="00581D11">
            <w:pPr>
              <w:jc w:val="right"/>
              <w:rPr>
                <w:rFonts w:asciiTheme="minorHAnsi" w:hAnsiTheme="minorHAnsi" w:cstheme="minorHAnsi"/>
                <w:b/>
                <w:bCs/>
                <w:color w:val="000000"/>
                <w:sz w:val="14"/>
                <w:szCs w:val="14"/>
                <w:lang w:val="en-US" w:eastAsia="en-US"/>
              </w:rPr>
            </w:pPr>
            <w:r w:rsidRPr="00581D11">
              <w:rPr>
                <w:rFonts w:asciiTheme="minorHAnsi" w:hAnsiTheme="minorHAnsi" w:cstheme="minorHAnsi"/>
                <w:b/>
                <w:bCs/>
                <w:color w:val="000000"/>
                <w:sz w:val="14"/>
                <w:szCs w:val="14"/>
                <w:lang w:val="en-US" w:eastAsia="en-US"/>
              </w:rPr>
              <w:t>43%</w:t>
            </w:r>
          </w:p>
        </w:tc>
        <w:tc>
          <w:tcPr>
            <w:tcW w:w="1021" w:type="dxa"/>
            <w:tcBorders>
              <w:top w:val="nil"/>
              <w:left w:val="nil"/>
              <w:bottom w:val="single" w:sz="4" w:space="0" w:color="auto"/>
              <w:right w:val="nil"/>
            </w:tcBorders>
            <w:shd w:val="clear" w:color="auto" w:fill="auto"/>
            <w:noWrap/>
            <w:hideMark/>
          </w:tcPr>
          <w:p w14:paraId="1A945239" w14:textId="5A062940" w:rsidR="00581D11" w:rsidRPr="00581D11" w:rsidRDefault="00581D11" w:rsidP="00581D11">
            <w:pPr>
              <w:jc w:val="right"/>
              <w:rPr>
                <w:rFonts w:asciiTheme="minorHAnsi" w:hAnsiTheme="minorHAnsi" w:cstheme="minorHAnsi"/>
                <w:b/>
                <w:bCs/>
                <w:color w:val="000000"/>
                <w:sz w:val="14"/>
                <w:szCs w:val="14"/>
                <w:lang w:val="en-US" w:eastAsia="en-US"/>
              </w:rPr>
            </w:pPr>
            <w:r w:rsidRPr="00581D11">
              <w:rPr>
                <w:rFonts w:asciiTheme="minorHAnsi" w:hAnsiTheme="minorHAnsi" w:cstheme="minorHAnsi"/>
                <w:b/>
                <w:bCs/>
                <w:color w:val="000000"/>
                <w:sz w:val="14"/>
                <w:szCs w:val="14"/>
                <w:lang w:val="en-US" w:eastAsia="en-US"/>
              </w:rPr>
              <w:t>18%</w:t>
            </w:r>
          </w:p>
        </w:tc>
        <w:tc>
          <w:tcPr>
            <w:tcW w:w="882" w:type="dxa"/>
            <w:tcBorders>
              <w:top w:val="nil"/>
              <w:left w:val="nil"/>
              <w:bottom w:val="single" w:sz="4" w:space="0" w:color="auto"/>
              <w:right w:val="nil"/>
            </w:tcBorders>
            <w:shd w:val="clear" w:color="auto" w:fill="auto"/>
            <w:noWrap/>
            <w:hideMark/>
          </w:tcPr>
          <w:p w14:paraId="472321CF" w14:textId="77777777" w:rsidR="00581D11" w:rsidRPr="00581D11" w:rsidRDefault="00581D11" w:rsidP="00581D11">
            <w:pPr>
              <w:jc w:val="right"/>
              <w:rPr>
                <w:rFonts w:asciiTheme="minorHAnsi" w:hAnsiTheme="minorHAnsi" w:cstheme="minorHAnsi"/>
                <w:b/>
                <w:bCs/>
                <w:color w:val="000000"/>
                <w:sz w:val="14"/>
                <w:szCs w:val="14"/>
                <w:lang w:val="en-US" w:eastAsia="en-US"/>
              </w:rPr>
            </w:pPr>
            <w:r w:rsidRPr="00581D11">
              <w:rPr>
                <w:rFonts w:asciiTheme="minorHAnsi" w:hAnsiTheme="minorHAnsi" w:cstheme="minorHAnsi"/>
                <w:b/>
                <w:bCs/>
                <w:color w:val="000000"/>
                <w:sz w:val="14"/>
                <w:szCs w:val="14"/>
                <w:lang w:val="en-US" w:eastAsia="en-US"/>
              </w:rPr>
              <w:t>21%</w:t>
            </w:r>
          </w:p>
        </w:tc>
        <w:tc>
          <w:tcPr>
            <w:tcW w:w="873" w:type="dxa"/>
            <w:tcBorders>
              <w:top w:val="nil"/>
              <w:left w:val="nil"/>
              <w:bottom w:val="single" w:sz="4" w:space="0" w:color="auto"/>
              <w:right w:val="nil"/>
            </w:tcBorders>
            <w:shd w:val="clear" w:color="auto" w:fill="auto"/>
            <w:noWrap/>
            <w:hideMark/>
          </w:tcPr>
          <w:p w14:paraId="29D4D885" w14:textId="77777777" w:rsidR="00581D11" w:rsidRPr="00581D11" w:rsidRDefault="00581D11" w:rsidP="00581D11">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w:t>
            </w:r>
          </w:p>
        </w:tc>
        <w:tc>
          <w:tcPr>
            <w:tcW w:w="672" w:type="dxa"/>
            <w:tcBorders>
              <w:top w:val="nil"/>
              <w:left w:val="nil"/>
              <w:bottom w:val="single" w:sz="4" w:space="0" w:color="auto"/>
              <w:right w:val="nil"/>
            </w:tcBorders>
            <w:shd w:val="clear" w:color="auto" w:fill="auto"/>
            <w:noWrap/>
            <w:hideMark/>
          </w:tcPr>
          <w:p w14:paraId="65832362" w14:textId="77777777" w:rsidR="00581D11" w:rsidRPr="00581D11" w:rsidRDefault="00581D11" w:rsidP="00581D11">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w:t>
            </w:r>
          </w:p>
        </w:tc>
        <w:tc>
          <w:tcPr>
            <w:tcW w:w="575" w:type="dxa"/>
            <w:tcBorders>
              <w:top w:val="nil"/>
              <w:left w:val="nil"/>
              <w:bottom w:val="single" w:sz="4" w:space="0" w:color="auto"/>
              <w:right w:val="nil"/>
            </w:tcBorders>
            <w:shd w:val="clear" w:color="auto" w:fill="auto"/>
            <w:noWrap/>
            <w:hideMark/>
          </w:tcPr>
          <w:p w14:paraId="72F141DD" w14:textId="77777777" w:rsidR="00581D11" w:rsidRPr="00581D11" w:rsidRDefault="00581D11" w:rsidP="00581D11">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w:t>
            </w:r>
          </w:p>
        </w:tc>
        <w:tc>
          <w:tcPr>
            <w:tcW w:w="575" w:type="dxa"/>
            <w:tcBorders>
              <w:top w:val="nil"/>
              <w:left w:val="nil"/>
              <w:bottom w:val="single" w:sz="4" w:space="0" w:color="auto"/>
              <w:right w:val="nil"/>
            </w:tcBorders>
            <w:shd w:val="clear" w:color="auto" w:fill="auto"/>
            <w:noWrap/>
            <w:hideMark/>
          </w:tcPr>
          <w:p w14:paraId="2C789E44" w14:textId="77777777" w:rsidR="00581D11" w:rsidRPr="00581D11" w:rsidRDefault="00581D11" w:rsidP="00581D11">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w:t>
            </w:r>
          </w:p>
        </w:tc>
        <w:tc>
          <w:tcPr>
            <w:tcW w:w="835" w:type="dxa"/>
            <w:tcBorders>
              <w:top w:val="nil"/>
              <w:left w:val="nil"/>
              <w:bottom w:val="single" w:sz="4" w:space="0" w:color="auto"/>
              <w:right w:val="nil"/>
            </w:tcBorders>
            <w:shd w:val="clear" w:color="auto" w:fill="auto"/>
            <w:noWrap/>
            <w:hideMark/>
          </w:tcPr>
          <w:p w14:paraId="2A5C6E98" w14:textId="77777777" w:rsidR="00581D11" w:rsidRPr="00581D11" w:rsidRDefault="00581D11" w:rsidP="00581D11">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w:t>
            </w:r>
          </w:p>
        </w:tc>
        <w:tc>
          <w:tcPr>
            <w:tcW w:w="660" w:type="dxa"/>
            <w:tcBorders>
              <w:top w:val="nil"/>
              <w:left w:val="nil"/>
              <w:bottom w:val="single" w:sz="4" w:space="0" w:color="auto"/>
              <w:right w:val="nil"/>
            </w:tcBorders>
            <w:shd w:val="clear" w:color="auto" w:fill="auto"/>
            <w:noWrap/>
            <w:hideMark/>
          </w:tcPr>
          <w:p w14:paraId="370B9988" w14:textId="77777777" w:rsidR="00581D11" w:rsidRPr="00581D11" w:rsidRDefault="00581D11" w:rsidP="00581D11">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w:t>
            </w:r>
          </w:p>
        </w:tc>
        <w:tc>
          <w:tcPr>
            <w:tcW w:w="1182" w:type="dxa"/>
            <w:tcBorders>
              <w:top w:val="nil"/>
              <w:left w:val="nil"/>
              <w:bottom w:val="single" w:sz="4" w:space="0" w:color="auto"/>
              <w:right w:val="nil"/>
            </w:tcBorders>
            <w:shd w:val="clear" w:color="auto" w:fill="auto"/>
            <w:noWrap/>
            <w:hideMark/>
          </w:tcPr>
          <w:p w14:paraId="530DC7DA" w14:textId="77777777" w:rsidR="00581D11" w:rsidRPr="00581D11" w:rsidRDefault="00581D11" w:rsidP="00581D11">
            <w:pPr>
              <w:rPr>
                <w:rFonts w:asciiTheme="minorHAnsi" w:hAnsiTheme="minorHAnsi" w:cstheme="minorHAnsi"/>
                <w:color w:val="000000"/>
                <w:sz w:val="14"/>
                <w:szCs w:val="14"/>
                <w:lang w:val="en-US" w:eastAsia="en-US"/>
              </w:rPr>
            </w:pPr>
            <w:r w:rsidRPr="00581D11">
              <w:rPr>
                <w:rFonts w:asciiTheme="minorHAnsi" w:hAnsiTheme="minorHAnsi" w:cstheme="minorHAnsi"/>
                <w:color w:val="000000"/>
                <w:sz w:val="14"/>
                <w:szCs w:val="14"/>
                <w:lang w:val="en-US" w:eastAsia="en-US"/>
              </w:rPr>
              <w:t> </w:t>
            </w:r>
          </w:p>
        </w:tc>
      </w:tr>
    </w:tbl>
    <w:p w14:paraId="17AAA145" w14:textId="473FE4E5" w:rsidR="00231641" w:rsidRPr="00164B39" w:rsidRDefault="00231641" w:rsidP="00A53818">
      <w:pPr>
        <w:spacing w:after="0"/>
        <w:rPr>
          <w:rFonts w:asciiTheme="minorHAnsi" w:hAnsiTheme="minorHAnsi" w:cstheme="minorHAnsi"/>
          <w:sz w:val="14"/>
        </w:rPr>
      </w:pPr>
      <w:r w:rsidRPr="00164B39">
        <w:rPr>
          <w:rFonts w:asciiTheme="minorHAnsi" w:hAnsiTheme="minorHAnsi" w:cstheme="minorHAnsi"/>
          <w:color w:val="008A00" w:themeColor="accent2"/>
          <w:sz w:val="14"/>
        </w:rPr>
        <w:t>Notes</w:t>
      </w:r>
      <w:r w:rsidRPr="00164B39">
        <w:rPr>
          <w:rFonts w:asciiTheme="minorHAnsi" w:hAnsiTheme="minorHAnsi" w:cstheme="minorHAnsi"/>
          <w:sz w:val="14"/>
        </w:rPr>
        <w:tab/>
      </w:r>
      <w:r w:rsidRPr="00164B39">
        <w:rPr>
          <w:rFonts w:asciiTheme="minorHAnsi" w:hAnsiTheme="minorHAnsi" w:cstheme="minorHAnsi"/>
          <w:sz w:val="14"/>
        </w:rPr>
        <w:tab/>
      </w:r>
    </w:p>
    <w:p w14:paraId="07F98573" w14:textId="184762C4" w:rsidR="00231641" w:rsidRPr="00164B39" w:rsidRDefault="00231641" w:rsidP="00A53818">
      <w:pPr>
        <w:spacing w:after="0"/>
        <w:rPr>
          <w:rFonts w:asciiTheme="minorHAnsi" w:hAnsiTheme="minorHAnsi" w:cstheme="minorHAnsi"/>
          <w:sz w:val="14"/>
        </w:rPr>
      </w:pPr>
      <w:r w:rsidRPr="00164B39">
        <w:rPr>
          <w:rFonts w:asciiTheme="minorHAnsi" w:hAnsiTheme="minorHAnsi" w:cstheme="minorHAnsi"/>
          <w:sz w:val="14"/>
        </w:rPr>
        <w:t xml:space="preserve">(a) For cost weight (cost bucket specific) calculations please refer to </w:t>
      </w:r>
      <w:r w:rsidR="00544B40" w:rsidRPr="00164B39">
        <w:rPr>
          <w:rFonts w:asciiTheme="minorHAnsi" w:hAnsiTheme="minorHAnsi" w:cstheme="minorHAnsi"/>
          <w:sz w:val="14"/>
        </w:rPr>
        <w:fldChar w:fldCharType="begin"/>
      </w:r>
      <w:r w:rsidR="00544B40" w:rsidRPr="00164B39">
        <w:rPr>
          <w:rFonts w:asciiTheme="minorHAnsi" w:hAnsiTheme="minorHAnsi" w:cstheme="minorHAnsi"/>
          <w:sz w:val="14"/>
        </w:rPr>
        <w:instrText xml:space="preserve"> REF _Ref497335615 \h  \* MERGEFORMAT </w:instrText>
      </w:r>
      <w:r w:rsidR="00544B40" w:rsidRPr="00164B39">
        <w:rPr>
          <w:rFonts w:asciiTheme="minorHAnsi" w:hAnsiTheme="minorHAnsi" w:cstheme="minorHAnsi"/>
          <w:sz w:val="14"/>
        </w:rPr>
      </w:r>
      <w:r w:rsidR="00544B40" w:rsidRPr="00164B39">
        <w:rPr>
          <w:rFonts w:asciiTheme="minorHAnsi" w:hAnsiTheme="minorHAnsi" w:cstheme="minorHAnsi"/>
          <w:sz w:val="14"/>
        </w:rPr>
        <w:fldChar w:fldCharType="separate"/>
      </w:r>
      <w:r w:rsidR="00681CD9" w:rsidRPr="00681CD9">
        <w:rPr>
          <w:rFonts w:asciiTheme="minorHAnsi" w:hAnsiTheme="minorHAnsi" w:cstheme="minorHAnsi"/>
          <w:sz w:val="14"/>
        </w:rPr>
        <w:t>Appendix D: Cost weight tables by AR-DRG Version 8.0</w:t>
      </w:r>
      <w:r w:rsidR="00544B40" w:rsidRPr="00164B39">
        <w:rPr>
          <w:rFonts w:asciiTheme="minorHAnsi" w:hAnsiTheme="minorHAnsi" w:cstheme="minorHAnsi"/>
          <w:sz w:val="14"/>
        </w:rPr>
        <w:fldChar w:fldCharType="end"/>
      </w:r>
      <w:r w:rsidR="00544B40" w:rsidRPr="00164B39">
        <w:rPr>
          <w:rFonts w:asciiTheme="minorHAnsi" w:hAnsiTheme="minorHAnsi" w:cstheme="minorHAnsi"/>
          <w:sz w:val="14"/>
        </w:rPr>
        <w:tab/>
      </w:r>
      <w:r w:rsidRPr="00164B39">
        <w:rPr>
          <w:rFonts w:asciiTheme="minorHAnsi" w:hAnsiTheme="minorHAnsi" w:cstheme="minorHAnsi"/>
          <w:sz w:val="14"/>
        </w:rPr>
        <w:tab/>
      </w:r>
    </w:p>
    <w:p w14:paraId="0A8134CB" w14:textId="27E7B654" w:rsidR="00231641" w:rsidRPr="00164B39" w:rsidRDefault="00231641" w:rsidP="00A53818">
      <w:pPr>
        <w:spacing w:after="0"/>
        <w:rPr>
          <w:rFonts w:asciiTheme="minorHAnsi" w:hAnsiTheme="minorHAnsi" w:cstheme="minorHAnsi"/>
          <w:sz w:val="14"/>
        </w:rPr>
      </w:pPr>
      <w:r w:rsidRPr="00164B39">
        <w:rPr>
          <w:rFonts w:asciiTheme="minorHAnsi" w:hAnsiTheme="minorHAnsi" w:cstheme="minorHAnsi"/>
          <w:sz w:val="14"/>
        </w:rPr>
        <w:t>(b) Separations shown are strata weighted</w:t>
      </w:r>
      <w:r w:rsidRPr="00164B39">
        <w:rPr>
          <w:rFonts w:asciiTheme="minorHAnsi" w:hAnsiTheme="minorHAnsi" w:cstheme="minorHAnsi"/>
          <w:sz w:val="14"/>
        </w:rPr>
        <w:tab/>
      </w:r>
    </w:p>
    <w:p w14:paraId="19D30313" w14:textId="1847D8FE" w:rsidR="00231641" w:rsidRPr="00164B39" w:rsidRDefault="00231641" w:rsidP="00A53818">
      <w:pPr>
        <w:spacing w:after="0"/>
        <w:rPr>
          <w:rFonts w:asciiTheme="minorHAnsi" w:hAnsiTheme="minorHAnsi" w:cstheme="minorHAnsi"/>
          <w:sz w:val="14"/>
        </w:rPr>
      </w:pPr>
      <w:r w:rsidRPr="00164B39">
        <w:rPr>
          <w:rFonts w:asciiTheme="minorHAnsi" w:hAnsiTheme="minorHAnsi" w:cstheme="minorHAnsi"/>
          <w:sz w:val="14"/>
        </w:rPr>
        <w:t xml:space="preserve">(e) </w:t>
      </w:r>
      <w:proofErr w:type="spellStart"/>
      <w:r w:rsidRPr="00164B39">
        <w:rPr>
          <w:rFonts w:asciiTheme="minorHAnsi" w:hAnsiTheme="minorHAnsi" w:cstheme="minorHAnsi"/>
          <w:sz w:val="14"/>
        </w:rPr>
        <w:t>ALoS</w:t>
      </w:r>
      <w:proofErr w:type="spellEnd"/>
      <w:r w:rsidRPr="00164B39">
        <w:rPr>
          <w:rFonts w:asciiTheme="minorHAnsi" w:hAnsiTheme="minorHAnsi" w:cstheme="minorHAnsi"/>
          <w:sz w:val="14"/>
        </w:rPr>
        <w:t xml:space="preserve"> means average length of stay</w:t>
      </w:r>
      <w:r w:rsidRPr="00164B39">
        <w:rPr>
          <w:rFonts w:asciiTheme="minorHAnsi" w:hAnsiTheme="minorHAnsi" w:cstheme="minorHAnsi"/>
          <w:sz w:val="14"/>
        </w:rPr>
        <w:tab/>
      </w:r>
    </w:p>
    <w:p w14:paraId="5188AB4F" w14:textId="0214A0AC" w:rsidR="005D7320" w:rsidRDefault="005D7320" w:rsidP="00231641">
      <w:pPr>
        <w:pStyle w:val="Tablesheadings"/>
      </w:pPr>
      <w:r>
        <w:br w:type="page"/>
      </w:r>
    </w:p>
    <w:p w14:paraId="4328BDCF" w14:textId="77777777" w:rsidR="00581D11" w:rsidRDefault="00581D11" w:rsidP="005D7320">
      <w:pPr>
        <w:pStyle w:val="Figureheadings"/>
        <w:sectPr w:rsidR="00581D11" w:rsidSect="004F7ECE">
          <w:pgSz w:w="16840" w:h="11907" w:orient="landscape" w:code="9"/>
          <w:pgMar w:top="1701" w:right="2041" w:bottom="1440" w:left="1021" w:header="680" w:footer="510" w:gutter="0"/>
          <w:cols w:space="708"/>
          <w:docGrid w:linePitch="360"/>
        </w:sectPr>
      </w:pPr>
    </w:p>
    <w:p w14:paraId="581D2B79" w14:textId="02B149B8" w:rsidR="005D7320" w:rsidRDefault="005D7320" w:rsidP="00823FE0">
      <w:pPr>
        <w:pStyle w:val="Heading3"/>
        <w:rPr>
          <w:rFonts w:ascii="Georgia" w:hAnsi="Georgia"/>
          <w:sz w:val="20"/>
          <w:szCs w:val="20"/>
        </w:rPr>
      </w:pPr>
      <w:bookmarkStart w:id="180" w:name="_Ref433277770"/>
      <w:bookmarkStart w:id="181" w:name="_Toc496857580"/>
      <w:r>
        <w:lastRenderedPageBreak/>
        <w:t>Top 20 DRGs ranked by highest cost-weighted separations</w:t>
      </w:r>
      <w:bookmarkEnd w:id="180"/>
      <w:bookmarkEnd w:id="181"/>
    </w:p>
    <w:p w14:paraId="721995A0" w14:textId="40B91F7F" w:rsidR="005D7320" w:rsidRPr="00D60A39" w:rsidRDefault="005D7320" w:rsidP="005D7320">
      <w:pPr>
        <w:pStyle w:val="Intro"/>
      </w:pPr>
      <w:r w:rsidRPr="00D60A39">
        <w:t>Key findings</w:t>
      </w:r>
    </w:p>
    <w:p w14:paraId="6A6B573A" w14:textId="3DED8AFF" w:rsidR="00E7439E" w:rsidRDefault="006654BA" w:rsidP="005D7320">
      <w:r>
        <w:t>Table 7</w:t>
      </w:r>
      <w:r w:rsidR="009E6DCF">
        <w:t xml:space="preserve"> and </w:t>
      </w:r>
      <w:r>
        <w:t>Figure 3</w:t>
      </w:r>
      <w:r w:rsidR="005D7320" w:rsidRPr="002D6B6A">
        <w:t xml:space="preserve"> present the top 20 DRGs ranked by highest cost-weight separations.  A cost weighted separation refers to the number of population-adjusted separations multiplied by the cost weight for that DRG, and measures the total cost associated with that DRG. </w:t>
      </w:r>
    </w:p>
    <w:p w14:paraId="32FE43A8" w14:textId="3FC08C0B" w:rsidR="00E7439E" w:rsidRDefault="006654BA" w:rsidP="005D7320">
      <w:r>
        <w:t>Figure 3</w:t>
      </w:r>
      <w:r w:rsidR="00FD56F8">
        <w:t xml:space="preserve"> presents</w:t>
      </w:r>
      <w:r w:rsidR="005D7320" w:rsidRPr="002D6B6A">
        <w:t xml:space="preserve"> that the highest cost weigh</w:t>
      </w:r>
      <w:r w:rsidR="009C53E9">
        <w:t>t</w:t>
      </w:r>
      <w:r w:rsidR="005D7320" w:rsidRPr="002D6B6A">
        <w:t xml:space="preserve"> DRG is I04B - Knee Replacement without Catastrophic or Severe CC.  This procedure is a common procedure within the sector and therefore is customary to be number </w:t>
      </w:r>
      <w:r w:rsidR="009B37DF">
        <w:t>one</w:t>
      </w:r>
      <w:r w:rsidR="005D7320" w:rsidRPr="002D6B6A">
        <w:t>.</w:t>
      </w:r>
      <w:r w:rsidR="00E53105">
        <w:t xml:space="preserve">  Noticeably as can be seen in </w:t>
      </w:r>
      <w:r>
        <w:t>Table 7</w:t>
      </w:r>
      <w:r w:rsidR="00E53105">
        <w:t xml:space="preserve">, </w:t>
      </w:r>
      <w:r w:rsidR="005D7320" w:rsidRPr="002D6B6A">
        <w:t xml:space="preserve">the number of cost weighted separations has </w:t>
      </w:r>
      <w:r w:rsidR="00BD030A">
        <w:t>increased</w:t>
      </w:r>
      <w:r w:rsidR="005D7320" w:rsidRPr="002D6B6A">
        <w:t xml:space="preserve"> by </w:t>
      </w:r>
      <w:r w:rsidR="00BD030A">
        <w:t>3,</w:t>
      </w:r>
      <w:r w:rsidR="00385317">
        <w:t>831</w:t>
      </w:r>
      <w:r w:rsidR="00BD030A">
        <w:t xml:space="preserve"> (or 3</w:t>
      </w:r>
      <w:r w:rsidR="00E359A8">
        <w:t>.0</w:t>
      </w:r>
      <w:r w:rsidR="00D61C39">
        <w:t xml:space="preserve"> per cent</w:t>
      </w:r>
      <w:r w:rsidR="00BD030A">
        <w:t xml:space="preserve">) </w:t>
      </w:r>
      <w:r w:rsidR="005D7320" w:rsidRPr="002D6B6A">
        <w:t>(</w:t>
      </w:r>
      <w:r w:rsidR="00BD030A">
        <w:t>142,</w:t>
      </w:r>
      <w:r w:rsidR="00385317">
        <w:t>243</w:t>
      </w:r>
      <w:r w:rsidR="00BD030A">
        <w:t>-138,412</w:t>
      </w:r>
      <w:r w:rsidR="005D7320" w:rsidRPr="002D6B6A">
        <w:t>)</w:t>
      </w:r>
      <w:r w:rsidR="005D7320" w:rsidRPr="002D6B6A">
        <w:rPr>
          <w:color w:val="000000"/>
          <w:sz w:val="16"/>
          <w:szCs w:val="16"/>
        </w:rPr>
        <w:t xml:space="preserve"> </w:t>
      </w:r>
      <w:r w:rsidR="005D7320" w:rsidRPr="002D6B6A">
        <w:t xml:space="preserve">between Rounds. </w:t>
      </w:r>
    </w:p>
    <w:p w14:paraId="5F7659F9" w14:textId="21E6031E" w:rsidR="00E7439E" w:rsidRDefault="005D7320" w:rsidP="005D7320">
      <w:r w:rsidRPr="00BD030A">
        <w:t>The DRGs listed in the top 20 (</w:t>
      </w:r>
      <w:r w:rsidR="006654BA">
        <w:t>Table 7</w:t>
      </w:r>
      <w:r w:rsidRPr="00BD030A">
        <w:t xml:space="preserve">) are predicted to be within this ranking given that </w:t>
      </w:r>
      <w:r w:rsidR="00BD030A" w:rsidRPr="00BD030A">
        <w:t>8</w:t>
      </w:r>
      <w:r w:rsidR="00D61C39">
        <w:t>0 per cent</w:t>
      </w:r>
      <w:r w:rsidRPr="00BD030A">
        <w:t xml:space="preserve"> (1</w:t>
      </w:r>
      <w:r w:rsidR="00BD030A" w:rsidRPr="00BD030A">
        <w:t>6</w:t>
      </w:r>
      <w:r w:rsidRPr="00BD030A">
        <w:t xml:space="preserve"> out of 20) are either within orthopaedic, neurology or cardiac procedures which require high cost prostheses or high volume treatments like chemotherapy.</w:t>
      </w:r>
    </w:p>
    <w:p w14:paraId="5A668C68" w14:textId="58C95BC2" w:rsidR="00E7439E" w:rsidRDefault="00281672" w:rsidP="005D7320">
      <w:r>
        <w:t>I</w:t>
      </w:r>
      <w:r w:rsidR="00AA16B4">
        <w:t xml:space="preserve">n </w:t>
      </w:r>
      <w:r w:rsidR="006654BA">
        <w:t>Table 7</w:t>
      </w:r>
      <w:r w:rsidR="00BD030A">
        <w:t xml:space="preserve"> t</w:t>
      </w:r>
      <w:r w:rsidR="005D7320" w:rsidRPr="00BD030A">
        <w:t>hese DRGs represent 3</w:t>
      </w:r>
      <w:r w:rsidR="00BD030A">
        <w:t>0</w:t>
      </w:r>
      <w:r w:rsidR="00D61C39">
        <w:t xml:space="preserve"> per cent</w:t>
      </w:r>
      <w:r w:rsidR="005D7320" w:rsidRPr="00BD030A">
        <w:t xml:space="preserve"> (</w:t>
      </w:r>
      <w:r w:rsidR="00BD030A">
        <w:t>924,</w:t>
      </w:r>
      <w:r w:rsidR="00385317">
        <w:t>758</w:t>
      </w:r>
      <w:r w:rsidR="005D7320" w:rsidRPr="00BD030A">
        <w:t xml:space="preserve"> cost weighted separations) of the total population</w:t>
      </w:r>
      <w:r w:rsidR="0053227C">
        <w:t xml:space="preserve"> cost weighted</w:t>
      </w:r>
      <w:r w:rsidR="005D7320" w:rsidRPr="00BD030A">
        <w:t xml:space="preserve"> separations </w:t>
      </w:r>
      <w:r w:rsidR="0053227C">
        <w:t xml:space="preserve">of </w:t>
      </w:r>
      <w:r w:rsidR="00BD030A">
        <w:t>3.05m</w:t>
      </w:r>
      <w:r w:rsidR="005D7320" w:rsidRPr="00BD030A">
        <w:t xml:space="preserve">. </w:t>
      </w:r>
      <w:r>
        <w:t>Additionally, these</w:t>
      </w:r>
      <w:r w:rsidR="005D7320" w:rsidRPr="00BD030A">
        <w:t xml:space="preserve"> DRGs represent 2</w:t>
      </w:r>
      <w:r w:rsidR="0053227C">
        <w:t>8</w:t>
      </w:r>
      <w:r w:rsidR="00D61C39">
        <w:t xml:space="preserve"> per cent</w:t>
      </w:r>
      <w:r w:rsidR="005D7320" w:rsidRPr="00BD030A">
        <w:t xml:space="preserve"> of the total population-adjusted separations.  This indicates that these are a mix</w:t>
      </w:r>
      <w:r w:rsidR="00D61C39">
        <w:t xml:space="preserve">ture of high volume/high cost </w:t>
      </w:r>
      <w:r w:rsidR="005D7320" w:rsidRPr="00BD030A">
        <w:t>DRGs.</w:t>
      </w:r>
      <w:r w:rsidR="005D7320">
        <w:t xml:space="preserve"> </w:t>
      </w:r>
    </w:p>
    <w:p w14:paraId="651D9A67" w14:textId="6F3575DE" w:rsidR="005D7320" w:rsidRPr="00D60A39" w:rsidRDefault="005D7320" w:rsidP="005D7320">
      <w:pPr>
        <w:pStyle w:val="Intro"/>
      </w:pPr>
      <w:r w:rsidRPr="00D60A39">
        <w:t>Consistencies between Round 18 and Round 20</w:t>
      </w:r>
    </w:p>
    <w:p w14:paraId="541FFE69" w14:textId="58706B8C" w:rsidR="00E7439E" w:rsidRDefault="005D7320" w:rsidP="005D7320">
      <w:r w:rsidRPr="00BD030A">
        <w:t>As</w:t>
      </w:r>
      <w:r w:rsidR="00AA16B4">
        <w:t xml:space="preserve"> shown in </w:t>
      </w:r>
      <w:r w:rsidR="006654BA">
        <w:t>Table 7</w:t>
      </w:r>
      <w:r w:rsidRPr="00BD030A">
        <w:t xml:space="preserve"> the top </w:t>
      </w:r>
      <w:r w:rsidR="000E10B8">
        <w:t>two</w:t>
      </w:r>
      <w:r w:rsidR="000E10B8" w:rsidRPr="00BD030A">
        <w:t xml:space="preserve"> </w:t>
      </w:r>
      <w:r w:rsidRPr="00BD030A">
        <w:t>DRGs (I04B - Knee Replacement wi</w:t>
      </w:r>
      <w:r w:rsidR="00EE4BB9">
        <w:t>thout Catastrophic or Severe CC and</w:t>
      </w:r>
      <w:r w:rsidRPr="00BD030A">
        <w:t xml:space="preserve"> I03B - Hip Replacement without Catastrophic CC</w:t>
      </w:r>
      <w:r w:rsidR="00EE4BB9">
        <w:t>)</w:t>
      </w:r>
      <w:r w:rsidRPr="00BD030A">
        <w:t xml:space="preserve"> were ranked in the same order as Round 1</w:t>
      </w:r>
      <w:r w:rsidR="00EE4BB9">
        <w:t>8</w:t>
      </w:r>
      <w:r w:rsidRPr="00BD030A">
        <w:t xml:space="preserve"> which is influenced by the </w:t>
      </w:r>
      <w:proofErr w:type="spellStart"/>
      <w:r w:rsidRPr="00BD030A">
        <w:t>ALoS</w:t>
      </w:r>
      <w:proofErr w:type="spellEnd"/>
      <w:r w:rsidRPr="00BD030A">
        <w:t xml:space="preserve"> being above the average and high costs prostheses being used in these orthopaedic and neurology treatments.</w:t>
      </w:r>
    </w:p>
    <w:p w14:paraId="1D77E02E" w14:textId="77777777" w:rsidR="00BF794D" w:rsidRPr="0012767B" w:rsidRDefault="00BF794D" w:rsidP="00BF794D">
      <w:pPr>
        <w:pStyle w:val="Intro"/>
      </w:pPr>
      <w:r>
        <w:t>Differences</w:t>
      </w:r>
      <w:r w:rsidRPr="0012767B">
        <w:t xml:space="preserve"> between Round 18 and Round 20</w:t>
      </w:r>
    </w:p>
    <w:p w14:paraId="7A8C22A6" w14:textId="0E8B9274" w:rsidR="005F1BC1" w:rsidRDefault="000C3EE1" w:rsidP="000C3EE1">
      <w:r>
        <w:t xml:space="preserve">There are four new </w:t>
      </w:r>
      <w:r w:rsidRPr="000C3EE1">
        <w:t xml:space="preserve">DRGs </w:t>
      </w:r>
      <w:r>
        <w:t xml:space="preserve">in the top </w:t>
      </w:r>
      <w:r w:rsidRPr="000C3EE1">
        <w:t xml:space="preserve">20 </w:t>
      </w:r>
      <w:r w:rsidR="00FD56F8">
        <w:t>as seen in</w:t>
      </w:r>
      <w:r w:rsidR="009E6DCF">
        <w:t xml:space="preserve"> </w:t>
      </w:r>
      <w:r w:rsidR="006654BA">
        <w:t>Figure 3</w:t>
      </w:r>
      <w:r>
        <w:t xml:space="preserve">.  These are all from the obstetrics and maternity DRGs </w:t>
      </w:r>
      <w:r w:rsidR="005F1BC1">
        <w:t xml:space="preserve">these are: </w:t>
      </w:r>
    </w:p>
    <w:p w14:paraId="18102B73" w14:textId="3A2F5CCA" w:rsidR="005F1BC1" w:rsidRDefault="000C3EE1" w:rsidP="0053227C">
      <w:pPr>
        <w:pStyle w:val="ListBullet"/>
      </w:pPr>
      <w:r>
        <w:t xml:space="preserve">O60B </w:t>
      </w:r>
      <w:r w:rsidRPr="000C3EE1">
        <w:t>Vaginal Delivery, Intermediate Complexity</w:t>
      </w:r>
      <w:r w:rsidR="005F1BC1">
        <w:t xml:space="preserve"> ranked 11 compared to 25.</w:t>
      </w:r>
    </w:p>
    <w:p w14:paraId="2F5DB9A1" w14:textId="77777777" w:rsidR="005F1BC1" w:rsidRDefault="000C3EE1" w:rsidP="0053227C">
      <w:pPr>
        <w:pStyle w:val="ListBullet"/>
      </w:pPr>
      <w:r>
        <w:t xml:space="preserve">O01B </w:t>
      </w:r>
      <w:r w:rsidRPr="000C3EE1">
        <w:t xml:space="preserve">Caesarean Delivery, Intermediate Complexity </w:t>
      </w:r>
      <w:r>
        <w:t>ranked 17 compared to 26</w:t>
      </w:r>
      <w:r w:rsidR="005F1BC1">
        <w:t>.</w:t>
      </w:r>
    </w:p>
    <w:p w14:paraId="0FE22A2E" w14:textId="77777777" w:rsidR="005F1BC1" w:rsidRDefault="000C3EE1" w:rsidP="0053227C">
      <w:pPr>
        <w:pStyle w:val="ListBullet"/>
      </w:pPr>
      <w:r>
        <w:t xml:space="preserve">N04B </w:t>
      </w:r>
      <w:r w:rsidRPr="000C3EE1">
        <w:t>Hysterectomy for Non-Malignancy, Minor Complexity</w:t>
      </w:r>
      <w:r>
        <w:t xml:space="preserve"> ranked 19 compared to 22</w:t>
      </w:r>
      <w:r w:rsidR="005F1BC1">
        <w:t>.</w:t>
      </w:r>
    </w:p>
    <w:p w14:paraId="6A6FEB91" w14:textId="50CD97D2" w:rsidR="00E7439E" w:rsidRDefault="000C3EE1" w:rsidP="0053227C">
      <w:pPr>
        <w:pStyle w:val="ListBullet"/>
      </w:pPr>
      <w:r>
        <w:t xml:space="preserve">O60C </w:t>
      </w:r>
      <w:r w:rsidRPr="000C3EE1">
        <w:t>Vaginal Delivery, Minor Complexity</w:t>
      </w:r>
      <w:r>
        <w:t xml:space="preserve"> ranked 20 compared to 35. </w:t>
      </w:r>
    </w:p>
    <w:p w14:paraId="62AD0951" w14:textId="791E3C01" w:rsidR="00E7439E" w:rsidRDefault="000C3EE1" w:rsidP="005F1BC1">
      <w:r>
        <w:t>A reason fo</w:t>
      </w:r>
      <w:r w:rsidR="00424F25">
        <w:t>r these movements is all these D</w:t>
      </w:r>
      <w:r>
        <w:t xml:space="preserve">RGs have incurred significant increase in </w:t>
      </w:r>
      <w:r w:rsidR="000E10B8">
        <w:t>cost</w:t>
      </w:r>
      <w:r w:rsidR="000E10B8">
        <w:noBreakHyphen/>
      </w:r>
      <w:r>
        <w:t xml:space="preserve">weighted separations ranging from </w:t>
      </w:r>
      <w:r w:rsidR="000E10B8">
        <w:t>3,3</w:t>
      </w:r>
      <w:r w:rsidR="00385317">
        <w:t>44</w:t>
      </w:r>
      <w:r w:rsidR="000E10B8">
        <w:t xml:space="preserve"> to </w:t>
      </w:r>
      <w:r>
        <w:t>14,88</w:t>
      </w:r>
      <w:r w:rsidR="00385317">
        <w:t>9</w:t>
      </w:r>
      <w:r>
        <w:t xml:space="preserve"> between </w:t>
      </w:r>
      <w:r w:rsidR="000E10B8">
        <w:t>Rounds</w:t>
      </w:r>
      <w:r>
        <w:t>.</w:t>
      </w:r>
      <w:r w:rsidR="00EA5A5E">
        <w:t xml:space="preserve">  </w:t>
      </w:r>
    </w:p>
    <w:p w14:paraId="234B5AFE" w14:textId="6847BF15" w:rsidR="00E7439E" w:rsidRDefault="006654BA" w:rsidP="000C3EE1">
      <w:r>
        <w:t>Figure 3</w:t>
      </w:r>
      <w:r w:rsidR="00FD56F8">
        <w:t xml:space="preserve"> highlights</w:t>
      </w:r>
      <w:r w:rsidR="00502DAD">
        <w:t xml:space="preserve"> that </w:t>
      </w:r>
      <w:r w:rsidR="0019139F">
        <w:t xml:space="preserve">F01B </w:t>
      </w:r>
      <w:r w:rsidR="0019139F" w:rsidRPr="0019139F">
        <w:t xml:space="preserve">Implantation and Replacement of AICD, Total </w:t>
      </w:r>
      <w:proofErr w:type="gramStart"/>
      <w:r w:rsidR="0019139F" w:rsidRPr="0019139F">
        <w:t>System,</w:t>
      </w:r>
      <w:proofErr w:type="gramEnd"/>
      <w:r w:rsidR="0019139F" w:rsidRPr="0019139F">
        <w:t xml:space="preserve"> Minor Complexity</w:t>
      </w:r>
      <w:r w:rsidR="0019139F">
        <w:t xml:space="preserve"> has dr</w:t>
      </w:r>
      <w:r w:rsidR="00502DAD">
        <w:t>op</w:t>
      </w:r>
      <w:r w:rsidR="0019139F">
        <w:t>ped to be ranked number 8</w:t>
      </w:r>
      <w:r w:rsidR="00502DAD">
        <w:t xml:space="preserve"> compared to </w:t>
      </w:r>
      <w:r w:rsidR="009B37DF">
        <w:t xml:space="preserve">ranking </w:t>
      </w:r>
      <w:r w:rsidR="00502DAD">
        <w:t xml:space="preserve">3 in </w:t>
      </w:r>
      <w:r w:rsidR="009B37DF">
        <w:t xml:space="preserve">the </w:t>
      </w:r>
      <w:r w:rsidR="00502DAD">
        <w:t xml:space="preserve">prior </w:t>
      </w:r>
      <w:r w:rsidR="009B37DF">
        <w:t>R</w:t>
      </w:r>
      <w:r w:rsidR="00502DAD">
        <w:t>ound due to a reduction in cost weighted separations of 16,14</w:t>
      </w:r>
      <w:r w:rsidR="00385317">
        <w:t>1</w:t>
      </w:r>
      <w:r w:rsidR="00502DAD">
        <w:t xml:space="preserve">. Additionally R63Z Chemotherapy has declined in ranking from </w:t>
      </w:r>
      <w:r w:rsidR="00112027">
        <w:t>four</w:t>
      </w:r>
      <w:r w:rsidR="00502DAD">
        <w:t xml:space="preserve"> </w:t>
      </w:r>
      <w:r w:rsidR="000E10B8">
        <w:t xml:space="preserve">in Round 18 </w:t>
      </w:r>
      <w:r w:rsidR="00502DAD">
        <w:t xml:space="preserve">to </w:t>
      </w:r>
      <w:r w:rsidR="00112027">
        <w:t>seven</w:t>
      </w:r>
      <w:r w:rsidR="00502DAD">
        <w:t xml:space="preserve"> </w:t>
      </w:r>
      <w:r w:rsidR="000E10B8">
        <w:t>in Round 20</w:t>
      </w:r>
      <w:r w:rsidR="00502DAD">
        <w:t xml:space="preserve"> due a reduction in cost</w:t>
      </w:r>
      <w:r w:rsidR="00FE4117">
        <w:noBreakHyphen/>
      </w:r>
      <w:r w:rsidR="00502DAD">
        <w:t xml:space="preserve">weighted separations of </w:t>
      </w:r>
      <w:r w:rsidR="00385317">
        <w:t>7</w:t>
      </w:r>
      <w:r w:rsidR="00502DAD">
        <w:t>,5</w:t>
      </w:r>
      <w:r w:rsidR="00385317">
        <w:t>06</w:t>
      </w:r>
      <w:r w:rsidR="00502DAD">
        <w:t xml:space="preserve">. </w:t>
      </w:r>
    </w:p>
    <w:p w14:paraId="1CEE91B3" w14:textId="186DAAD8" w:rsidR="00E7439E" w:rsidRDefault="00EA5A5E" w:rsidP="00EA5A5E">
      <w:proofErr w:type="gramStart"/>
      <w:r>
        <w:t>A reason for both these changes are</w:t>
      </w:r>
      <w:proofErr w:type="gramEnd"/>
      <w:r>
        <w:t xml:space="preserve"> the different sample of participants compared to Round 18 and changes in activity volumes.</w:t>
      </w:r>
    </w:p>
    <w:p w14:paraId="4F578D94" w14:textId="51CEFBF2" w:rsidR="00A23161" w:rsidRDefault="006654BA" w:rsidP="00A23161">
      <w:pPr>
        <w:pStyle w:val="Tableoffigures3"/>
      </w:pPr>
      <w:bookmarkStart w:id="182" w:name="_Toc497750035"/>
      <w:proofErr w:type="gramStart"/>
      <w:r>
        <w:lastRenderedPageBreak/>
        <w:t>Figure 3</w:t>
      </w:r>
      <w:r w:rsidR="00A23161">
        <w:t>.</w:t>
      </w:r>
      <w:proofErr w:type="gramEnd"/>
      <w:r w:rsidR="00A23161">
        <w:t xml:space="preserve"> Comparison of top 20 DRGs by highest cost weighted separations</w:t>
      </w:r>
      <w:bookmarkEnd w:id="182"/>
      <w:r w:rsidR="00A23161">
        <w:t xml:space="preserve"> </w:t>
      </w:r>
    </w:p>
    <w:p w14:paraId="6CDF41EA" w14:textId="77777777" w:rsidR="00A23161" w:rsidRDefault="00A23161" w:rsidP="00A23161">
      <w:r>
        <w:rPr>
          <w:noProof/>
        </w:rPr>
        <w:drawing>
          <wp:inline distT="0" distB="0" distL="0" distR="0" wp14:anchorId="68476298" wp14:editId="25D30F19">
            <wp:extent cx="5998210" cy="3327991"/>
            <wp:effectExtent l="0" t="0" r="21590" b="25400"/>
            <wp:docPr id="14" name="Chart 14" descr="This figure shows the 20 diagnosis related groups that have the highest cost weighted separations in Round 20 with associated Round 18 valu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BF099C1" w14:textId="77777777" w:rsidR="00A23161" w:rsidRPr="00B95C7E" w:rsidRDefault="00A23161" w:rsidP="00A23161">
      <w:pPr>
        <w:rPr>
          <w:snapToGrid w:val="0"/>
        </w:rPr>
      </w:pPr>
      <w:r w:rsidRPr="00B95C7E">
        <w:rPr>
          <w:b/>
          <w:snapToGrid w:val="0"/>
        </w:rPr>
        <w:t>Note:</w:t>
      </w:r>
      <w:r w:rsidRPr="00B95C7E">
        <w:rPr>
          <w:snapToGrid w:val="0"/>
        </w:rPr>
        <w:t xml:space="preserve"> when a Round 18 bar is missing from the chart, this is because that DRG was masked in Round 18 due to having less than 5 separations or having less than 3 hospitals with that DRG.</w:t>
      </w:r>
    </w:p>
    <w:p w14:paraId="3F0D229E" w14:textId="4F5C0E4E" w:rsidR="002D6B6A" w:rsidRPr="000C3EE1" w:rsidRDefault="005D7320" w:rsidP="005D7320">
      <w:pPr>
        <w:sectPr w:rsidR="002D6B6A" w:rsidRPr="000C3EE1" w:rsidSect="001070A4">
          <w:pgSz w:w="11907" w:h="16840" w:code="9"/>
          <w:pgMar w:top="1843" w:right="1021" w:bottom="2041" w:left="1440" w:header="680" w:footer="510" w:gutter="0"/>
          <w:cols w:space="708"/>
          <w:docGrid w:linePitch="360"/>
        </w:sectPr>
      </w:pPr>
      <w:r w:rsidRPr="000C3EE1">
        <w:br w:type="page"/>
      </w:r>
    </w:p>
    <w:p w14:paraId="5302F928" w14:textId="341BAC2C" w:rsidR="002D6B6A" w:rsidRPr="002D6B6A" w:rsidRDefault="006654BA" w:rsidP="00A23161">
      <w:pPr>
        <w:pStyle w:val="TableHeadings3"/>
      </w:pPr>
      <w:bookmarkStart w:id="183" w:name="_Toc497488033"/>
      <w:bookmarkStart w:id="184" w:name="_Toc497750021"/>
      <w:proofErr w:type="gramStart"/>
      <w:r>
        <w:lastRenderedPageBreak/>
        <w:t>Table 7</w:t>
      </w:r>
      <w:r w:rsidR="00A23161">
        <w:t>.</w:t>
      </w:r>
      <w:proofErr w:type="gramEnd"/>
      <w:r w:rsidR="005D7320">
        <w:t xml:space="preserve"> Top 20 DRGs ranked by highest cost weighted separations</w:t>
      </w:r>
      <w:bookmarkEnd w:id="183"/>
      <w:bookmarkEnd w:id="184"/>
    </w:p>
    <w:tbl>
      <w:tblPr>
        <w:tblW w:w="14854" w:type="dxa"/>
        <w:tblInd w:w="108" w:type="dxa"/>
        <w:tblLayout w:type="fixed"/>
        <w:tblLook w:val="04A0" w:firstRow="1" w:lastRow="0" w:firstColumn="1" w:lastColumn="0" w:noHBand="0" w:noVBand="1"/>
      </w:tblPr>
      <w:tblGrid>
        <w:gridCol w:w="709"/>
        <w:gridCol w:w="709"/>
        <w:gridCol w:w="709"/>
        <w:gridCol w:w="284"/>
        <w:gridCol w:w="3543"/>
        <w:gridCol w:w="142"/>
        <w:gridCol w:w="425"/>
        <w:gridCol w:w="142"/>
        <w:gridCol w:w="709"/>
        <w:gridCol w:w="781"/>
        <w:gridCol w:w="211"/>
        <w:gridCol w:w="628"/>
        <w:gridCol w:w="1073"/>
        <w:gridCol w:w="567"/>
        <w:gridCol w:w="575"/>
        <w:gridCol w:w="575"/>
        <w:gridCol w:w="851"/>
        <w:gridCol w:w="708"/>
        <w:gridCol w:w="851"/>
        <w:gridCol w:w="662"/>
      </w:tblGrid>
      <w:tr w:rsidR="00E0636F" w:rsidRPr="00B95C7E" w14:paraId="1829FE62" w14:textId="77777777" w:rsidTr="00A23161">
        <w:trPr>
          <w:trHeight w:val="161"/>
        </w:trPr>
        <w:tc>
          <w:tcPr>
            <w:tcW w:w="709" w:type="dxa"/>
            <w:vMerge w:val="restart"/>
            <w:tcBorders>
              <w:top w:val="single" w:sz="4" w:space="0" w:color="auto"/>
              <w:left w:val="nil"/>
              <w:bottom w:val="single" w:sz="4" w:space="0" w:color="000000"/>
              <w:right w:val="nil"/>
            </w:tcBorders>
            <w:shd w:val="clear" w:color="auto" w:fill="auto"/>
            <w:hideMark/>
          </w:tcPr>
          <w:p w14:paraId="42DEA61B" w14:textId="77777777" w:rsidR="002D6B6A" w:rsidRPr="00B95C7E" w:rsidRDefault="002D6B6A" w:rsidP="00E0636F">
            <w:pPr>
              <w:spacing w:after="0"/>
              <w:jc w:val="center"/>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Top 20 Round 18</w:t>
            </w:r>
          </w:p>
        </w:tc>
        <w:tc>
          <w:tcPr>
            <w:tcW w:w="709" w:type="dxa"/>
            <w:vMerge w:val="restart"/>
            <w:tcBorders>
              <w:top w:val="single" w:sz="4" w:space="0" w:color="auto"/>
              <w:left w:val="nil"/>
              <w:bottom w:val="single" w:sz="4" w:space="0" w:color="000000"/>
              <w:right w:val="nil"/>
            </w:tcBorders>
            <w:shd w:val="clear" w:color="auto" w:fill="auto"/>
            <w:hideMark/>
          </w:tcPr>
          <w:p w14:paraId="72972F73" w14:textId="77777777" w:rsidR="002D6B6A" w:rsidRPr="00B95C7E" w:rsidRDefault="002D6B6A" w:rsidP="00E0636F">
            <w:pPr>
              <w:spacing w:after="0"/>
              <w:jc w:val="center"/>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Rank Round 20</w:t>
            </w:r>
          </w:p>
        </w:tc>
        <w:tc>
          <w:tcPr>
            <w:tcW w:w="709" w:type="dxa"/>
            <w:vMerge w:val="restart"/>
            <w:tcBorders>
              <w:top w:val="single" w:sz="4" w:space="0" w:color="auto"/>
              <w:left w:val="nil"/>
              <w:bottom w:val="single" w:sz="4" w:space="0" w:color="000000"/>
              <w:right w:val="nil"/>
            </w:tcBorders>
            <w:shd w:val="clear" w:color="auto" w:fill="auto"/>
            <w:hideMark/>
          </w:tcPr>
          <w:p w14:paraId="2D044038" w14:textId="41B2CD03" w:rsidR="002D6B6A" w:rsidRPr="00B95C7E" w:rsidRDefault="002D6B6A" w:rsidP="00E0636F">
            <w:pPr>
              <w:spacing w:after="0"/>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DRG</w:t>
            </w:r>
          </w:p>
        </w:tc>
        <w:tc>
          <w:tcPr>
            <w:tcW w:w="3827" w:type="dxa"/>
            <w:gridSpan w:val="2"/>
            <w:vMerge w:val="restart"/>
            <w:tcBorders>
              <w:top w:val="single" w:sz="4" w:space="0" w:color="auto"/>
              <w:left w:val="nil"/>
              <w:bottom w:val="single" w:sz="4" w:space="0" w:color="000000"/>
              <w:right w:val="nil"/>
            </w:tcBorders>
            <w:shd w:val="clear" w:color="auto" w:fill="auto"/>
            <w:noWrap/>
            <w:hideMark/>
          </w:tcPr>
          <w:p w14:paraId="17207E7C" w14:textId="036FCE2D" w:rsidR="002D6B6A" w:rsidRPr="00B95C7E" w:rsidRDefault="002D6B6A" w:rsidP="00E0636F">
            <w:pPr>
              <w:spacing w:after="0"/>
              <w:jc w:val="center"/>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DRG Description</w:t>
            </w:r>
          </w:p>
        </w:tc>
        <w:tc>
          <w:tcPr>
            <w:tcW w:w="709" w:type="dxa"/>
            <w:gridSpan w:val="3"/>
            <w:vMerge w:val="restart"/>
            <w:tcBorders>
              <w:top w:val="single" w:sz="4" w:space="0" w:color="auto"/>
              <w:left w:val="nil"/>
              <w:bottom w:val="single" w:sz="4" w:space="0" w:color="000000"/>
              <w:right w:val="nil"/>
            </w:tcBorders>
            <w:shd w:val="clear" w:color="auto" w:fill="auto"/>
            <w:hideMark/>
          </w:tcPr>
          <w:p w14:paraId="54A1223A" w14:textId="59B6E1FF" w:rsidR="002D6B6A" w:rsidRPr="00B95C7E" w:rsidRDefault="002D6B6A" w:rsidP="00E0636F">
            <w:pPr>
              <w:spacing w:after="0"/>
              <w:jc w:val="center"/>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Cost weight</w:t>
            </w:r>
            <w:r w:rsidRPr="00B95C7E">
              <w:rPr>
                <w:rFonts w:asciiTheme="minorHAnsi" w:hAnsiTheme="minorHAnsi" w:cstheme="minorHAnsi"/>
                <w:b/>
                <w:bCs/>
                <w:sz w:val="14"/>
                <w:szCs w:val="14"/>
                <w:lang w:val="en-US" w:eastAsia="en-US"/>
              </w:rPr>
              <w:br/>
              <w:t>(a)</w:t>
            </w:r>
          </w:p>
        </w:tc>
        <w:tc>
          <w:tcPr>
            <w:tcW w:w="709" w:type="dxa"/>
            <w:vMerge w:val="restart"/>
            <w:tcBorders>
              <w:top w:val="single" w:sz="4" w:space="0" w:color="auto"/>
              <w:left w:val="nil"/>
              <w:bottom w:val="single" w:sz="4" w:space="0" w:color="000000"/>
              <w:right w:val="nil"/>
            </w:tcBorders>
            <w:shd w:val="clear" w:color="auto" w:fill="auto"/>
            <w:hideMark/>
          </w:tcPr>
          <w:p w14:paraId="44AAFA57" w14:textId="4A0A4F61" w:rsidR="002D6B6A" w:rsidRPr="00B95C7E" w:rsidRDefault="002D6B6A" w:rsidP="00E0636F">
            <w:pPr>
              <w:spacing w:after="0"/>
              <w:jc w:val="center"/>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 xml:space="preserve">No. of weighted </w:t>
            </w:r>
            <w:proofErr w:type="spellStart"/>
            <w:r w:rsidRPr="00B95C7E">
              <w:rPr>
                <w:rFonts w:asciiTheme="minorHAnsi" w:hAnsiTheme="minorHAnsi" w:cstheme="minorHAnsi"/>
                <w:b/>
                <w:bCs/>
                <w:sz w:val="14"/>
                <w:szCs w:val="14"/>
                <w:lang w:val="en-US" w:eastAsia="en-US"/>
              </w:rPr>
              <w:t>seps</w:t>
            </w:r>
            <w:proofErr w:type="spellEnd"/>
            <w:r w:rsidRPr="00B95C7E">
              <w:rPr>
                <w:rFonts w:asciiTheme="minorHAnsi" w:hAnsiTheme="minorHAnsi" w:cstheme="minorHAnsi"/>
                <w:b/>
                <w:bCs/>
                <w:sz w:val="14"/>
                <w:szCs w:val="14"/>
                <w:lang w:val="en-US" w:eastAsia="en-US"/>
              </w:rPr>
              <w:br/>
              <w:t>(b)</w:t>
            </w:r>
          </w:p>
        </w:tc>
        <w:tc>
          <w:tcPr>
            <w:tcW w:w="992" w:type="dxa"/>
            <w:gridSpan w:val="2"/>
            <w:vMerge w:val="restart"/>
            <w:tcBorders>
              <w:top w:val="single" w:sz="4" w:space="0" w:color="auto"/>
              <w:left w:val="nil"/>
              <w:bottom w:val="single" w:sz="4" w:space="0" w:color="000000"/>
              <w:right w:val="nil"/>
            </w:tcBorders>
            <w:shd w:val="clear" w:color="auto" w:fill="auto"/>
            <w:hideMark/>
          </w:tcPr>
          <w:p w14:paraId="6E52AB54" w14:textId="77777777" w:rsidR="002D6B6A" w:rsidRPr="00B95C7E" w:rsidRDefault="002D6B6A" w:rsidP="00E0636F">
            <w:pPr>
              <w:spacing w:after="0"/>
              <w:jc w:val="center"/>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 xml:space="preserve">Cost weighted </w:t>
            </w:r>
            <w:proofErr w:type="spellStart"/>
            <w:r w:rsidRPr="00B95C7E">
              <w:rPr>
                <w:rFonts w:asciiTheme="minorHAnsi" w:hAnsiTheme="minorHAnsi" w:cstheme="minorHAnsi"/>
                <w:b/>
                <w:bCs/>
                <w:sz w:val="14"/>
                <w:szCs w:val="14"/>
                <w:lang w:val="en-US" w:eastAsia="en-US"/>
              </w:rPr>
              <w:t>seps</w:t>
            </w:r>
            <w:proofErr w:type="spellEnd"/>
            <w:r w:rsidRPr="00B95C7E">
              <w:rPr>
                <w:rFonts w:asciiTheme="minorHAnsi" w:hAnsiTheme="minorHAnsi" w:cstheme="minorHAnsi"/>
                <w:b/>
                <w:bCs/>
                <w:sz w:val="14"/>
                <w:szCs w:val="14"/>
                <w:lang w:val="en-US" w:eastAsia="en-US"/>
              </w:rPr>
              <w:br/>
              <w:t>(c)=(a)x(b)</w:t>
            </w:r>
          </w:p>
        </w:tc>
        <w:tc>
          <w:tcPr>
            <w:tcW w:w="628" w:type="dxa"/>
            <w:vMerge w:val="restart"/>
            <w:tcBorders>
              <w:top w:val="single" w:sz="4" w:space="0" w:color="auto"/>
              <w:left w:val="nil"/>
              <w:bottom w:val="single" w:sz="4" w:space="0" w:color="000000"/>
              <w:right w:val="nil"/>
            </w:tcBorders>
            <w:shd w:val="clear" w:color="auto" w:fill="auto"/>
            <w:hideMark/>
          </w:tcPr>
          <w:p w14:paraId="7483998B" w14:textId="77777777" w:rsidR="002D6B6A" w:rsidRPr="00D82B6B" w:rsidRDefault="002D6B6A" w:rsidP="00E0636F">
            <w:pPr>
              <w:spacing w:after="0"/>
              <w:jc w:val="center"/>
              <w:rPr>
                <w:rFonts w:asciiTheme="minorHAnsi" w:hAnsiTheme="minorHAnsi" w:cstheme="minorHAnsi"/>
                <w:b/>
                <w:bCs/>
                <w:sz w:val="14"/>
                <w:szCs w:val="14"/>
                <w:lang w:val="en-US" w:eastAsia="en-US"/>
              </w:rPr>
            </w:pPr>
            <w:r w:rsidRPr="00D82B6B">
              <w:rPr>
                <w:rFonts w:asciiTheme="minorHAnsi" w:hAnsiTheme="minorHAnsi" w:cstheme="minorHAnsi"/>
                <w:b/>
                <w:bCs/>
                <w:sz w:val="14"/>
                <w:szCs w:val="14"/>
                <w:lang w:val="en-US" w:eastAsia="en-US"/>
              </w:rPr>
              <w:t>Number of days</w:t>
            </w:r>
            <w:r w:rsidRPr="00D82B6B">
              <w:rPr>
                <w:rFonts w:asciiTheme="minorHAnsi" w:hAnsiTheme="minorHAnsi" w:cstheme="minorHAnsi"/>
                <w:b/>
                <w:bCs/>
                <w:sz w:val="14"/>
                <w:szCs w:val="14"/>
                <w:lang w:val="en-US" w:eastAsia="en-US"/>
              </w:rPr>
              <w:br/>
              <w:t>(d)</w:t>
            </w:r>
          </w:p>
        </w:tc>
        <w:tc>
          <w:tcPr>
            <w:tcW w:w="1073" w:type="dxa"/>
            <w:vMerge w:val="restart"/>
            <w:tcBorders>
              <w:top w:val="single" w:sz="4" w:space="0" w:color="auto"/>
              <w:left w:val="nil"/>
              <w:bottom w:val="single" w:sz="4" w:space="0" w:color="000000"/>
              <w:right w:val="nil"/>
            </w:tcBorders>
            <w:shd w:val="clear" w:color="auto" w:fill="auto"/>
            <w:hideMark/>
          </w:tcPr>
          <w:p w14:paraId="77A65637" w14:textId="70AE4F27" w:rsidR="002D6B6A" w:rsidRPr="00D82B6B" w:rsidRDefault="002D6B6A" w:rsidP="00E0636F">
            <w:pPr>
              <w:spacing w:after="0"/>
              <w:jc w:val="center"/>
              <w:rPr>
                <w:rFonts w:asciiTheme="minorHAnsi" w:hAnsiTheme="minorHAnsi" w:cstheme="minorHAnsi"/>
                <w:b/>
                <w:bCs/>
                <w:sz w:val="14"/>
                <w:szCs w:val="14"/>
                <w:lang w:val="en-US" w:eastAsia="en-US"/>
              </w:rPr>
            </w:pPr>
            <w:proofErr w:type="spellStart"/>
            <w:r w:rsidRPr="00D82B6B">
              <w:rPr>
                <w:rFonts w:asciiTheme="minorHAnsi" w:hAnsiTheme="minorHAnsi" w:cstheme="minorHAnsi"/>
                <w:b/>
                <w:bCs/>
                <w:sz w:val="14"/>
                <w:szCs w:val="14"/>
                <w:lang w:val="en-US" w:eastAsia="en-US"/>
              </w:rPr>
              <w:t>ALoS</w:t>
            </w:r>
            <w:proofErr w:type="spellEnd"/>
            <w:r w:rsidRPr="00D82B6B">
              <w:rPr>
                <w:rFonts w:asciiTheme="minorHAnsi" w:hAnsiTheme="minorHAnsi" w:cstheme="minorHAnsi"/>
                <w:b/>
                <w:bCs/>
                <w:sz w:val="14"/>
                <w:szCs w:val="14"/>
                <w:lang w:val="en-US" w:eastAsia="en-US"/>
              </w:rPr>
              <w:t xml:space="preserve"> (days)</w:t>
            </w:r>
            <w:r w:rsidRPr="00D82B6B">
              <w:rPr>
                <w:rFonts w:asciiTheme="minorHAnsi" w:hAnsiTheme="minorHAnsi" w:cstheme="minorHAnsi"/>
                <w:b/>
                <w:bCs/>
                <w:sz w:val="14"/>
                <w:szCs w:val="14"/>
                <w:lang w:val="en-US" w:eastAsia="en-US"/>
              </w:rPr>
              <w:br/>
              <w:t>(e)=(d)/(b)</w:t>
            </w:r>
          </w:p>
        </w:tc>
        <w:tc>
          <w:tcPr>
            <w:tcW w:w="567" w:type="dxa"/>
            <w:vMerge w:val="restart"/>
            <w:tcBorders>
              <w:top w:val="single" w:sz="4" w:space="0" w:color="auto"/>
              <w:left w:val="nil"/>
              <w:bottom w:val="single" w:sz="4" w:space="0" w:color="000000"/>
              <w:right w:val="nil"/>
            </w:tcBorders>
            <w:shd w:val="clear" w:color="auto" w:fill="auto"/>
            <w:hideMark/>
          </w:tcPr>
          <w:p w14:paraId="43466B66" w14:textId="77777777" w:rsidR="002D6B6A" w:rsidRPr="00B95C7E" w:rsidRDefault="002D6B6A" w:rsidP="00E0636F">
            <w:pPr>
              <w:spacing w:after="0"/>
              <w:jc w:val="center"/>
              <w:rPr>
                <w:rFonts w:asciiTheme="minorHAnsi" w:hAnsiTheme="minorHAnsi" w:cstheme="minorHAnsi"/>
                <w:b/>
                <w:bCs/>
                <w:sz w:val="14"/>
                <w:szCs w:val="14"/>
                <w:lang w:val="en-US" w:eastAsia="en-US"/>
              </w:rPr>
            </w:pPr>
            <w:proofErr w:type="spellStart"/>
            <w:r w:rsidRPr="00B95C7E">
              <w:rPr>
                <w:rFonts w:asciiTheme="minorHAnsi" w:hAnsiTheme="minorHAnsi" w:cstheme="minorHAnsi"/>
                <w:b/>
                <w:bCs/>
                <w:sz w:val="14"/>
                <w:szCs w:val="14"/>
                <w:lang w:val="en-US" w:eastAsia="en-US"/>
              </w:rPr>
              <w:t>Std</w:t>
            </w:r>
            <w:proofErr w:type="spellEnd"/>
            <w:r w:rsidRPr="00B95C7E">
              <w:rPr>
                <w:rFonts w:asciiTheme="minorHAnsi" w:hAnsiTheme="minorHAnsi" w:cstheme="minorHAnsi"/>
                <w:b/>
                <w:bCs/>
                <w:sz w:val="14"/>
                <w:szCs w:val="14"/>
                <w:lang w:val="en-US" w:eastAsia="en-US"/>
              </w:rPr>
              <w:t xml:space="preserve"> error</w:t>
            </w:r>
          </w:p>
        </w:tc>
        <w:tc>
          <w:tcPr>
            <w:tcW w:w="575" w:type="dxa"/>
            <w:vMerge w:val="restart"/>
            <w:tcBorders>
              <w:top w:val="single" w:sz="4" w:space="0" w:color="auto"/>
              <w:left w:val="nil"/>
              <w:bottom w:val="single" w:sz="4" w:space="0" w:color="000000"/>
              <w:right w:val="nil"/>
            </w:tcBorders>
            <w:shd w:val="clear" w:color="auto" w:fill="auto"/>
            <w:hideMark/>
          </w:tcPr>
          <w:p w14:paraId="7F9305C9" w14:textId="77777777" w:rsidR="002D6B6A" w:rsidRPr="00B95C7E" w:rsidRDefault="002D6B6A" w:rsidP="00E0636F">
            <w:pPr>
              <w:spacing w:after="0"/>
              <w:jc w:val="center"/>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 xml:space="preserve">% of total </w:t>
            </w:r>
            <w:proofErr w:type="spellStart"/>
            <w:r w:rsidRPr="00B95C7E">
              <w:rPr>
                <w:rFonts w:asciiTheme="minorHAnsi" w:hAnsiTheme="minorHAnsi" w:cstheme="minorHAnsi"/>
                <w:b/>
                <w:bCs/>
                <w:sz w:val="14"/>
                <w:szCs w:val="14"/>
                <w:lang w:val="en-US" w:eastAsia="en-US"/>
              </w:rPr>
              <w:t>seps</w:t>
            </w:r>
            <w:proofErr w:type="spellEnd"/>
          </w:p>
        </w:tc>
        <w:tc>
          <w:tcPr>
            <w:tcW w:w="575" w:type="dxa"/>
            <w:vMerge w:val="restart"/>
            <w:tcBorders>
              <w:top w:val="single" w:sz="4" w:space="0" w:color="auto"/>
              <w:left w:val="nil"/>
              <w:bottom w:val="single" w:sz="4" w:space="0" w:color="000000"/>
              <w:right w:val="nil"/>
            </w:tcBorders>
            <w:shd w:val="clear" w:color="auto" w:fill="auto"/>
            <w:hideMark/>
          </w:tcPr>
          <w:p w14:paraId="4651F923" w14:textId="77777777" w:rsidR="002D6B6A" w:rsidRPr="00B95C7E" w:rsidRDefault="002D6B6A" w:rsidP="00E0636F">
            <w:pPr>
              <w:spacing w:after="0"/>
              <w:jc w:val="center"/>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 xml:space="preserve">% of CW </w:t>
            </w:r>
            <w:proofErr w:type="spellStart"/>
            <w:r w:rsidRPr="00B95C7E">
              <w:rPr>
                <w:rFonts w:asciiTheme="minorHAnsi" w:hAnsiTheme="minorHAnsi" w:cstheme="minorHAnsi"/>
                <w:b/>
                <w:bCs/>
                <w:sz w:val="14"/>
                <w:szCs w:val="14"/>
                <w:lang w:val="en-US" w:eastAsia="en-US"/>
              </w:rPr>
              <w:t>seps</w:t>
            </w:r>
            <w:proofErr w:type="spellEnd"/>
          </w:p>
        </w:tc>
        <w:tc>
          <w:tcPr>
            <w:tcW w:w="851" w:type="dxa"/>
            <w:vMerge w:val="restart"/>
            <w:tcBorders>
              <w:top w:val="single" w:sz="4" w:space="0" w:color="auto"/>
              <w:left w:val="nil"/>
              <w:bottom w:val="single" w:sz="4" w:space="0" w:color="000000"/>
              <w:right w:val="nil"/>
            </w:tcBorders>
            <w:shd w:val="clear" w:color="auto" w:fill="auto"/>
            <w:hideMark/>
          </w:tcPr>
          <w:p w14:paraId="51CF9D23" w14:textId="77777777" w:rsidR="002D6B6A" w:rsidRPr="00B95C7E" w:rsidRDefault="002D6B6A" w:rsidP="00E0636F">
            <w:pPr>
              <w:spacing w:after="0"/>
              <w:jc w:val="center"/>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 xml:space="preserve">Round 18 cost-weighted </w:t>
            </w:r>
            <w:proofErr w:type="spellStart"/>
            <w:r w:rsidRPr="00B95C7E">
              <w:rPr>
                <w:rFonts w:asciiTheme="minorHAnsi" w:hAnsiTheme="minorHAnsi" w:cstheme="minorHAnsi"/>
                <w:b/>
                <w:bCs/>
                <w:sz w:val="14"/>
                <w:szCs w:val="14"/>
                <w:lang w:val="en-US" w:eastAsia="en-US"/>
              </w:rPr>
              <w:t>seps</w:t>
            </w:r>
            <w:proofErr w:type="spellEnd"/>
          </w:p>
        </w:tc>
        <w:tc>
          <w:tcPr>
            <w:tcW w:w="708" w:type="dxa"/>
            <w:vMerge w:val="restart"/>
            <w:tcBorders>
              <w:top w:val="single" w:sz="4" w:space="0" w:color="auto"/>
              <w:left w:val="nil"/>
              <w:bottom w:val="single" w:sz="4" w:space="0" w:color="000000"/>
              <w:right w:val="nil"/>
            </w:tcBorders>
            <w:shd w:val="clear" w:color="auto" w:fill="auto"/>
            <w:hideMark/>
          </w:tcPr>
          <w:p w14:paraId="24CC375C" w14:textId="77777777" w:rsidR="002D6B6A" w:rsidRPr="00B95C7E" w:rsidRDefault="002D6B6A" w:rsidP="00E0636F">
            <w:pPr>
              <w:spacing w:after="0"/>
              <w:jc w:val="center"/>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Rank Round 18</w:t>
            </w:r>
          </w:p>
        </w:tc>
        <w:tc>
          <w:tcPr>
            <w:tcW w:w="851" w:type="dxa"/>
            <w:vMerge w:val="restart"/>
            <w:tcBorders>
              <w:top w:val="single" w:sz="4" w:space="0" w:color="auto"/>
              <w:left w:val="nil"/>
              <w:bottom w:val="single" w:sz="4" w:space="0" w:color="000000"/>
              <w:right w:val="nil"/>
            </w:tcBorders>
            <w:shd w:val="clear" w:color="auto" w:fill="auto"/>
            <w:hideMark/>
          </w:tcPr>
          <w:p w14:paraId="497490A0" w14:textId="77777777" w:rsidR="002D6B6A" w:rsidRPr="00B95C7E" w:rsidRDefault="002D6B6A" w:rsidP="00E0636F">
            <w:pPr>
              <w:spacing w:after="0"/>
              <w:jc w:val="center"/>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 xml:space="preserve">Round 18 weighted </w:t>
            </w:r>
            <w:proofErr w:type="spellStart"/>
            <w:r w:rsidRPr="00B95C7E">
              <w:rPr>
                <w:rFonts w:asciiTheme="minorHAnsi" w:hAnsiTheme="minorHAnsi" w:cstheme="minorHAnsi"/>
                <w:b/>
                <w:bCs/>
                <w:sz w:val="14"/>
                <w:szCs w:val="14"/>
                <w:lang w:val="en-US" w:eastAsia="en-US"/>
              </w:rPr>
              <w:t>seps</w:t>
            </w:r>
            <w:proofErr w:type="spellEnd"/>
          </w:p>
        </w:tc>
        <w:tc>
          <w:tcPr>
            <w:tcW w:w="662" w:type="dxa"/>
            <w:vMerge w:val="restart"/>
            <w:tcBorders>
              <w:top w:val="single" w:sz="4" w:space="0" w:color="auto"/>
              <w:left w:val="nil"/>
              <w:bottom w:val="single" w:sz="4" w:space="0" w:color="000000"/>
              <w:right w:val="nil"/>
            </w:tcBorders>
            <w:shd w:val="clear" w:color="auto" w:fill="auto"/>
            <w:hideMark/>
          </w:tcPr>
          <w:p w14:paraId="17DD198D" w14:textId="77777777" w:rsidR="002D6B6A" w:rsidRPr="00B95C7E" w:rsidRDefault="002D6B6A" w:rsidP="00E0636F">
            <w:pPr>
              <w:spacing w:after="0"/>
              <w:jc w:val="center"/>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Round 18 cost weight</w:t>
            </w:r>
          </w:p>
        </w:tc>
      </w:tr>
      <w:tr w:rsidR="00E0636F" w:rsidRPr="00B95C7E" w14:paraId="3CC815BF" w14:textId="77777777" w:rsidTr="00A23161">
        <w:trPr>
          <w:trHeight w:val="310"/>
        </w:trPr>
        <w:tc>
          <w:tcPr>
            <w:tcW w:w="709" w:type="dxa"/>
            <w:vMerge/>
            <w:tcBorders>
              <w:top w:val="single" w:sz="4" w:space="0" w:color="auto"/>
              <w:left w:val="nil"/>
              <w:bottom w:val="single" w:sz="4" w:space="0" w:color="000000"/>
              <w:right w:val="nil"/>
            </w:tcBorders>
            <w:shd w:val="clear" w:color="auto" w:fill="auto"/>
            <w:vAlign w:val="center"/>
            <w:hideMark/>
          </w:tcPr>
          <w:p w14:paraId="1E10A602" w14:textId="77777777" w:rsidR="002D6B6A" w:rsidRPr="00B95C7E" w:rsidRDefault="002D6B6A" w:rsidP="002D6B6A">
            <w:pPr>
              <w:rPr>
                <w:rFonts w:asciiTheme="minorHAnsi" w:hAnsiTheme="minorHAnsi" w:cstheme="minorHAnsi"/>
                <w:b/>
                <w:bCs/>
                <w:sz w:val="14"/>
                <w:szCs w:val="14"/>
                <w:lang w:val="en-US" w:eastAsia="en-US"/>
              </w:rPr>
            </w:pPr>
          </w:p>
        </w:tc>
        <w:tc>
          <w:tcPr>
            <w:tcW w:w="709" w:type="dxa"/>
            <w:vMerge/>
            <w:tcBorders>
              <w:top w:val="single" w:sz="4" w:space="0" w:color="auto"/>
              <w:left w:val="nil"/>
              <w:bottom w:val="single" w:sz="4" w:space="0" w:color="000000"/>
              <w:right w:val="nil"/>
            </w:tcBorders>
            <w:shd w:val="clear" w:color="auto" w:fill="auto"/>
            <w:vAlign w:val="center"/>
            <w:hideMark/>
          </w:tcPr>
          <w:p w14:paraId="7FBD5B3C" w14:textId="77777777" w:rsidR="002D6B6A" w:rsidRPr="00B95C7E" w:rsidRDefault="002D6B6A" w:rsidP="002D6B6A">
            <w:pPr>
              <w:rPr>
                <w:rFonts w:asciiTheme="minorHAnsi" w:hAnsiTheme="minorHAnsi" w:cstheme="minorHAnsi"/>
                <w:b/>
                <w:bCs/>
                <w:sz w:val="14"/>
                <w:szCs w:val="14"/>
                <w:lang w:val="en-US" w:eastAsia="en-US"/>
              </w:rPr>
            </w:pPr>
          </w:p>
        </w:tc>
        <w:tc>
          <w:tcPr>
            <w:tcW w:w="709" w:type="dxa"/>
            <w:vMerge/>
            <w:tcBorders>
              <w:top w:val="single" w:sz="4" w:space="0" w:color="auto"/>
              <w:left w:val="nil"/>
              <w:bottom w:val="single" w:sz="4" w:space="0" w:color="000000"/>
              <w:right w:val="nil"/>
            </w:tcBorders>
            <w:shd w:val="clear" w:color="auto" w:fill="auto"/>
            <w:vAlign w:val="center"/>
            <w:hideMark/>
          </w:tcPr>
          <w:p w14:paraId="1E621C10" w14:textId="77777777" w:rsidR="002D6B6A" w:rsidRPr="00B95C7E" w:rsidRDefault="002D6B6A" w:rsidP="002D6B6A">
            <w:pPr>
              <w:rPr>
                <w:rFonts w:asciiTheme="minorHAnsi" w:hAnsiTheme="minorHAnsi" w:cstheme="minorHAnsi"/>
                <w:b/>
                <w:bCs/>
                <w:sz w:val="14"/>
                <w:szCs w:val="14"/>
                <w:lang w:val="en-US" w:eastAsia="en-US"/>
              </w:rPr>
            </w:pPr>
          </w:p>
        </w:tc>
        <w:tc>
          <w:tcPr>
            <w:tcW w:w="3827" w:type="dxa"/>
            <w:gridSpan w:val="2"/>
            <w:vMerge/>
            <w:tcBorders>
              <w:top w:val="single" w:sz="4" w:space="0" w:color="auto"/>
              <w:left w:val="nil"/>
              <w:bottom w:val="single" w:sz="4" w:space="0" w:color="000000"/>
              <w:right w:val="nil"/>
            </w:tcBorders>
            <w:shd w:val="clear" w:color="auto" w:fill="auto"/>
            <w:vAlign w:val="center"/>
            <w:hideMark/>
          </w:tcPr>
          <w:p w14:paraId="34DB50AE" w14:textId="77777777" w:rsidR="002D6B6A" w:rsidRPr="00B95C7E" w:rsidRDefault="002D6B6A" w:rsidP="002D6B6A">
            <w:pPr>
              <w:rPr>
                <w:rFonts w:asciiTheme="minorHAnsi" w:hAnsiTheme="minorHAnsi" w:cstheme="minorHAnsi"/>
                <w:b/>
                <w:bCs/>
                <w:sz w:val="14"/>
                <w:szCs w:val="14"/>
                <w:lang w:val="en-US" w:eastAsia="en-US"/>
              </w:rPr>
            </w:pPr>
          </w:p>
        </w:tc>
        <w:tc>
          <w:tcPr>
            <w:tcW w:w="709" w:type="dxa"/>
            <w:gridSpan w:val="3"/>
            <w:vMerge/>
            <w:tcBorders>
              <w:top w:val="single" w:sz="4" w:space="0" w:color="auto"/>
              <w:left w:val="nil"/>
              <w:bottom w:val="single" w:sz="4" w:space="0" w:color="000000"/>
              <w:right w:val="nil"/>
            </w:tcBorders>
            <w:shd w:val="clear" w:color="auto" w:fill="auto"/>
            <w:vAlign w:val="center"/>
            <w:hideMark/>
          </w:tcPr>
          <w:p w14:paraId="5CB2E5E5" w14:textId="77777777" w:rsidR="002D6B6A" w:rsidRPr="00B95C7E" w:rsidRDefault="002D6B6A" w:rsidP="002D6B6A">
            <w:pPr>
              <w:rPr>
                <w:rFonts w:asciiTheme="minorHAnsi" w:hAnsiTheme="minorHAnsi" w:cstheme="minorHAnsi"/>
                <w:b/>
                <w:bCs/>
                <w:sz w:val="14"/>
                <w:szCs w:val="14"/>
                <w:lang w:val="en-US" w:eastAsia="en-US"/>
              </w:rPr>
            </w:pPr>
          </w:p>
        </w:tc>
        <w:tc>
          <w:tcPr>
            <w:tcW w:w="709" w:type="dxa"/>
            <w:vMerge/>
            <w:tcBorders>
              <w:top w:val="single" w:sz="4" w:space="0" w:color="auto"/>
              <w:left w:val="nil"/>
              <w:bottom w:val="single" w:sz="4" w:space="0" w:color="000000"/>
              <w:right w:val="nil"/>
            </w:tcBorders>
            <w:shd w:val="clear" w:color="auto" w:fill="auto"/>
            <w:vAlign w:val="center"/>
            <w:hideMark/>
          </w:tcPr>
          <w:p w14:paraId="562A755B" w14:textId="77777777" w:rsidR="002D6B6A" w:rsidRPr="00B95C7E" w:rsidRDefault="002D6B6A" w:rsidP="002D6B6A">
            <w:pPr>
              <w:rPr>
                <w:rFonts w:asciiTheme="minorHAnsi" w:hAnsiTheme="minorHAnsi" w:cstheme="minorHAnsi"/>
                <w:b/>
                <w:bCs/>
                <w:sz w:val="14"/>
                <w:szCs w:val="14"/>
                <w:lang w:val="en-US" w:eastAsia="en-US"/>
              </w:rPr>
            </w:pPr>
          </w:p>
        </w:tc>
        <w:tc>
          <w:tcPr>
            <w:tcW w:w="992" w:type="dxa"/>
            <w:gridSpan w:val="2"/>
            <w:vMerge/>
            <w:tcBorders>
              <w:top w:val="single" w:sz="4" w:space="0" w:color="auto"/>
              <w:left w:val="nil"/>
              <w:bottom w:val="single" w:sz="4" w:space="0" w:color="000000"/>
              <w:right w:val="nil"/>
            </w:tcBorders>
            <w:shd w:val="clear" w:color="auto" w:fill="auto"/>
            <w:vAlign w:val="center"/>
            <w:hideMark/>
          </w:tcPr>
          <w:p w14:paraId="35E504DE" w14:textId="77777777" w:rsidR="002D6B6A" w:rsidRPr="00B95C7E" w:rsidRDefault="002D6B6A" w:rsidP="002D6B6A">
            <w:pPr>
              <w:rPr>
                <w:rFonts w:asciiTheme="minorHAnsi" w:hAnsiTheme="minorHAnsi" w:cstheme="minorHAnsi"/>
                <w:bCs/>
                <w:sz w:val="14"/>
                <w:szCs w:val="14"/>
                <w:lang w:val="en-US" w:eastAsia="en-US"/>
              </w:rPr>
            </w:pPr>
          </w:p>
        </w:tc>
        <w:tc>
          <w:tcPr>
            <w:tcW w:w="628" w:type="dxa"/>
            <w:vMerge/>
            <w:tcBorders>
              <w:top w:val="single" w:sz="4" w:space="0" w:color="auto"/>
              <w:left w:val="nil"/>
              <w:bottom w:val="single" w:sz="4" w:space="0" w:color="000000"/>
              <w:right w:val="nil"/>
            </w:tcBorders>
            <w:shd w:val="clear" w:color="auto" w:fill="auto"/>
            <w:vAlign w:val="center"/>
            <w:hideMark/>
          </w:tcPr>
          <w:p w14:paraId="2DF88633" w14:textId="77777777" w:rsidR="002D6B6A" w:rsidRPr="00B95C7E" w:rsidRDefault="002D6B6A" w:rsidP="002D6B6A">
            <w:pPr>
              <w:rPr>
                <w:rFonts w:asciiTheme="minorHAnsi" w:hAnsiTheme="minorHAnsi" w:cstheme="minorHAnsi"/>
                <w:b/>
                <w:bCs/>
                <w:sz w:val="14"/>
                <w:szCs w:val="14"/>
                <w:lang w:val="en-US" w:eastAsia="en-US"/>
              </w:rPr>
            </w:pPr>
          </w:p>
        </w:tc>
        <w:tc>
          <w:tcPr>
            <w:tcW w:w="1073" w:type="dxa"/>
            <w:vMerge/>
            <w:tcBorders>
              <w:top w:val="single" w:sz="4" w:space="0" w:color="auto"/>
              <w:left w:val="nil"/>
              <w:bottom w:val="single" w:sz="4" w:space="0" w:color="000000"/>
              <w:right w:val="nil"/>
            </w:tcBorders>
            <w:shd w:val="clear" w:color="auto" w:fill="auto"/>
            <w:vAlign w:val="center"/>
            <w:hideMark/>
          </w:tcPr>
          <w:p w14:paraId="32412C4B" w14:textId="77777777" w:rsidR="002D6B6A" w:rsidRPr="00B95C7E" w:rsidRDefault="002D6B6A" w:rsidP="002D6B6A">
            <w:pPr>
              <w:rPr>
                <w:rFonts w:asciiTheme="minorHAnsi" w:hAnsiTheme="minorHAnsi" w:cstheme="minorHAnsi"/>
                <w:b/>
                <w:bCs/>
                <w:sz w:val="14"/>
                <w:szCs w:val="14"/>
                <w:lang w:val="en-US" w:eastAsia="en-US"/>
              </w:rPr>
            </w:pPr>
          </w:p>
        </w:tc>
        <w:tc>
          <w:tcPr>
            <w:tcW w:w="567" w:type="dxa"/>
            <w:vMerge/>
            <w:tcBorders>
              <w:top w:val="single" w:sz="4" w:space="0" w:color="auto"/>
              <w:left w:val="nil"/>
              <w:bottom w:val="single" w:sz="4" w:space="0" w:color="000000"/>
              <w:right w:val="nil"/>
            </w:tcBorders>
            <w:shd w:val="clear" w:color="auto" w:fill="auto"/>
            <w:vAlign w:val="center"/>
            <w:hideMark/>
          </w:tcPr>
          <w:p w14:paraId="094D03F4" w14:textId="77777777" w:rsidR="002D6B6A" w:rsidRPr="00B95C7E" w:rsidRDefault="002D6B6A" w:rsidP="002D6B6A">
            <w:pPr>
              <w:rPr>
                <w:rFonts w:asciiTheme="minorHAnsi" w:hAnsiTheme="minorHAnsi" w:cstheme="minorHAnsi"/>
                <w:b/>
                <w:bCs/>
                <w:sz w:val="14"/>
                <w:szCs w:val="14"/>
                <w:lang w:val="en-US" w:eastAsia="en-US"/>
              </w:rPr>
            </w:pPr>
          </w:p>
        </w:tc>
        <w:tc>
          <w:tcPr>
            <w:tcW w:w="575" w:type="dxa"/>
            <w:vMerge/>
            <w:tcBorders>
              <w:top w:val="single" w:sz="4" w:space="0" w:color="auto"/>
              <w:left w:val="nil"/>
              <w:bottom w:val="single" w:sz="4" w:space="0" w:color="000000"/>
              <w:right w:val="nil"/>
            </w:tcBorders>
            <w:shd w:val="clear" w:color="auto" w:fill="auto"/>
            <w:vAlign w:val="center"/>
            <w:hideMark/>
          </w:tcPr>
          <w:p w14:paraId="6A9D5EC9" w14:textId="77777777" w:rsidR="002D6B6A" w:rsidRPr="00B95C7E" w:rsidRDefault="002D6B6A" w:rsidP="002D6B6A">
            <w:pPr>
              <w:rPr>
                <w:rFonts w:asciiTheme="minorHAnsi" w:hAnsiTheme="minorHAnsi" w:cstheme="minorHAnsi"/>
                <w:b/>
                <w:bCs/>
                <w:sz w:val="14"/>
                <w:szCs w:val="14"/>
                <w:lang w:val="en-US" w:eastAsia="en-US"/>
              </w:rPr>
            </w:pPr>
          </w:p>
        </w:tc>
        <w:tc>
          <w:tcPr>
            <w:tcW w:w="575" w:type="dxa"/>
            <w:vMerge/>
            <w:tcBorders>
              <w:top w:val="single" w:sz="4" w:space="0" w:color="auto"/>
              <w:left w:val="nil"/>
              <w:bottom w:val="single" w:sz="4" w:space="0" w:color="000000"/>
              <w:right w:val="nil"/>
            </w:tcBorders>
            <w:shd w:val="clear" w:color="auto" w:fill="auto"/>
            <w:vAlign w:val="center"/>
            <w:hideMark/>
          </w:tcPr>
          <w:p w14:paraId="324A393C" w14:textId="77777777" w:rsidR="002D6B6A" w:rsidRPr="00B95C7E" w:rsidRDefault="002D6B6A" w:rsidP="002D6B6A">
            <w:pPr>
              <w:rPr>
                <w:rFonts w:asciiTheme="minorHAnsi" w:hAnsiTheme="minorHAnsi" w:cstheme="minorHAnsi"/>
                <w:b/>
                <w:bCs/>
                <w:sz w:val="14"/>
                <w:szCs w:val="14"/>
                <w:lang w:val="en-US" w:eastAsia="en-US"/>
              </w:rPr>
            </w:pPr>
          </w:p>
        </w:tc>
        <w:tc>
          <w:tcPr>
            <w:tcW w:w="851" w:type="dxa"/>
            <w:vMerge/>
            <w:tcBorders>
              <w:top w:val="single" w:sz="4" w:space="0" w:color="auto"/>
              <w:left w:val="nil"/>
              <w:bottom w:val="single" w:sz="4" w:space="0" w:color="000000"/>
              <w:right w:val="nil"/>
            </w:tcBorders>
            <w:shd w:val="clear" w:color="auto" w:fill="auto"/>
            <w:vAlign w:val="center"/>
            <w:hideMark/>
          </w:tcPr>
          <w:p w14:paraId="64828212" w14:textId="77777777" w:rsidR="002D6B6A" w:rsidRPr="00B95C7E" w:rsidRDefault="002D6B6A" w:rsidP="002D6B6A">
            <w:pPr>
              <w:rPr>
                <w:rFonts w:asciiTheme="minorHAnsi" w:hAnsiTheme="minorHAnsi" w:cstheme="minorHAnsi"/>
                <w:b/>
                <w:bCs/>
                <w:sz w:val="14"/>
                <w:szCs w:val="14"/>
                <w:lang w:val="en-US" w:eastAsia="en-US"/>
              </w:rPr>
            </w:pPr>
          </w:p>
        </w:tc>
        <w:tc>
          <w:tcPr>
            <w:tcW w:w="708" w:type="dxa"/>
            <w:vMerge/>
            <w:tcBorders>
              <w:top w:val="single" w:sz="4" w:space="0" w:color="auto"/>
              <w:left w:val="nil"/>
              <w:bottom w:val="single" w:sz="4" w:space="0" w:color="000000"/>
              <w:right w:val="nil"/>
            </w:tcBorders>
            <w:shd w:val="clear" w:color="auto" w:fill="auto"/>
            <w:vAlign w:val="center"/>
            <w:hideMark/>
          </w:tcPr>
          <w:p w14:paraId="7DC4CD1E" w14:textId="77777777" w:rsidR="002D6B6A" w:rsidRPr="00B95C7E" w:rsidRDefault="002D6B6A" w:rsidP="002D6B6A">
            <w:pPr>
              <w:rPr>
                <w:rFonts w:asciiTheme="minorHAnsi" w:hAnsiTheme="minorHAnsi" w:cstheme="minorHAnsi"/>
                <w:b/>
                <w:bCs/>
                <w:sz w:val="14"/>
                <w:szCs w:val="14"/>
                <w:lang w:val="en-US" w:eastAsia="en-US"/>
              </w:rPr>
            </w:pPr>
          </w:p>
        </w:tc>
        <w:tc>
          <w:tcPr>
            <w:tcW w:w="851" w:type="dxa"/>
            <w:vMerge/>
            <w:tcBorders>
              <w:top w:val="single" w:sz="4" w:space="0" w:color="auto"/>
              <w:left w:val="nil"/>
              <w:bottom w:val="single" w:sz="4" w:space="0" w:color="000000"/>
              <w:right w:val="nil"/>
            </w:tcBorders>
            <w:shd w:val="clear" w:color="auto" w:fill="auto"/>
            <w:vAlign w:val="center"/>
            <w:hideMark/>
          </w:tcPr>
          <w:p w14:paraId="01FDFD46" w14:textId="77777777" w:rsidR="002D6B6A" w:rsidRPr="00B95C7E" w:rsidRDefault="002D6B6A" w:rsidP="002D6B6A">
            <w:pPr>
              <w:rPr>
                <w:rFonts w:asciiTheme="minorHAnsi" w:hAnsiTheme="minorHAnsi" w:cstheme="minorHAnsi"/>
                <w:b/>
                <w:bCs/>
                <w:sz w:val="14"/>
                <w:szCs w:val="14"/>
                <w:lang w:val="en-US" w:eastAsia="en-US"/>
              </w:rPr>
            </w:pPr>
          </w:p>
        </w:tc>
        <w:tc>
          <w:tcPr>
            <w:tcW w:w="662" w:type="dxa"/>
            <w:vMerge/>
            <w:tcBorders>
              <w:top w:val="single" w:sz="4" w:space="0" w:color="auto"/>
              <w:left w:val="nil"/>
              <w:bottom w:val="single" w:sz="4" w:space="0" w:color="000000"/>
              <w:right w:val="nil"/>
            </w:tcBorders>
            <w:shd w:val="clear" w:color="auto" w:fill="auto"/>
            <w:vAlign w:val="center"/>
            <w:hideMark/>
          </w:tcPr>
          <w:p w14:paraId="07EA2633" w14:textId="77777777" w:rsidR="002D6B6A" w:rsidRPr="00B95C7E" w:rsidRDefault="002D6B6A" w:rsidP="002D6B6A">
            <w:pPr>
              <w:rPr>
                <w:rFonts w:asciiTheme="minorHAnsi" w:hAnsiTheme="minorHAnsi" w:cstheme="minorHAnsi"/>
                <w:b/>
                <w:bCs/>
                <w:sz w:val="14"/>
                <w:szCs w:val="14"/>
                <w:lang w:val="en-US" w:eastAsia="en-US"/>
              </w:rPr>
            </w:pPr>
          </w:p>
        </w:tc>
      </w:tr>
      <w:tr w:rsidR="00E0636F" w:rsidRPr="00B95C7E" w14:paraId="69057F48" w14:textId="77777777" w:rsidTr="00A23161">
        <w:trPr>
          <w:trHeight w:val="281"/>
        </w:trPr>
        <w:tc>
          <w:tcPr>
            <w:tcW w:w="709" w:type="dxa"/>
            <w:vMerge/>
            <w:tcBorders>
              <w:top w:val="single" w:sz="4" w:space="0" w:color="auto"/>
              <w:left w:val="nil"/>
              <w:bottom w:val="single" w:sz="4" w:space="0" w:color="000000"/>
              <w:right w:val="nil"/>
            </w:tcBorders>
            <w:shd w:val="clear" w:color="auto" w:fill="auto"/>
            <w:vAlign w:val="center"/>
            <w:hideMark/>
          </w:tcPr>
          <w:p w14:paraId="62F71917" w14:textId="77777777" w:rsidR="002D6B6A" w:rsidRPr="00B95C7E" w:rsidRDefault="002D6B6A" w:rsidP="002D6B6A">
            <w:pPr>
              <w:rPr>
                <w:rFonts w:asciiTheme="minorHAnsi" w:hAnsiTheme="minorHAnsi" w:cstheme="minorHAnsi"/>
                <w:b/>
                <w:bCs/>
                <w:sz w:val="14"/>
                <w:szCs w:val="14"/>
                <w:lang w:val="en-US" w:eastAsia="en-US"/>
              </w:rPr>
            </w:pPr>
          </w:p>
        </w:tc>
        <w:tc>
          <w:tcPr>
            <w:tcW w:w="709" w:type="dxa"/>
            <w:vMerge/>
            <w:tcBorders>
              <w:top w:val="single" w:sz="4" w:space="0" w:color="auto"/>
              <w:left w:val="nil"/>
              <w:bottom w:val="single" w:sz="4" w:space="0" w:color="000000"/>
              <w:right w:val="nil"/>
            </w:tcBorders>
            <w:shd w:val="clear" w:color="auto" w:fill="auto"/>
            <w:vAlign w:val="center"/>
            <w:hideMark/>
          </w:tcPr>
          <w:p w14:paraId="3C8A7AAC" w14:textId="77777777" w:rsidR="002D6B6A" w:rsidRPr="00B95C7E" w:rsidRDefault="002D6B6A" w:rsidP="002D6B6A">
            <w:pPr>
              <w:rPr>
                <w:rFonts w:asciiTheme="minorHAnsi" w:hAnsiTheme="minorHAnsi" w:cstheme="minorHAnsi"/>
                <w:b/>
                <w:bCs/>
                <w:sz w:val="14"/>
                <w:szCs w:val="14"/>
                <w:lang w:val="en-US" w:eastAsia="en-US"/>
              </w:rPr>
            </w:pPr>
          </w:p>
        </w:tc>
        <w:tc>
          <w:tcPr>
            <w:tcW w:w="709" w:type="dxa"/>
            <w:vMerge/>
            <w:tcBorders>
              <w:top w:val="single" w:sz="4" w:space="0" w:color="auto"/>
              <w:left w:val="nil"/>
              <w:bottom w:val="single" w:sz="4" w:space="0" w:color="000000"/>
              <w:right w:val="nil"/>
            </w:tcBorders>
            <w:shd w:val="clear" w:color="auto" w:fill="auto"/>
            <w:vAlign w:val="center"/>
            <w:hideMark/>
          </w:tcPr>
          <w:p w14:paraId="2790E0DE" w14:textId="77777777" w:rsidR="002D6B6A" w:rsidRPr="00B95C7E" w:rsidRDefault="002D6B6A" w:rsidP="002D6B6A">
            <w:pPr>
              <w:rPr>
                <w:rFonts w:asciiTheme="minorHAnsi" w:hAnsiTheme="minorHAnsi" w:cstheme="minorHAnsi"/>
                <w:b/>
                <w:bCs/>
                <w:sz w:val="14"/>
                <w:szCs w:val="14"/>
                <w:lang w:val="en-US" w:eastAsia="en-US"/>
              </w:rPr>
            </w:pPr>
          </w:p>
        </w:tc>
        <w:tc>
          <w:tcPr>
            <w:tcW w:w="3827" w:type="dxa"/>
            <w:gridSpan w:val="2"/>
            <w:vMerge/>
            <w:tcBorders>
              <w:top w:val="single" w:sz="4" w:space="0" w:color="auto"/>
              <w:left w:val="nil"/>
              <w:bottom w:val="single" w:sz="4" w:space="0" w:color="000000"/>
              <w:right w:val="nil"/>
            </w:tcBorders>
            <w:shd w:val="clear" w:color="auto" w:fill="auto"/>
            <w:vAlign w:val="center"/>
            <w:hideMark/>
          </w:tcPr>
          <w:p w14:paraId="7C0F69F4" w14:textId="77777777" w:rsidR="002D6B6A" w:rsidRPr="00B95C7E" w:rsidRDefault="002D6B6A" w:rsidP="002D6B6A">
            <w:pPr>
              <w:rPr>
                <w:rFonts w:asciiTheme="minorHAnsi" w:hAnsiTheme="minorHAnsi" w:cstheme="minorHAnsi"/>
                <w:b/>
                <w:bCs/>
                <w:sz w:val="14"/>
                <w:szCs w:val="14"/>
                <w:lang w:val="en-US" w:eastAsia="en-US"/>
              </w:rPr>
            </w:pPr>
          </w:p>
        </w:tc>
        <w:tc>
          <w:tcPr>
            <w:tcW w:w="709" w:type="dxa"/>
            <w:gridSpan w:val="3"/>
            <w:vMerge/>
            <w:tcBorders>
              <w:top w:val="single" w:sz="4" w:space="0" w:color="auto"/>
              <w:left w:val="nil"/>
              <w:bottom w:val="single" w:sz="4" w:space="0" w:color="000000"/>
              <w:right w:val="nil"/>
            </w:tcBorders>
            <w:shd w:val="clear" w:color="auto" w:fill="auto"/>
            <w:vAlign w:val="center"/>
            <w:hideMark/>
          </w:tcPr>
          <w:p w14:paraId="7660B684" w14:textId="77777777" w:rsidR="002D6B6A" w:rsidRPr="00B95C7E" w:rsidRDefault="002D6B6A" w:rsidP="002D6B6A">
            <w:pPr>
              <w:rPr>
                <w:rFonts w:asciiTheme="minorHAnsi" w:hAnsiTheme="minorHAnsi" w:cstheme="minorHAnsi"/>
                <w:b/>
                <w:bCs/>
                <w:sz w:val="14"/>
                <w:szCs w:val="14"/>
                <w:lang w:val="en-US" w:eastAsia="en-US"/>
              </w:rPr>
            </w:pPr>
          </w:p>
        </w:tc>
        <w:tc>
          <w:tcPr>
            <w:tcW w:w="709" w:type="dxa"/>
            <w:vMerge/>
            <w:tcBorders>
              <w:top w:val="single" w:sz="4" w:space="0" w:color="auto"/>
              <w:left w:val="nil"/>
              <w:bottom w:val="single" w:sz="4" w:space="0" w:color="000000"/>
              <w:right w:val="nil"/>
            </w:tcBorders>
            <w:shd w:val="clear" w:color="auto" w:fill="auto"/>
            <w:vAlign w:val="center"/>
            <w:hideMark/>
          </w:tcPr>
          <w:p w14:paraId="7746CFF9" w14:textId="77777777" w:rsidR="002D6B6A" w:rsidRPr="00B95C7E" w:rsidRDefault="002D6B6A" w:rsidP="002D6B6A">
            <w:pPr>
              <w:rPr>
                <w:rFonts w:asciiTheme="minorHAnsi" w:hAnsiTheme="minorHAnsi" w:cstheme="minorHAnsi"/>
                <w:b/>
                <w:bCs/>
                <w:sz w:val="14"/>
                <w:szCs w:val="14"/>
                <w:lang w:val="en-US" w:eastAsia="en-US"/>
              </w:rPr>
            </w:pPr>
          </w:p>
        </w:tc>
        <w:tc>
          <w:tcPr>
            <w:tcW w:w="992" w:type="dxa"/>
            <w:gridSpan w:val="2"/>
            <w:vMerge/>
            <w:tcBorders>
              <w:top w:val="single" w:sz="4" w:space="0" w:color="auto"/>
              <w:left w:val="nil"/>
              <w:bottom w:val="single" w:sz="4" w:space="0" w:color="000000"/>
              <w:right w:val="nil"/>
            </w:tcBorders>
            <w:shd w:val="clear" w:color="auto" w:fill="auto"/>
            <w:vAlign w:val="center"/>
            <w:hideMark/>
          </w:tcPr>
          <w:p w14:paraId="72A5848E" w14:textId="77777777" w:rsidR="002D6B6A" w:rsidRPr="00B95C7E" w:rsidRDefault="002D6B6A" w:rsidP="002D6B6A">
            <w:pPr>
              <w:rPr>
                <w:rFonts w:asciiTheme="minorHAnsi" w:hAnsiTheme="minorHAnsi" w:cstheme="minorHAnsi"/>
                <w:bCs/>
                <w:sz w:val="14"/>
                <w:szCs w:val="14"/>
                <w:lang w:val="en-US" w:eastAsia="en-US"/>
              </w:rPr>
            </w:pPr>
          </w:p>
        </w:tc>
        <w:tc>
          <w:tcPr>
            <w:tcW w:w="628" w:type="dxa"/>
            <w:vMerge/>
            <w:tcBorders>
              <w:top w:val="single" w:sz="4" w:space="0" w:color="auto"/>
              <w:left w:val="nil"/>
              <w:bottom w:val="single" w:sz="4" w:space="0" w:color="000000"/>
              <w:right w:val="nil"/>
            </w:tcBorders>
            <w:shd w:val="clear" w:color="auto" w:fill="auto"/>
            <w:vAlign w:val="center"/>
            <w:hideMark/>
          </w:tcPr>
          <w:p w14:paraId="52DB3A97" w14:textId="77777777" w:rsidR="002D6B6A" w:rsidRPr="00B95C7E" w:rsidRDefault="002D6B6A" w:rsidP="002D6B6A">
            <w:pPr>
              <w:rPr>
                <w:rFonts w:asciiTheme="minorHAnsi" w:hAnsiTheme="minorHAnsi" w:cstheme="minorHAnsi"/>
                <w:b/>
                <w:bCs/>
                <w:sz w:val="14"/>
                <w:szCs w:val="14"/>
                <w:lang w:val="en-US" w:eastAsia="en-US"/>
              </w:rPr>
            </w:pPr>
          </w:p>
        </w:tc>
        <w:tc>
          <w:tcPr>
            <w:tcW w:w="1073" w:type="dxa"/>
            <w:vMerge/>
            <w:tcBorders>
              <w:top w:val="single" w:sz="4" w:space="0" w:color="auto"/>
              <w:left w:val="nil"/>
              <w:bottom w:val="single" w:sz="4" w:space="0" w:color="000000"/>
              <w:right w:val="nil"/>
            </w:tcBorders>
            <w:shd w:val="clear" w:color="auto" w:fill="auto"/>
            <w:vAlign w:val="center"/>
            <w:hideMark/>
          </w:tcPr>
          <w:p w14:paraId="3F638833" w14:textId="77777777" w:rsidR="002D6B6A" w:rsidRPr="00B95C7E" w:rsidRDefault="002D6B6A" w:rsidP="002D6B6A">
            <w:pPr>
              <w:rPr>
                <w:rFonts w:asciiTheme="minorHAnsi" w:hAnsiTheme="minorHAnsi" w:cstheme="minorHAnsi"/>
                <w:b/>
                <w:bCs/>
                <w:sz w:val="14"/>
                <w:szCs w:val="14"/>
                <w:lang w:val="en-US" w:eastAsia="en-US"/>
              </w:rPr>
            </w:pPr>
          </w:p>
        </w:tc>
        <w:tc>
          <w:tcPr>
            <w:tcW w:w="567" w:type="dxa"/>
            <w:vMerge/>
            <w:tcBorders>
              <w:top w:val="single" w:sz="4" w:space="0" w:color="auto"/>
              <w:left w:val="nil"/>
              <w:bottom w:val="single" w:sz="4" w:space="0" w:color="000000"/>
              <w:right w:val="nil"/>
            </w:tcBorders>
            <w:shd w:val="clear" w:color="auto" w:fill="auto"/>
            <w:vAlign w:val="center"/>
            <w:hideMark/>
          </w:tcPr>
          <w:p w14:paraId="686CE218" w14:textId="77777777" w:rsidR="002D6B6A" w:rsidRPr="00B95C7E" w:rsidRDefault="002D6B6A" w:rsidP="002D6B6A">
            <w:pPr>
              <w:rPr>
                <w:rFonts w:asciiTheme="minorHAnsi" w:hAnsiTheme="minorHAnsi" w:cstheme="minorHAnsi"/>
                <w:b/>
                <w:bCs/>
                <w:sz w:val="14"/>
                <w:szCs w:val="14"/>
                <w:lang w:val="en-US" w:eastAsia="en-US"/>
              </w:rPr>
            </w:pPr>
          </w:p>
        </w:tc>
        <w:tc>
          <w:tcPr>
            <w:tcW w:w="575" w:type="dxa"/>
            <w:vMerge/>
            <w:tcBorders>
              <w:top w:val="single" w:sz="4" w:space="0" w:color="auto"/>
              <w:left w:val="nil"/>
              <w:bottom w:val="single" w:sz="4" w:space="0" w:color="000000"/>
              <w:right w:val="nil"/>
            </w:tcBorders>
            <w:shd w:val="clear" w:color="auto" w:fill="auto"/>
            <w:vAlign w:val="center"/>
            <w:hideMark/>
          </w:tcPr>
          <w:p w14:paraId="342A9D31" w14:textId="77777777" w:rsidR="002D6B6A" w:rsidRPr="00B95C7E" w:rsidRDefault="002D6B6A" w:rsidP="002D6B6A">
            <w:pPr>
              <w:rPr>
                <w:rFonts w:asciiTheme="minorHAnsi" w:hAnsiTheme="minorHAnsi" w:cstheme="minorHAnsi"/>
                <w:b/>
                <w:bCs/>
                <w:sz w:val="14"/>
                <w:szCs w:val="14"/>
                <w:lang w:val="en-US" w:eastAsia="en-US"/>
              </w:rPr>
            </w:pPr>
          </w:p>
        </w:tc>
        <w:tc>
          <w:tcPr>
            <w:tcW w:w="575" w:type="dxa"/>
            <w:vMerge/>
            <w:tcBorders>
              <w:top w:val="single" w:sz="4" w:space="0" w:color="auto"/>
              <w:left w:val="nil"/>
              <w:bottom w:val="single" w:sz="4" w:space="0" w:color="000000"/>
              <w:right w:val="nil"/>
            </w:tcBorders>
            <w:shd w:val="clear" w:color="auto" w:fill="auto"/>
            <w:vAlign w:val="center"/>
            <w:hideMark/>
          </w:tcPr>
          <w:p w14:paraId="61DD3EE9" w14:textId="77777777" w:rsidR="002D6B6A" w:rsidRPr="00B95C7E" w:rsidRDefault="002D6B6A" w:rsidP="002D6B6A">
            <w:pPr>
              <w:rPr>
                <w:rFonts w:asciiTheme="minorHAnsi" w:hAnsiTheme="minorHAnsi" w:cstheme="minorHAnsi"/>
                <w:b/>
                <w:bCs/>
                <w:sz w:val="14"/>
                <w:szCs w:val="14"/>
                <w:lang w:val="en-US" w:eastAsia="en-US"/>
              </w:rPr>
            </w:pPr>
          </w:p>
        </w:tc>
        <w:tc>
          <w:tcPr>
            <w:tcW w:w="851" w:type="dxa"/>
            <w:vMerge/>
            <w:tcBorders>
              <w:top w:val="single" w:sz="4" w:space="0" w:color="auto"/>
              <w:left w:val="nil"/>
              <w:bottom w:val="single" w:sz="4" w:space="0" w:color="000000"/>
              <w:right w:val="nil"/>
            </w:tcBorders>
            <w:shd w:val="clear" w:color="auto" w:fill="auto"/>
            <w:vAlign w:val="center"/>
            <w:hideMark/>
          </w:tcPr>
          <w:p w14:paraId="7FC34FE0" w14:textId="77777777" w:rsidR="002D6B6A" w:rsidRPr="00B95C7E" w:rsidRDefault="002D6B6A" w:rsidP="002D6B6A">
            <w:pPr>
              <w:rPr>
                <w:rFonts w:asciiTheme="minorHAnsi" w:hAnsiTheme="minorHAnsi" w:cstheme="minorHAnsi"/>
                <w:b/>
                <w:bCs/>
                <w:sz w:val="14"/>
                <w:szCs w:val="14"/>
                <w:lang w:val="en-US" w:eastAsia="en-US"/>
              </w:rPr>
            </w:pPr>
          </w:p>
        </w:tc>
        <w:tc>
          <w:tcPr>
            <w:tcW w:w="708" w:type="dxa"/>
            <w:vMerge/>
            <w:tcBorders>
              <w:top w:val="single" w:sz="4" w:space="0" w:color="auto"/>
              <w:left w:val="nil"/>
              <w:bottom w:val="single" w:sz="4" w:space="0" w:color="000000"/>
              <w:right w:val="nil"/>
            </w:tcBorders>
            <w:shd w:val="clear" w:color="auto" w:fill="auto"/>
            <w:vAlign w:val="center"/>
            <w:hideMark/>
          </w:tcPr>
          <w:p w14:paraId="02DC3F69" w14:textId="77777777" w:rsidR="002D6B6A" w:rsidRPr="00B95C7E" w:rsidRDefault="002D6B6A" w:rsidP="002D6B6A">
            <w:pPr>
              <w:rPr>
                <w:rFonts w:asciiTheme="minorHAnsi" w:hAnsiTheme="minorHAnsi" w:cstheme="minorHAnsi"/>
                <w:b/>
                <w:bCs/>
                <w:sz w:val="14"/>
                <w:szCs w:val="14"/>
                <w:lang w:val="en-US" w:eastAsia="en-US"/>
              </w:rPr>
            </w:pPr>
          </w:p>
        </w:tc>
        <w:tc>
          <w:tcPr>
            <w:tcW w:w="851" w:type="dxa"/>
            <w:vMerge/>
            <w:tcBorders>
              <w:top w:val="single" w:sz="4" w:space="0" w:color="auto"/>
              <w:left w:val="nil"/>
              <w:bottom w:val="single" w:sz="4" w:space="0" w:color="000000"/>
              <w:right w:val="nil"/>
            </w:tcBorders>
            <w:shd w:val="clear" w:color="auto" w:fill="auto"/>
            <w:vAlign w:val="center"/>
            <w:hideMark/>
          </w:tcPr>
          <w:p w14:paraId="56795C82" w14:textId="77777777" w:rsidR="002D6B6A" w:rsidRPr="00B95C7E" w:rsidRDefault="002D6B6A" w:rsidP="002D6B6A">
            <w:pPr>
              <w:rPr>
                <w:rFonts w:asciiTheme="minorHAnsi" w:hAnsiTheme="minorHAnsi" w:cstheme="minorHAnsi"/>
                <w:b/>
                <w:bCs/>
                <w:sz w:val="14"/>
                <w:szCs w:val="14"/>
                <w:lang w:val="en-US" w:eastAsia="en-US"/>
              </w:rPr>
            </w:pPr>
          </w:p>
        </w:tc>
        <w:tc>
          <w:tcPr>
            <w:tcW w:w="662" w:type="dxa"/>
            <w:vMerge/>
            <w:tcBorders>
              <w:top w:val="single" w:sz="4" w:space="0" w:color="auto"/>
              <w:left w:val="nil"/>
              <w:bottom w:val="single" w:sz="4" w:space="0" w:color="000000"/>
              <w:right w:val="nil"/>
            </w:tcBorders>
            <w:shd w:val="clear" w:color="auto" w:fill="auto"/>
            <w:vAlign w:val="center"/>
            <w:hideMark/>
          </w:tcPr>
          <w:p w14:paraId="08DEDE5E" w14:textId="77777777" w:rsidR="002D6B6A" w:rsidRPr="00B95C7E" w:rsidRDefault="002D6B6A" w:rsidP="002D6B6A">
            <w:pPr>
              <w:rPr>
                <w:rFonts w:asciiTheme="minorHAnsi" w:hAnsiTheme="minorHAnsi" w:cstheme="minorHAnsi"/>
                <w:b/>
                <w:bCs/>
                <w:sz w:val="14"/>
                <w:szCs w:val="14"/>
                <w:lang w:val="en-US" w:eastAsia="en-US"/>
              </w:rPr>
            </w:pPr>
          </w:p>
        </w:tc>
      </w:tr>
      <w:tr w:rsidR="00385317" w:rsidRPr="00B95C7E" w14:paraId="46632C52" w14:textId="77777777" w:rsidTr="00A23161">
        <w:trPr>
          <w:trHeight w:val="243"/>
        </w:trPr>
        <w:tc>
          <w:tcPr>
            <w:tcW w:w="709" w:type="dxa"/>
            <w:tcBorders>
              <w:top w:val="nil"/>
              <w:left w:val="nil"/>
              <w:bottom w:val="nil"/>
              <w:right w:val="nil"/>
            </w:tcBorders>
            <w:shd w:val="clear" w:color="auto" w:fill="auto"/>
            <w:noWrap/>
            <w:hideMark/>
          </w:tcPr>
          <w:p w14:paraId="12F0E3C5"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Yes</w:t>
            </w:r>
          </w:p>
        </w:tc>
        <w:tc>
          <w:tcPr>
            <w:tcW w:w="709" w:type="dxa"/>
            <w:tcBorders>
              <w:top w:val="nil"/>
              <w:left w:val="nil"/>
              <w:bottom w:val="nil"/>
              <w:right w:val="nil"/>
            </w:tcBorders>
            <w:shd w:val="clear" w:color="auto" w:fill="auto"/>
            <w:noWrap/>
            <w:hideMark/>
          </w:tcPr>
          <w:p w14:paraId="3E5EC4A6"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w:t>
            </w:r>
          </w:p>
        </w:tc>
        <w:tc>
          <w:tcPr>
            <w:tcW w:w="709" w:type="dxa"/>
            <w:tcBorders>
              <w:top w:val="nil"/>
              <w:left w:val="nil"/>
              <w:bottom w:val="nil"/>
              <w:right w:val="nil"/>
            </w:tcBorders>
            <w:shd w:val="clear" w:color="auto" w:fill="auto"/>
            <w:noWrap/>
            <w:hideMark/>
          </w:tcPr>
          <w:p w14:paraId="54AAE41A" w14:textId="77777777"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I04B</w:t>
            </w:r>
          </w:p>
        </w:tc>
        <w:tc>
          <w:tcPr>
            <w:tcW w:w="3827" w:type="dxa"/>
            <w:gridSpan w:val="2"/>
            <w:tcBorders>
              <w:top w:val="nil"/>
              <w:left w:val="nil"/>
              <w:bottom w:val="nil"/>
              <w:right w:val="nil"/>
            </w:tcBorders>
            <w:shd w:val="clear" w:color="auto" w:fill="auto"/>
            <w:noWrap/>
            <w:hideMark/>
          </w:tcPr>
          <w:p w14:paraId="3AFDA472" w14:textId="274FF18D"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Knee Replacement, Minor Complexity</w:t>
            </w:r>
          </w:p>
        </w:tc>
        <w:tc>
          <w:tcPr>
            <w:tcW w:w="567" w:type="dxa"/>
            <w:gridSpan w:val="2"/>
            <w:tcBorders>
              <w:top w:val="nil"/>
              <w:left w:val="nil"/>
              <w:bottom w:val="nil"/>
              <w:right w:val="nil"/>
            </w:tcBorders>
            <w:shd w:val="clear" w:color="auto" w:fill="auto"/>
            <w:noWrap/>
            <w:hideMark/>
          </w:tcPr>
          <w:p w14:paraId="2F9A6B94"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4.25</w:t>
            </w:r>
          </w:p>
        </w:tc>
        <w:tc>
          <w:tcPr>
            <w:tcW w:w="851" w:type="dxa"/>
            <w:gridSpan w:val="2"/>
            <w:tcBorders>
              <w:top w:val="nil"/>
              <w:left w:val="nil"/>
              <w:bottom w:val="nil"/>
              <w:right w:val="nil"/>
            </w:tcBorders>
            <w:shd w:val="clear" w:color="auto" w:fill="auto"/>
            <w:noWrap/>
            <w:hideMark/>
          </w:tcPr>
          <w:p w14:paraId="521DCF27" w14:textId="6E953DDC"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33,469</w:t>
            </w:r>
          </w:p>
        </w:tc>
        <w:tc>
          <w:tcPr>
            <w:tcW w:w="781" w:type="dxa"/>
            <w:tcBorders>
              <w:top w:val="nil"/>
              <w:left w:val="nil"/>
              <w:bottom w:val="nil"/>
              <w:right w:val="nil"/>
            </w:tcBorders>
            <w:shd w:val="clear" w:color="auto" w:fill="auto"/>
            <w:noWrap/>
            <w:hideMark/>
          </w:tcPr>
          <w:p w14:paraId="5CA0E275" w14:textId="237A89E2" w:rsidR="00385317" w:rsidRPr="00385317" w:rsidRDefault="00385317" w:rsidP="00385317">
            <w:pPr>
              <w:jc w:val="right"/>
              <w:rPr>
                <w:rFonts w:asciiTheme="minorHAnsi" w:hAnsiTheme="minorHAnsi" w:cstheme="minorHAnsi"/>
                <w:b/>
                <w:sz w:val="14"/>
                <w:szCs w:val="14"/>
                <w:lang w:val="en-US" w:eastAsia="en-US"/>
              </w:rPr>
            </w:pPr>
            <w:r w:rsidRPr="00385317">
              <w:rPr>
                <w:rFonts w:asciiTheme="minorHAnsi" w:hAnsiTheme="minorHAnsi" w:cstheme="minorHAnsi"/>
                <w:b/>
                <w:sz w:val="14"/>
                <w:szCs w:val="14"/>
                <w:lang w:val="en-US" w:eastAsia="en-US"/>
              </w:rPr>
              <w:t>142,243</w:t>
            </w:r>
          </w:p>
        </w:tc>
        <w:tc>
          <w:tcPr>
            <w:tcW w:w="839" w:type="dxa"/>
            <w:gridSpan w:val="2"/>
            <w:tcBorders>
              <w:top w:val="nil"/>
              <w:left w:val="nil"/>
              <w:bottom w:val="nil"/>
              <w:right w:val="nil"/>
            </w:tcBorders>
            <w:shd w:val="clear" w:color="auto" w:fill="auto"/>
            <w:noWrap/>
            <w:hideMark/>
          </w:tcPr>
          <w:p w14:paraId="231C93CC"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177,475</w:t>
            </w:r>
          </w:p>
        </w:tc>
        <w:tc>
          <w:tcPr>
            <w:tcW w:w="1073" w:type="dxa"/>
            <w:tcBorders>
              <w:top w:val="nil"/>
              <w:left w:val="nil"/>
              <w:bottom w:val="nil"/>
              <w:right w:val="nil"/>
            </w:tcBorders>
            <w:shd w:val="clear" w:color="auto" w:fill="auto"/>
            <w:noWrap/>
            <w:hideMark/>
          </w:tcPr>
          <w:p w14:paraId="1A5EC52A"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5.3</w:t>
            </w:r>
          </w:p>
        </w:tc>
        <w:tc>
          <w:tcPr>
            <w:tcW w:w="567" w:type="dxa"/>
            <w:tcBorders>
              <w:top w:val="nil"/>
              <w:left w:val="nil"/>
              <w:bottom w:val="nil"/>
              <w:right w:val="nil"/>
            </w:tcBorders>
            <w:shd w:val="clear" w:color="auto" w:fill="auto"/>
            <w:noWrap/>
            <w:hideMark/>
          </w:tcPr>
          <w:p w14:paraId="40BE9DBF"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0.01</w:t>
            </w:r>
          </w:p>
        </w:tc>
        <w:tc>
          <w:tcPr>
            <w:tcW w:w="575" w:type="dxa"/>
            <w:tcBorders>
              <w:top w:val="nil"/>
              <w:left w:val="nil"/>
              <w:bottom w:val="nil"/>
              <w:right w:val="nil"/>
            </w:tcBorders>
            <w:shd w:val="clear" w:color="auto" w:fill="auto"/>
            <w:noWrap/>
            <w:hideMark/>
          </w:tcPr>
          <w:p w14:paraId="6BB678C8"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1.1%</w:t>
            </w:r>
          </w:p>
        </w:tc>
        <w:tc>
          <w:tcPr>
            <w:tcW w:w="575" w:type="dxa"/>
            <w:tcBorders>
              <w:top w:val="nil"/>
              <w:left w:val="nil"/>
              <w:bottom w:val="nil"/>
              <w:right w:val="nil"/>
            </w:tcBorders>
            <w:shd w:val="clear" w:color="auto" w:fill="auto"/>
            <w:noWrap/>
            <w:hideMark/>
          </w:tcPr>
          <w:p w14:paraId="52448D09"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4.7%</w:t>
            </w:r>
          </w:p>
        </w:tc>
        <w:tc>
          <w:tcPr>
            <w:tcW w:w="851" w:type="dxa"/>
            <w:tcBorders>
              <w:top w:val="nil"/>
              <w:left w:val="nil"/>
              <w:bottom w:val="nil"/>
              <w:right w:val="nil"/>
            </w:tcBorders>
            <w:shd w:val="clear" w:color="auto" w:fill="auto"/>
            <w:noWrap/>
            <w:hideMark/>
          </w:tcPr>
          <w:p w14:paraId="2AE38031"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138,412</w:t>
            </w:r>
          </w:p>
        </w:tc>
        <w:tc>
          <w:tcPr>
            <w:tcW w:w="708" w:type="dxa"/>
            <w:tcBorders>
              <w:top w:val="nil"/>
              <w:left w:val="nil"/>
              <w:bottom w:val="nil"/>
              <w:right w:val="nil"/>
            </w:tcBorders>
            <w:shd w:val="clear" w:color="auto" w:fill="auto"/>
            <w:noWrap/>
            <w:hideMark/>
          </w:tcPr>
          <w:p w14:paraId="74B99D2E"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1 </w:t>
            </w:r>
          </w:p>
        </w:tc>
        <w:tc>
          <w:tcPr>
            <w:tcW w:w="851" w:type="dxa"/>
            <w:tcBorders>
              <w:top w:val="nil"/>
              <w:left w:val="nil"/>
              <w:bottom w:val="nil"/>
              <w:right w:val="nil"/>
            </w:tcBorders>
            <w:shd w:val="clear" w:color="auto" w:fill="auto"/>
            <w:noWrap/>
            <w:hideMark/>
          </w:tcPr>
          <w:p w14:paraId="0FCFF58F"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25,912 </w:t>
            </w:r>
          </w:p>
        </w:tc>
        <w:tc>
          <w:tcPr>
            <w:tcW w:w="662" w:type="dxa"/>
            <w:tcBorders>
              <w:top w:val="nil"/>
              <w:left w:val="nil"/>
              <w:bottom w:val="nil"/>
              <w:right w:val="nil"/>
            </w:tcBorders>
            <w:shd w:val="clear" w:color="auto" w:fill="auto"/>
            <w:noWrap/>
            <w:hideMark/>
          </w:tcPr>
          <w:p w14:paraId="380C2E90"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5.34</w:t>
            </w:r>
          </w:p>
        </w:tc>
      </w:tr>
      <w:tr w:rsidR="00385317" w:rsidRPr="00B95C7E" w14:paraId="79EAA66D" w14:textId="77777777" w:rsidTr="00A23161">
        <w:trPr>
          <w:trHeight w:val="243"/>
        </w:trPr>
        <w:tc>
          <w:tcPr>
            <w:tcW w:w="709" w:type="dxa"/>
            <w:tcBorders>
              <w:top w:val="nil"/>
              <w:left w:val="nil"/>
              <w:bottom w:val="nil"/>
              <w:right w:val="nil"/>
            </w:tcBorders>
            <w:shd w:val="clear" w:color="auto" w:fill="auto"/>
            <w:noWrap/>
            <w:hideMark/>
          </w:tcPr>
          <w:p w14:paraId="65A80FBE"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Yes</w:t>
            </w:r>
          </w:p>
        </w:tc>
        <w:tc>
          <w:tcPr>
            <w:tcW w:w="709" w:type="dxa"/>
            <w:tcBorders>
              <w:top w:val="nil"/>
              <w:left w:val="nil"/>
              <w:bottom w:val="nil"/>
              <w:right w:val="nil"/>
            </w:tcBorders>
            <w:shd w:val="clear" w:color="auto" w:fill="auto"/>
            <w:noWrap/>
            <w:hideMark/>
          </w:tcPr>
          <w:p w14:paraId="7B70D093"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2</w:t>
            </w:r>
          </w:p>
        </w:tc>
        <w:tc>
          <w:tcPr>
            <w:tcW w:w="709" w:type="dxa"/>
            <w:tcBorders>
              <w:top w:val="nil"/>
              <w:left w:val="nil"/>
              <w:bottom w:val="nil"/>
              <w:right w:val="nil"/>
            </w:tcBorders>
            <w:shd w:val="clear" w:color="auto" w:fill="auto"/>
            <w:noWrap/>
            <w:hideMark/>
          </w:tcPr>
          <w:p w14:paraId="31FE8E77" w14:textId="77777777"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I03B</w:t>
            </w:r>
          </w:p>
        </w:tc>
        <w:tc>
          <w:tcPr>
            <w:tcW w:w="3827" w:type="dxa"/>
            <w:gridSpan w:val="2"/>
            <w:tcBorders>
              <w:top w:val="nil"/>
              <w:left w:val="nil"/>
              <w:bottom w:val="nil"/>
              <w:right w:val="nil"/>
            </w:tcBorders>
            <w:shd w:val="clear" w:color="auto" w:fill="auto"/>
            <w:noWrap/>
            <w:hideMark/>
          </w:tcPr>
          <w:p w14:paraId="0DAC36D6" w14:textId="665132F3"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Hip Replacement, Minor Complexity</w:t>
            </w:r>
          </w:p>
        </w:tc>
        <w:tc>
          <w:tcPr>
            <w:tcW w:w="567" w:type="dxa"/>
            <w:gridSpan w:val="2"/>
            <w:tcBorders>
              <w:top w:val="nil"/>
              <w:left w:val="nil"/>
              <w:bottom w:val="nil"/>
              <w:right w:val="nil"/>
            </w:tcBorders>
            <w:shd w:val="clear" w:color="auto" w:fill="auto"/>
            <w:noWrap/>
            <w:hideMark/>
          </w:tcPr>
          <w:p w14:paraId="22C06DC9"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4.91</w:t>
            </w:r>
          </w:p>
        </w:tc>
        <w:tc>
          <w:tcPr>
            <w:tcW w:w="851" w:type="dxa"/>
            <w:gridSpan w:val="2"/>
            <w:tcBorders>
              <w:top w:val="nil"/>
              <w:left w:val="nil"/>
              <w:bottom w:val="nil"/>
              <w:right w:val="nil"/>
            </w:tcBorders>
            <w:shd w:val="clear" w:color="auto" w:fill="auto"/>
            <w:noWrap/>
            <w:hideMark/>
          </w:tcPr>
          <w:p w14:paraId="4B407AC8"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25,714</w:t>
            </w:r>
          </w:p>
        </w:tc>
        <w:tc>
          <w:tcPr>
            <w:tcW w:w="781" w:type="dxa"/>
            <w:tcBorders>
              <w:top w:val="nil"/>
              <w:left w:val="nil"/>
              <w:bottom w:val="nil"/>
              <w:right w:val="nil"/>
            </w:tcBorders>
            <w:shd w:val="clear" w:color="auto" w:fill="auto"/>
            <w:noWrap/>
            <w:hideMark/>
          </w:tcPr>
          <w:p w14:paraId="03B31E6E" w14:textId="2F08633E" w:rsidR="00385317" w:rsidRPr="00385317" w:rsidRDefault="00385317" w:rsidP="00385317">
            <w:pPr>
              <w:jc w:val="right"/>
              <w:rPr>
                <w:rFonts w:asciiTheme="minorHAnsi" w:hAnsiTheme="minorHAnsi" w:cstheme="minorHAnsi"/>
                <w:b/>
                <w:sz w:val="14"/>
                <w:szCs w:val="14"/>
                <w:lang w:val="en-US" w:eastAsia="en-US"/>
              </w:rPr>
            </w:pPr>
            <w:r w:rsidRPr="00385317">
              <w:rPr>
                <w:rFonts w:asciiTheme="minorHAnsi" w:hAnsiTheme="minorHAnsi" w:cstheme="minorHAnsi"/>
                <w:b/>
                <w:sz w:val="14"/>
                <w:szCs w:val="14"/>
                <w:lang w:val="en-US" w:eastAsia="en-US"/>
              </w:rPr>
              <w:t>126,256</w:t>
            </w:r>
          </w:p>
        </w:tc>
        <w:tc>
          <w:tcPr>
            <w:tcW w:w="839" w:type="dxa"/>
            <w:gridSpan w:val="2"/>
            <w:tcBorders>
              <w:top w:val="nil"/>
              <w:left w:val="nil"/>
              <w:bottom w:val="nil"/>
              <w:right w:val="nil"/>
            </w:tcBorders>
            <w:shd w:val="clear" w:color="auto" w:fill="auto"/>
            <w:noWrap/>
            <w:hideMark/>
          </w:tcPr>
          <w:p w14:paraId="09A3184A"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134,302</w:t>
            </w:r>
          </w:p>
        </w:tc>
        <w:tc>
          <w:tcPr>
            <w:tcW w:w="1073" w:type="dxa"/>
            <w:tcBorders>
              <w:top w:val="nil"/>
              <w:left w:val="nil"/>
              <w:bottom w:val="nil"/>
              <w:right w:val="nil"/>
            </w:tcBorders>
            <w:shd w:val="clear" w:color="auto" w:fill="auto"/>
            <w:noWrap/>
            <w:hideMark/>
          </w:tcPr>
          <w:p w14:paraId="50E77672"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5.2</w:t>
            </w:r>
          </w:p>
        </w:tc>
        <w:tc>
          <w:tcPr>
            <w:tcW w:w="567" w:type="dxa"/>
            <w:tcBorders>
              <w:top w:val="nil"/>
              <w:left w:val="nil"/>
              <w:bottom w:val="nil"/>
              <w:right w:val="nil"/>
            </w:tcBorders>
            <w:shd w:val="clear" w:color="auto" w:fill="auto"/>
            <w:noWrap/>
            <w:hideMark/>
          </w:tcPr>
          <w:p w14:paraId="5AB7C9A8"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0.01</w:t>
            </w:r>
          </w:p>
        </w:tc>
        <w:tc>
          <w:tcPr>
            <w:tcW w:w="575" w:type="dxa"/>
            <w:tcBorders>
              <w:top w:val="nil"/>
              <w:left w:val="nil"/>
              <w:bottom w:val="nil"/>
              <w:right w:val="nil"/>
            </w:tcBorders>
            <w:shd w:val="clear" w:color="auto" w:fill="auto"/>
            <w:noWrap/>
            <w:hideMark/>
          </w:tcPr>
          <w:p w14:paraId="57C00E7E"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0.8%</w:t>
            </w:r>
          </w:p>
        </w:tc>
        <w:tc>
          <w:tcPr>
            <w:tcW w:w="575" w:type="dxa"/>
            <w:tcBorders>
              <w:top w:val="nil"/>
              <w:left w:val="nil"/>
              <w:bottom w:val="nil"/>
              <w:right w:val="nil"/>
            </w:tcBorders>
            <w:shd w:val="clear" w:color="auto" w:fill="auto"/>
            <w:noWrap/>
            <w:hideMark/>
          </w:tcPr>
          <w:p w14:paraId="7DF8D727"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4.1%</w:t>
            </w:r>
          </w:p>
        </w:tc>
        <w:tc>
          <w:tcPr>
            <w:tcW w:w="851" w:type="dxa"/>
            <w:tcBorders>
              <w:top w:val="nil"/>
              <w:left w:val="nil"/>
              <w:bottom w:val="nil"/>
              <w:right w:val="nil"/>
            </w:tcBorders>
            <w:shd w:val="clear" w:color="auto" w:fill="auto"/>
            <w:noWrap/>
            <w:hideMark/>
          </w:tcPr>
          <w:p w14:paraId="4E62FC23"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116,091</w:t>
            </w:r>
          </w:p>
        </w:tc>
        <w:tc>
          <w:tcPr>
            <w:tcW w:w="708" w:type="dxa"/>
            <w:tcBorders>
              <w:top w:val="nil"/>
              <w:left w:val="nil"/>
              <w:bottom w:val="nil"/>
              <w:right w:val="nil"/>
            </w:tcBorders>
            <w:shd w:val="clear" w:color="auto" w:fill="auto"/>
            <w:noWrap/>
            <w:hideMark/>
          </w:tcPr>
          <w:p w14:paraId="466FA60D"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2 </w:t>
            </w:r>
          </w:p>
        </w:tc>
        <w:tc>
          <w:tcPr>
            <w:tcW w:w="851" w:type="dxa"/>
            <w:tcBorders>
              <w:top w:val="nil"/>
              <w:left w:val="nil"/>
              <w:bottom w:val="nil"/>
              <w:right w:val="nil"/>
            </w:tcBorders>
            <w:shd w:val="clear" w:color="auto" w:fill="auto"/>
            <w:noWrap/>
            <w:hideMark/>
          </w:tcPr>
          <w:p w14:paraId="44422AAC"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18,574 </w:t>
            </w:r>
          </w:p>
        </w:tc>
        <w:tc>
          <w:tcPr>
            <w:tcW w:w="662" w:type="dxa"/>
            <w:tcBorders>
              <w:top w:val="nil"/>
              <w:left w:val="nil"/>
              <w:bottom w:val="nil"/>
              <w:right w:val="nil"/>
            </w:tcBorders>
            <w:shd w:val="clear" w:color="auto" w:fill="auto"/>
            <w:noWrap/>
            <w:hideMark/>
          </w:tcPr>
          <w:p w14:paraId="396BDC2E"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6.25</w:t>
            </w:r>
          </w:p>
        </w:tc>
      </w:tr>
      <w:tr w:rsidR="00385317" w:rsidRPr="00B95C7E" w14:paraId="0F48356F" w14:textId="77777777" w:rsidTr="00A23161">
        <w:trPr>
          <w:trHeight w:val="243"/>
        </w:trPr>
        <w:tc>
          <w:tcPr>
            <w:tcW w:w="709" w:type="dxa"/>
            <w:tcBorders>
              <w:top w:val="nil"/>
              <w:left w:val="nil"/>
              <w:bottom w:val="nil"/>
              <w:right w:val="nil"/>
            </w:tcBorders>
            <w:shd w:val="clear" w:color="auto" w:fill="auto"/>
            <w:noWrap/>
            <w:hideMark/>
          </w:tcPr>
          <w:p w14:paraId="39FF9C02"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Yes</w:t>
            </w:r>
          </w:p>
        </w:tc>
        <w:tc>
          <w:tcPr>
            <w:tcW w:w="709" w:type="dxa"/>
            <w:tcBorders>
              <w:top w:val="nil"/>
              <w:left w:val="nil"/>
              <w:bottom w:val="nil"/>
              <w:right w:val="nil"/>
            </w:tcBorders>
            <w:shd w:val="clear" w:color="auto" w:fill="auto"/>
            <w:noWrap/>
            <w:hideMark/>
          </w:tcPr>
          <w:p w14:paraId="1E10CEAC"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3</w:t>
            </w:r>
          </w:p>
        </w:tc>
        <w:tc>
          <w:tcPr>
            <w:tcW w:w="709" w:type="dxa"/>
            <w:tcBorders>
              <w:top w:val="nil"/>
              <w:left w:val="nil"/>
              <w:bottom w:val="nil"/>
              <w:right w:val="nil"/>
            </w:tcBorders>
            <w:shd w:val="clear" w:color="auto" w:fill="auto"/>
            <w:noWrap/>
            <w:hideMark/>
          </w:tcPr>
          <w:p w14:paraId="05D55D14" w14:textId="77777777"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I09C</w:t>
            </w:r>
          </w:p>
        </w:tc>
        <w:tc>
          <w:tcPr>
            <w:tcW w:w="3827" w:type="dxa"/>
            <w:gridSpan w:val="2"/>
            <w:tcBorders>
              <w:top w:val="nil"/>
              <w:left w:val="nil"/>
              <w:bottom w:val="nil"/>
              <w:right w:val="nil"/>
            </w:tcBorders>
            <w:shd w:val="clear" w:color="auto" w:fill="auto"/>
            <w:noWrap/>
            <w:hideMark/>
          </w:tcPr>
          <w:p w14:paraId="65606B68" w14:textId="2C872755"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Spinal Fusion, Minor Complexity</w:t>
            </w:r>
          </w:p>
        </w:tc>
        <w:tc>
          <w:tcPr>
            <w:tcW w:w="567" w:type="dxa"/>
            <w:gridSpan w:val="2"/>
            <w:tcBorders>
              <w:top w:val="nil"/>
              <w:left w:val="nil"/>
              <w:bottom w:val="nil"/>
              <w:right w:val="nil"/>
            </w:tcBorders>
            <w:shd w:val="clear" w:color="auto" w:fill="auto"/>
            <w:noWrap/>
            <w:hideMark/>
          </w:tcPr>
          <w:p w14:paraId="3F0555E4"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6.31</w:t>
            </w:r>
          </w:p>
        </w:tc>
        <w:tc>
          <w:tcPr>
            <w:tcW w:w="851" w:type="dxa"/>
            <w:gridSpan w:val="2"/>
            <w:tcBorders>
              <w:top w:val="nil"/>
              <w:left w:val="nil"/>
              <w:bottom w:val="nil"/>
              <w:right w:val="nil"/>
            </w:tcBorders>
            <w:shd w:val="clear" w:color="auto" w:fill="auto"/>
            <w:noWrap/>
            <w:hideMark/>
          </w:tcPr>
          <w:p w14:paraId="4ABCCEE3"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8,853</w:t>
            </w:r>
          </w:p>
        </w:tc>
        <w:tc>
          <w:tcPr>
            <w:tcW w:w="781" w:type="dxa"/>
            <w:tcBorders>
              <w:top w:val="nil"/>
              <w:left w:val="nil"/>
              <w:bottom w:val="nil"/>
              <w:right w:val="nil"/>
            </w:tcBorders>
            <w:shd w:val="clear" w:color="auto" w:fill="auto"/>
            <w:noWrap/>
            <w:hideMark/>
          </w:tcPr>
          <w:p w14:paraId="4859CA1C" w14:textId="6FD40794" w:rsidR="00385317" w:rsidRPr="00385317" w:rsidRDefault="00385317" w:rsidP="00385317">
            <w:pPr>
              <w:jc w:val="right"/>
              <w:rPr>
                <w:rFonts w:asciiTheme="minorHAnsi" w:hAnsiTheme="minorHAnsi" w:cstheme="minorHAnsi"/>
                <w:b/>
                <w:sz w:val="14"/>
                <w:szCs w:val="14"/>
                <w:lang w:val="en-US" w:eastAsia="en-US"/>
              </w:rPr>
            </w:pPr>
            <w:r w:rsidRPr="00385317">
              <w:rPr>
                <w:rFonts w:asciiTheme="minorHAnsi" w:hAnsiTheme="minorHAnsi" w:cstheme="minorHAnsi"/>
                <w:b/>
                <w:sz w:val="14"/>
                <w:szCs w:val="14"/>
                <w:lang w:val="en-US" w:eastAsia="en-US"/>
              </w:rPr>
              <w:t>55,862</w:t>
            </w:r>
          </w:p>
        </w:tc>
        <w:tc>
          <w:tcPr>
            <w:tcW w:w="839" w:type="dxa"/>
            <w:gridSpan w:val="2"/>
            <w:tcBorders>
              <w:top w:val="nil"/>
              <w:left w:val="nil"/>
              <w:bottom w:val="nil"/>
              <w:right w:val="nil"/>
            </w:tcBorders>
            <w:shd w:val="clear" w:color="auto" w:fill="auto"/>
            <w:noWrap/>
            <w:hideMark/>
          </w:tcPr>
          <w:p w14:paraId="37AB6060"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46,502</w:t>
            </w:r>
          </w:p>
        </w:tc>
        <w:tc>
          <w:tcPr>
            <w:tcW w:w="1073" w:type="dxa"/>
            <w:tcBorders>
              <w:top w:val="nil"/>
              <w:left w:val="nil"/>
              <w:bottom w:val="nil"/>
              <w:right w:val="nil"/>
            </w:tcBorders>
            <w:shd w:val="clear" w:color="auto" w:fill="auto"/>
            <w:noWrap/>
            <w:hideMark/>
          </w:tcPr>
          <w:p w14:paraId="449D124D"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5.3</w:t>
            </w:r>
          </w:p>
        </w:tc>
        <w:tc>
          <w:tcPr>
            <w:tcW w:w="567" w:type="dxa"/>
            <w:tcBorders>
              <w:top w:val="nil"/>
              <w:left w:val="nil"/>
              <w:bottom w:val="nil"/>
              <w:right w:val="nil"/>
            </w:tcBorders>
            <w:shd w:val="clear" w:color="auto" w:fill="auto"/>
            <w:noWrap/>
            <w:hideMark/>
          </w:tcPr>
          <w:p w14:paraId="58D3DC21"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0.05</w:t>
            </w:r>
          </w:p>
        </w:tc>
        <w:tc>
          <w:tcPr>
            <w:tcW w:w="575" w:type="dxa"/>
            <w:tcBorders>
              <w:top w:val="nil"/>
              <w:left w:val="nil"/>
              <w:bottom w:val="nil"/>
              <w:right w:val="nil"/>
            </w:tcBorders>
            <w:shd w:val="clear" w:color="auto" w:fill="auto"/>
            <w:noWrap/>
            <w:hideMark/>
          </w:tcPr>
          <w:p w14:paraId="52B0B4C1"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0.3%</w:t>
            </w:r>
          </w:p>
        </w:tc>
        <w:tc>
          <w:tcPr>
            <w:tcW w:w="575" w:type="dxa"/>
            <w:tcBorders>
              <w:top w:val="nil"/>
              <w:left w:val="nil"/>
              <w:bottom w:val="nil"/>
              <w:right w:val="nil"/>
            </w:tcBorders>
            <w:shd w:val="clear" w:color="auto" w:fill="auto"/>
            <w:noWrap/>
            <w:hideMark/>
          </w:tcPr>
          <w:p w14:paraId="601336FD"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1.8%</w:t>
            </w:r>
          </w:p>
        </w:tc>
        <w:tc>
          <w:tcPr>
            <w:tcW w:w="851" w:type="dxa"/>
            <w:tcBorders>
              <w:top w:val="nil"/>
              <w:left w:val="nil"/>
              <w:bottom w:val="nil"/>
              <w:right w:val="nil"/>
            </w:tcBorders>
            <w:shd w:val="clear" w:color="auto" w:fill="auto"/>
            <w:noWrap/>
            <w:hideMark/>
          </w:tcPr>
          <w:p w14:paraId="5C3170CF"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47,128</w:t>
            </w:r>
          </w:p>
        </w:tc>
        <w:tc>
          <w:tcPr>
            <w:tcW w:w="708" w:type="dxa"/>
            <w:tcBorders>
              <w:top w:val="nil"/>
              <w:left w:val="nil"/>
              <w:bottom w:val="nil"/>
              <w:right w:val="nil"/>
            </w:tcBorders>
            <w:shd w:val="clear" w:color="auto" w:fill="auto"/>
            <w:noWrap/>
            <w:hideMark/>
          </w:tcPr>
          <w:p w14:paraId="6FC19A6D"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5 </w:t>
            </w:r>
          </w:p>
        </w:tc>
        <w:tc>
          <w:tcPr>
            <w:tcW w:w="851" w:type="dxa"/>
            <w:tcBorders>
              <w:top w:val="nil"/>
              <w:left w:val="nil"/>
              <w:bottom w:val="nil"/>
              <w:right w:val="nil"/>
            </w:tcBorders>
            <w:shd w:val="clear" w:color="auto" w:fill="auto"/>
            <w:noWrap/>
            <w:hideMark/>
          </w:tcPr>
          <w:p w14:paraId="714E30A5"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6,555 </w:t>
            </w:r>
          </w:p>
        </w:tc>
        <w:tc>
          <w:tcPr>
            <w:tcW w:w="662" w:type="dxa"/>
            <w:tcBorders>
              <w:top w:val="nil"/>
              <w:left w:val="nil"/>
              <w:bottom w:val="nil"/>
              <w:right w:val="nil"/>
            </w:tcBorders>
            <w:shd w:val="clear" w:color="auto" w:fill="auto"/>
            <w:noWrap/>
            <w:hideMark/>
          </w:tcPr>
          <w:p w14:paraId="5FAD1D41"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7.19</w:t>
            </w:r>
          </w:p>
        </w:tc>
      </w:tr>
      <w:tr w:rsidR="00385317" w:rsidRPr="00B95C7E" w14:paraId="4F09AD75" w14:textId="77777777" w:rsidTr="00A23161">
        <w:trPr>
          <w:trHeight w:val="243"/>
        </w:trPr>
        <w:tc>
          <w:tcPr>
            <w:tcW w:w="709" w:type="dxa"/>
            <w:tcBorders>
              <w:top w:val="nil"/>
              <w:left w:val="nil"/>
              <w:bottom w:val="nil"/>
              <w:right w:val="nil"/>
            </w:tcBorders>
            <w:shd w:val="clear" w:color="auto" w:fill="auto"/>
            <w:noWrap/>
            <w:hideMark/>
          </w:tcPr>
          <w:p w14:paraId="6036AF99"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Yes</w:t>
            </w:r>
          </w:p>
        </w:tc>
        <w:tc>
          <w:tcPr>
            <w:tcW w:w="709" w:type="dxa"/>
            <w:tcBorders>
              <w:top w:val="nil"/>
              <w:left w:val="nil"/>
              <w:bottom w:val="nil"/>
              <w:right w:val="nil"/>
            </w:tcBorders>
            <w:shd w:val="clear" w:color="auto" w:fill="auto"/>
            <w:noWrap/>
            <w:hideMark/>
          </w:tcPr>
          <w:p w14:paraId="2CFB7D57"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4</w:t>
            </w:r>
          </w:p>
        </w:tc>
        <w:tc>
          <w:tcPr>
            <w:tcW w:w="709" w:type="dxa"/>
            <w:tcBorders>
              <w:top w:val="nil"/>
              <w:left w:val="nil"/>
              <w:bottom w:val="nil"/>
              <w:right w:val="nil"/>
            </w:tcBorders>
            <w:shd w:val="clear" w:color="auto" w:fill="auto"/>
            <w:noWrap/>
            <w:hideMark/>
          </w:tcPr>
          <w:p w14:paraId="470436A4" w14:textId="77777777"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O01C</w:t>
            </w:r>
          </w:p>
        </w:tc>
        <w:tc>
          <w:tcPr>
            <w:tcW w:w="3827" w:type="dxa"/>
            <w:gridSpan w:val="2"/>
            <w:tcBorders>
              <w:top w:val="nil"/>
              <w:left w:val="nil"/>
              <w:bottom w:val="nil"/>
              <w:right w:val="nil"/>
            </w:tcBorders>
            <w:shd w:val="clear" w:color="auto" w:fill="auto"/>
            <w:noWrap/>
            <w:hideMark/>
          </w:tcPr>
          <w:p w14:paraId="07B108B9" w14:textId="5C2C2E94"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Caesarean Delivery, Minor Complexity</w:t>
            </w:r>
          </w:p>
        </w:tc>
        <w:tc>
          <w:tcPr>
            <w:tcW w:w="567" w:type="dxa"/>
            <w:gridSpan w:val="2"/>
            <w:tcBorders>
              <w:top w:val="nil"/>
              <w:left w:val="nil"/>
              <w:bottom w:val="nil"/>
              <w:right w:val="nil"/>
            </w:tcBorders>
            <w:shd w:val="clear" w:color="auto" w:fill="auto"/>
            <w:noWrap/>
            <w:hideMark/>
          </w:tcPr>
          <w:p w14:paraId="2DA85E33"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1.82</w:t>
            </w:r>
          </w:p>
        </w:tc>
        <w:tc>
          <w:tcPr>
            <w:tcW w:w="851" w:type="dxa"/>
            <w:gridSpan w:val="2"/>
            <w:tcBorders>
              <w:top w:val="nil"/>
              <w:left w:val="nil"/>
              <w:bottom w:val="nil"/>
              <w:right w:val="nil"/>
            </w:tcBorders>
            <w:shd w:val="clear" w:color="auto" w:fill="auto"/>
            <w:noWrap/>
            <w:hideMark/>
          </w:tcPr>
          <w:p w14:paraId="2F329ED3"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27,301</w:t>
            </w:r>
          </w:p>
        </w:tc>
        <w:tc>
          <w:tcPr>
            <w:tcW w:w="781" w:type="dxa"/>
            <w:tcBorders>
              <w:top w:val="nil"/>
              <w:left w:val="nil"/>
              <w:bottom w:val="nil"/>
              <w:right w:val="nil"/>
            </w:tcBorders>
            <w:shd w:val="clear" w:color="auto" w:fill="auto"/>
            <w:noWrap/>
            <w:hideMark/>
          </w:tcPr>
          <w:p w14:paraId="4403C564" w14:textId="3433B29A" w:rsidR="00385317" w:rsidRPr="00385317" w:rsidRDefault="00385317" w:rsidP="00385317">
            <w:pPr>
              <w:jc w:val="right"/>
              <w:rPr>
                <w:rFonts w:asciiTheme="minorHAnsi" w:hAnsiTheme="minorHAnsi" w:cstheme="minorHAnsi"/>
                <w:b/>
                <w:sz w:val="14"/>
                <w:szCs w:val="14"/>
                <w:lang w:val="en-US" w:eastAsia="en-US"/>
              </w:rPr>
            </w:pPr>
            <w:r w:rsidRPr="00385317">
              <w:rPr>
                <w:rFonts w:asciiTheme="minorHAnsi" w:hAnsiTheme="minorHAnsi" w:cstheme="minorHAnsi"/>
                <w:b/>
                <w:sz w:val="14"/>
                <w:szCs w:val="14"/>
                <w:lang w:val="en-US" w:eastAsia="en-US"/>
              </w:rPr>
              <w:t>49,688</w:t>
            </w:r>
          </w:p>
        </w:tc>
        <w:tc>
          <w:tcPr>
            <w:tcW w:w="839" w:type="dxa"/>
            <w:gridSpan w:val="2"/>
            <w:tcBorders>
              <w:top w:val="nil"/>
              <w:left w:val="nil"/>
              <w:bottom w:val="nil"/>
              <w:right w:val="nil"/>
            </w:tcBorders>
            <w:shd w:val="clear" w:color="auto" w:fill="auto"/>
            <w:noWrap/>
            <w:hideMark/>
          </w:tcPr>
          <w:p w14:paraId="5FB864C5"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126,647</w:t>
            </w:r>
          </w:p>
        </w:tc>
        <w:tc>
          <w:tcPr>
            <w:tcW w:w="1073" w:type="dxa"/>
            <w:tcBorders>
              <w:top w:val="nil"/>
              <w:left w:val="nil"/>
              <w:bottom w:val="nil"/>
              <w:right w:val="nil"/>
            </w:tcBorders>
            <w:shd w:val="clear" w:color="auto" w:fill="auto"/>
            <w:noWrap/>
            <w:hideMark/>
          </w:tcPr>
          <w:p w14:paraId="3FFEB26F"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4.6</w:t>
            </w:r>
          </w:p>
        </w:tc>
        <w:tc>
          <w:tcPr>
            <w:tcW w:w="567" w:type="dxa"/>
            <w:tcBorders>
              <w:top w:val="nil"/>
              <w:left w:val="nil"/>
              <w:bottom w:val="nil"/>
              <w:right w:val="nil"/>
            </w:tcBorders>
            <w:shd w:val="clear" w:color="auto" w:fill="auto"/>
            <w:noWrap/>
            <w:hideMark/>
          </w:tcPr>
          <w:p w14:paraId="29101023"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0.00</w:t>
            </w:r>
          </w:p>
        </w:tc>
        <w:tc>
          <w:tcPr>
            <w:tcW w:w="575" w:type="dxa"/>
            <w:tcBorders>
              <w:top w:val="nil"/>
              <w:left w:val="nil"/>
              <w:bottom w:val="nil"/>
              <w:right w:val="nil"/>
            </w:tcBorders>
            <w:shd w:val="clear" w:color="auto" w:fill="auto"/>
            <w:noWrap/>
            <w:hideMark/>
          </w:tcPr>
          <w:p w14:paraId="6847D0F3"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0.9%</w:t>
            </w:r>
          </w:p>
        </w:tc>
        <w:tc>
          <w:tcPr>
            <w:tcW w:w="575" w:type="dxa"/>
            <w:tcBorders>
              <w:top w:val="nil"/>
              <w:left w:val="nil"/>
              <w:bottom w:val="nil"/>
              <w:right w:val="nil"/>
            </w:tcBorders>
            <w:shd w:val="clear" w:color="auto" w:fill="auto"/>
            <w:noWrap/>
            <w:hideMark/>
          </w:tcPr>
          <w:p w14:paraId="2627E9FF"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1.6%</w:t>
            </w:r>
          </w:p>
        </w:tc>
        <w:tc>
          <w:tcPr>
            <w:tcW w:w="851" w:type="dxa"/>
            <w:tcBorders>
              <w:top w:val="nil"/>
              <w:left w:val="nil"/>
              <w:bottom w:val="nil"/>
              <w:right w:val="nil"/>
            </w:tcBorders>
            <w:shd w:val="clear" w:color="auto" w:fill="auto"/>
            <w:noWrap/>
            <w:hideMark/>
          </w:tcPr>
          <w:p w14:paraId="6448AECE"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35,117</w:t>
            </w:r>
          </w:p>
        </w:tc>
        <w:tc>
          <w:tcPr>
            <w:tcW w:w="708" w:type="dxa"/>
            <w:tcBorders>
              <w:top w:val="nil"/>
              <w:left w:val="nil"/>
              <w:bottom w:val="nil"/>
              <w:right w:val="nil"/>
            </w:tcBorders>
            <w:shd w:val="clear" w:color="auto" w:fill="auto"/>
            <w:noWrap/>
            <w:hideMark/>
          </w:tcPr>
          <w:p w14:paraId="53670680"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10 </w:t>
            </w:r>
          </w:p>
        </w:tc>
        <w:tc>
          <w:tcPr>
            <w:tcW w:w="851" w:type="dxa"/>
            <w:tcBorders>
              <w:top w:val="nil"/>
              <w:left w:val="nil"/>
              <w:bottom w:val="nil"/>
              <w:right w:val="nil"/>
            </w:tcBorders>
            <w:shd w:val="clear" w:color="auto" w:fill="auto"/>
            <w:noWrap/>
            <w:hideMark/>
          </w:tcPr>
          <w:p w14:paraId="32714B65"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20,756 </w:t>
            </w:r>
          </w:p>
        </w:tc>
        <w:tc>
          <w:tcPr>
            <w:tcW w:w="662" w:type="dxa"/>
            <w:tcBorders>
              <w:top w:val="nil"/>
              <w:left w:val="nil"/>
              <w:bottom w:val="nil"/>
              <w:right w:val="nil"/>
            </w:tcBorders>
            <w:shd w:val="clear" w:color="auto" w:fill="auto"/>
            <w:noWrap/>
            <w:hideMark/>
          </w:tcPr>
          <w:p w14:paraId="3F6634F0"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1.69</w:t>
            </w:r>
          </w:p>
        </w:tc>
      </w:tr>
      <w:tr w:rsidR="00385317" w:rsidRPr="00B95C7E" w14:paraId="4A79CCED" w14:textId="77777777" w:rsidTr="00A23161">
        <w:trPr>
          <w:trHeight w:val="243"/>
        </w:trPr>
        <w:tc>
          <w:tcPr>
            <w:tcW w:w="709" w:type="dxa"/>
            <w:tcBorders>
              <w:top w:val="nil"/>
              <w:left w:val="nil"/>
              <w:bottom w:val="nil"/>
              <w:right w:val="nil"/>
            </w:tcBorders>
            <w:shd w:val="clear" w:color="auto" w:fill="auto"/>
            <w:noWrap/>
            <w:hideMark/>
          </w:tcPr>
          <w:p w14:paraId="41504C47"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Yes</w:t>
            </w:r>
          </w:p>
        </w:tc>
        <w:tc>
          <w:tcPr>
            <w:tcW w:w="709" w:type="dxa"/>
            <w:tcBorders>
              <w:top w:val="nil"/>
              <w:left w:val="nil"/>
              <w:bottom w:val="nil"/>
              <w:right w:val="nil"/>
            </w:tcBorders>
            <w:shd w:val="clear" w:color="auto" w:fill="auto"/>
            <w:noWrap/>
            <w:hideMark/>
          </w:tcPr>
          <w:p w14:paraId="408B136A"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5</w:t>
            </w:r>
          </w:p>
        </w:tc>
        <w:tc>
          <w:tcPr>
            <w:tcW w:w="709" w:type="dxa"/>
            <w:tcBorders>
              <w:top w:val="nil"/>
              <w:left w:val="nil"/>
              <w:bottom w:val="nil"/>
              <w:right w:val="nil"/>
            </w:tcBorders>
            <w:shd w:val="clear" w:color="auto" w:fill="auto"/>
            <w:noWrap/>
            <w:hideMark/>
          </w:tcPr>
          <w:p w14:paraId="32749842" w14:textId="77777777"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F42B</w:t>
            </w:r>
          </w:p>
        </w:tc>
        <w:tc>
          <w:tcPr>
            <w:tcW w:w="3827" w:type="dxa"/>
            <w:gridSpan w:val="2"/>
            <w:tcBorders>
              <w:top w:val="nil"/>
              <w:left w:val="nil"/>
              <w:bottom w:val="nil"/>
              <w:right w:val="nil"/>
            </w:tcBorders>
            <w:shd w:val="clear" w:color="auto" w:fill="auto"/>
            <w:noWrap/>
            <w:hideMark/>
          </w:tcPr>
          <w:p w14:paraId="3E01F225" w14:textId="391361D4"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Circulatory </w:t>
            </w:r>
            <w:proofErr w:type="spellStart"/>
            <w:r w:rsidRPr="00B95C7E">
              <w:rPr>
                <w:rFonts w:asciiTheme="minorHAnsi" w:hAnsiTheme="minorHAnsi" w:cstheme="minorHAnsi"/>
                <w:sz w:val="14"/>
                <w:szCs w:val="14"/>
                <w:lang w:val="en-US" w:eastAsia="en-US"/>
              </w:rPr>
              <w:t>Dsrds</w:t>
            </w:r>
            <w:proofErr w:type="spellEnd"/>
            <w:r w:rsidRPr="00B95C7E">
              <w:rPr>
                <w:rFonts w:asciiTheme="minorHAnsi" w:hAnsiTheme="minorHAnsi" w:cstheme="minorHAnsi"/>
                <w:sz w:val="14"/>
                <w:szCs w:val="14"/>
                <w:lang w:val="en-US" w:eastAsia="en-US"/>
              </w:rPr>
              <w:t xml:space="preserve">, Not </w:t>
            </w:r>
            <w:proofErr w:type="spellStart"/>
            <w:r w:rsidRPr="00B95C7E">
              <w:rPr>
                <w:rFonts w:asciiTheme="minorHAnsi" w:hAnsiTheme="minorHAnsi" w:cstheme="minorHAnsi"/>
                <w:sz w:val="14"/>
                <w:szCs w:val="14"/>
                <w:lang w:val="en-US" w:eastAsia="en-US"/>
              </w:rPr>
              <w:t>Adm</w:t>
            </w:r>
            <w:proofErr w:type="spellEnd"/>
            <w:r w:rsidRPr="00B95C7E">
              <w:rPr>
                <w:rFonts w:asciiTheme="minorHAnsi" w:hAnsiTheme="minorHAnsi" w:cstheme="minorHAnsi"/>
                <w:sz w:val="14"/>
                <w:szCs w:val="14"/>
                <w:lang w:val="en-US" w:eastAsia="en-US"/>
              </w:rPr>
              <w:t xml:space="preserve"> for AMI W Invasive Cardiac </w:t>
            </w:r>
            <w:proofErr w:type="spellStart"/>
            <w:r w:rsidRPr="00B95C7E">
              <w:rPr>
                <w:rFonts w:asciiTheme="minorHAnsi" w:hAnsiTheme="minorHAnsi" w:cstheme="minorHAnsi"/>
                <w:sz w:val="14"/>
                <w:szCs w:val="14"/>
                <w:lang w:val="en-US" w:eastAsia="en-US"/>
              </w:rPr>
              <w:t>Inves</w:t>
            </w:r>
            <w:proofErr w:type="spellEnd"/>
            <w:r w:rsidRPr="00B95C7E">
              <w:rPr>
                <w:rFonts w:asciiTheme="minorHAnsi" w:hAnsiTheme="minorHAnsi" w:cstheme="minorHAnsi"/>
                <w:sz w:val="14"/>
                <w:szCs w:val="14"/>
                <w:lang w:val="en-US" w:eastAsia="en-US"/>
              </w:rPr>
              <w:t xml:space="preserve"> Proc, Minor Comp</w:t>
            </w:r>
          </w:p>
        </w:tc>
        <w:tc>
          <w:tcPr>
            <w:tcW w:w="567" w:type="dxa"/>
            <w:gridSpan w:val="2"/>
            <w:tcBorders>
              <w:top w:val="nil"/>
              <w:left w:val="nil"/>
              <w:bottom w:val="nil"/>
              <w:right w:val="nil"/>
            </w:tcBorders>
            <w:shd w:val="clear" w:color="auto" w:fill="auto"/>
            <w:noWrap/>
            <w:hideMark/>
          </w:tcPr>
          <w:p w14:paraId="6BB34AEF"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1.05</w:t>
            </w:r>
          </w:p>
        </w:tc>
        <w:tc>
          <w:tcPr>
            <w:tcW w:w="851" w:type="dxa"/>
            <w:gridSpan w:val="2"/>
            <w:tcBorders>
              <w:top w:val="nil"/>
              <w:left w:val="nil"/>
              <w:bottom w:val="nil"/>
              <w:right w:val="nil"/>
            </w:tcBorders>
            <w:shd w:val="clear" w:color="auto" w:fill="auto"/>
            <w:noWrap/>
            <w:hideMark/>
          </w:tcPr>
          <w:p w14:paraId="584E9654"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42,020</w:t>
            </w:r>
          </w:p>
        </w:tc>
        <w:tc>
          <w:tcPr>
            <w:tcW w:w="781" w:type="dxa"/>
            <w:tcBorders>
              <w:top w:val="nil"/>
              <w:left w:val="nil"/>
              <w:bottom w:val="nil"/>
              <w:right w:val="nil"/>
            </w:tcBorders>
            <w:shd w:val="clear" w:color="auto" w:fill="auto"/>
            <w:noWrap/>
            <w:hideMark/>
          </w:tcPr>
          <w:p w14:paraId="59E9F6BF" w14:textId="3E577EC2" w:rsidR="00385317" w:rsidRPr="00385317" w:rsidRDefault="00385317" w:rsidP="00385317">
            <w:pPr>
              <w:jc w:val="right"/>
              <w:rPr>
                <w:rFonts w:asciiTheme="minorHAnsi" w:hAnsiTheme="minorHAnsi" w:cstheme="minorHAnsi"/>
                <w:b/>
                <w:sz w:val="14"/>
                <w:szCs w:val="14"/>
                <w:lang w:val="en-US" w:eastAsia="en-US"/>
              </w:rPr>
            </w:pPr>
            <w:r w:rsidRPr="00385317">
              <w:rPr>
                <w:rFonts w:asciiTheme="minorHAnsi" w:hAnsiTheme="minorHAnsi" w:cstheme="minorHAnsi"/>
                <w:b/>
                <w:sz w:val="14"/>
                <w:szCs w:val="14"/>
                <w:lang w:val="en-US" w:eastAsia="en-US"/>
              </w:rPr>
              <w:t>44,121</w:t>
            </w:r>
          </w:p>
        </w:tc>
        <w:tc>
          <w:tcPr>
            <w:tcW w:w="839" w:type="dxa"/>
            <w:gridSpan w:val="2"/>
            <w:tcBorders>
              <w:top w:val="nil"/>
              <w:left w:val="nil"/>
              <w:bottom w:val="nil"/>
              <w:right w:val="nil"/>
            </w:tcBorders>
            <w:shd w:val="clear" w:color="auto" w:fill="auto"/>
            <w:noWrap/>
            <w:hideMark/>
          </w:tcPr>
          <w:p w14:paraId="7FABDC3E"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58,117</w:t>
            </w:r>
          </w:p>
        </w:tc>
        <w:tc>
          <w:tcPr>
            <w:tcW w:w="1073" w:type="dxa"/>
            <w:tcBorders>
              <w:top w:val="nil"/>
              <w:left w:val="nil"/>
              <w:bottom w:val="nil"/>
              <w:right w:val="nil"/>
            </w:tcBorders>
            <w:shd w:val="clear" w:color="auto" w:fill="auto"/>
            <w:noWrap/>
            <w:hideMark/>
          </w:tcPr>
          <w:p w14:paraId="7F2D3513"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1.4</w:t>
            </w:r>
          </w:p>
        </w:tc>
        <w:tc>
          <w:tcPr>
            <w:tcW w:w="567" w:type="dxa"/>
            <w:tcBorders>
              <w:top w:val="nil"/>
              <w:left w:val="nil"/>
              <w:bottom w:val="nil"/>
              <w:right w:val="nil"/>
            </w:tcBorders>
            <w:shd w:val="clear" w:color="auto" w:fill="auto"/>
            <w:noWrap/>
            <w:hideMark/>
          </w:tcPr>
          <w:p w14:paraId="045A122B"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0.01</w:t>
            </w:r>
          </w:p>
        </w:tc>
        <w:tc>
          <w:tcPr>
            <w:tcW w:w="575" w:type="dxa"/>
            <w:tcBorders>
              <w:top w:val="nil"/>
              <w:left w:val="nil"/>
              <w:bottom w:val="nil"/>
              <w:right w:val="nil"/>
            </w:tcBorders>
            <w:shd w:val="clear" w:color="auto" w:fill="auto"/>
            <w:noWrap/>
            <w:hideMark/>
          </w:tcPr>
          <w:p w14:paraId="0E779D44"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1.4%</w:t>
            </w:r>
          </w:p>
        </w:tc>
        <w:tc>
          <w:tcPr>
            <w:tcW w:w="575" w:type="dxa"/>
            <w:tcBorders>
              <w:top w:val="nil"/>
              <w:left w:val="nil"/>
              <w:bottom w:val="nil"/>
              <w:right w:val="nil"/>
            </w:tcBorders>
            <w:shd w:val="clear" w:color="auto" w:fill="auto"/>
            <w:noWrap/>
            <w:hideMark/>
          </w:tcPr>
          <w:p w14:paraId="1DD90289"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1.5%</w:t>
            </w:r>
          </w:p>
        </w:tc>
        <w:tc>
          <w:tcPr>
            <w:tcW w:w="851" w:type="dxa"/>
            <w:tcBorders>
              <w:top w:val="nil"/>
              <w:left w:val="nil"/>
              <w:bottom w:val="nil"/>
              <w:right w:val="nil"/>
            </w:tcBorders>
            <w:shd w:val="clear" w:color="auto" w:fill="auto"/>
            <w:noWrap/>
            <w:hideMark/>
          </w:tcPr>
          <w:p w14:paraId="29430A87"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35,374</w:t>
            </w:r>
          </w:p>
        </w:tc>
        <w:tc>
          <w:tcPr>
            <w:tcW w:w="708" w:type="dxa"/>
            <w:tcBorders>
              <w:top w:val="nil"/>
              <w:left w:val="nil"/>
              <w:bottom w:val="nil"/>
              <w:right w:val="nil"/>
            </w:tcBorders>
            <w:shd w:val="clear" w:color="auto" w:fill="auto"/>
            <w:noWrap/>
            <w:hideMark/>
          </w:tcPr>
          <w:p w14:paraId="0BF79ED5"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9 </w:t>
            </w:r>
          </w:p>
        </w:tc>
        <w:tc>
          <w:tcPr>
            <w:tcW w:w="851" w:type="dxa"/>
            <w:tcBorders>
              <w:top w:val="nil"/>
              <w:left w:val="nil"/>
              <w:bottom w:val="nil"/>
              <w:right w:val="nil"/>
            </w:tcBorders>
            <w:shd w:val="clear" w:color="auto" w:fill="auto"/>
            <w:noWrap/>
            <w:hideMark/>
          </w:tcPr>
          <w:p w14:paraId="3595174A"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41,023 </w:t>
            </w:r>
          </w:p>
        </w:tc>
        <w:tc>
          <w:tcPr>
            <w:tcW w:w="662" w:type="dxa"/>
            <w:tcBorders>
              <w:top w:val="nil"/>
              <w:left w:val="nil"/>
              <w:bottom w:val="nil"/>
              <w:right w:val="nil"/>
            </w:tcBorders>
            <w:shd w:val="clear" w:color="auto" w:fill="auto"/>
            <w:noWrap/>
            <w:hideMark/>
          </w:tcPr>
          <w:p w14:paraId="33AB376B"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0.86</w:t>
            </w:r>
          </w:p>
        </w:tc>
      </w:tr>
      <w:tr w:rsidR="00385317" w:rsidRPr="00B95C7E" w14:paraId="2A8D3903" w14:textId="77777777" w:rsidTr="00A23161">
        <w:trPr>
          <w:trHeight w:val="243"/>
        </w:trPr>
        <w:tc>
          <w:tcPr>
            <w:tcW w:w="709" w:type="dxa"/>
            <w:tcBorders>
              <w:top w:val="nil"/>
              <w:left w:val="nil"/>
              <w:bottom w:val="nil"/>
              <w:right w:val="nil"/>
            </w:tcBorders>
            <w:shd w:val="clear" w:color="auto" w:fill="auto"/>
            <w:noWrap/>
            <w:hideMark/>
          </w:tcPr>
          <w:p w14:paraId="3DB77DC2"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Yes</w:t>
            </w:r>
          </w:p>
        </w:tc>
        <w:tc>
          <w:tcPr>
            <w:tcW w:w="709" w:type="dxa"/>
            <w:tcBorders>
              <w:top w:val="nil"/>
              <w:left w:val="nil"/>
              <w:bottom w:val="nil"/>
              <w:right w:val="nil"/>
            </w:tcBorders>
            <w:shd w:val="clear" w:color="auto" w:fill="auto"/>
            <w:noWrap/>
            <w:hideMark/>
          </w:tcPr>
          <w:p w14:paraId="43605744"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6</w:t>
            </w:r>
          </w:p>
        </w:tc>
        <w:tc>
          <w:tcPr>
            <w:tcW w:w="709" w:type="dxa"/>
            <w:tcBorders>
              <w:top w:val="nil"/>
              <w:left w:val="nil"/>
              <w:bottom w:val="nil"/>
              <w:right w:val="nil"/>
            </w:tcBorders>
            <w:shd w:val="clear" w:color="auto" w:fill="auto"/>
            <w:noWrap/>
            <w:hideMark/>
          </w:tcPr>
          <w:p w14:paraId="620092BC" w14:textId="77777777"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I16Z</w:t>
            </w:r>
          </w:p>
        </w:tc>
        <w:tc>
          <w:tcPr>
            <w:tcW w:w="3827" w:type="dxa"/>
            <w:gridSpan w:val="2"/>
            <w:tcBorders>
              <w:top w:val="nil"/>
              <w:left w:val="nil"/>
              <w:bottom w:val="nil"/>
              <w:right w:val="nil"/>
            </w:tcBorders>
            <w:shd w:val="clear" w:color="auto" w:fill="auto"/>
            <w:noWrap/>
            <w:hideMark/>
          </w:tcPr>
          <w:p w14:paraId="4B0A17A1" w14:textId="79E899DC"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Other Shoulder Procedures</w:t>
            </w:r>
          </w:p>
        </w:tc>
        <w:tc>
          <w:tcPr>
            <w:tcW w:w="567" w:type="dxa"/>
            <w:gridSpan w:val="2"/>
            <w:tcBorders>
              <w:top w:val="nil"/>
              <w:left w:val="nil"/>
              <w:bottom w:val="nil"/>
              <w:right w:val="nil"/>
            </w:tcBorders>
            <w:shd w:val="clear" w:color="auto" w:fill="auto"/>
            <w:noWrap/>
            <w:hideMark/>
          </w:tcPr>
          <w:p w14:paraId="5D395374"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1.26</w:t>
            </w:r>
          </w:p>
        </w:tc>
        <w:tc>
          <w:tcPr>
            <w:tcW w:w="851" w:type="dxa"/>
            <w:gridSpan w:val="2"/>
            <w:tcBorders>
              <w:top w:val="nil"/>
              <w:left w:val="nil"/>
              <w:bottom w:val="nil"/>
              <w:right w:val="nil"/>
            </w:tcBorders>
            <w:shd w:val="clear" w:color="auto" w:fill="auto"/>
            <w:noWrap/>
            <w:hideMark/>
          </w:tcPr>
          <w:p w14:paraId="7B436C6B"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34,252</w:t>
            </w:r>
          </w:p>
        </w:tc>
        <w:tc>
          <w:tcPr>
            <w:tcW w:w="781" w:type="dxa"/>
            <w:tcBorders>
              <w:top w:val="nil"/>
              <w:left w:val="nil"/>
              <w:bottom w:val="nil"/>
              <w:right w:val="nil"/>
            </w:tcBorders>
            <w:shd w:val="clear" w:color="auto" w:fill="auto"/>
            <w:noWrap/>
            <w:hideMark/>
          </w:tcPr>
          <w:p w14:paraId="64A3388F" w14:textId="3DA6B6E3" w:rsidR="00385317" w:rsidRPr="00385317" w:rsidRDefault="00385317" w:rsidP="00385317">
            <w:pPr>
              <w:jc w:val="right"/>
              <w:rPr>
                <w:rFonts w:asciiTheme="minorHAnsi" w:hAnsiTheme="minorHAnsi" w:cstheme="minorHAnsi"/>
                <w:b/>
                <w:sz w:val="14"/>
                <w:szCs w:val="14"/>
                <w:lang w:val="en-US" w:eastAsia="en-US"/>
              </w:rPr>
            </w:pPr>
            <w:r w:rsidRPr="00385317">
              <w:rPr>
                <w:rFonts w:asciiTheme="minorHAnsi" w:hAnsiTheme="minorHAnsi" w:cstheme="minorHAnsi"/>
                <w:b/>
                <w:sz w:val="14"/>
                <w:szCs w:val="14"/>
                <w:lang w:val="en-US" w:eastAsia="en-US"/>
              </w:rPr>
              <w:t>43,158</w:t>
            </w:r>
          </w:p>
        </w:tc>
        <w:tc>
          <w:tcPr>
            <w:tcW w:w="839" w:type="dxa"/>
            <w:gridSpan w:val="2"/>
            <w:tcBorders>
              <w:top w:val="nil"/>
              <w:left w:val="nil"/>
              <w:bottom w:val="nil"/>
              <w:right w:val="nil"/>
            </w:tcBorders>
            <w:shd w:val="clear" w:color="auto" w:fill="auto"/>
            <w:noWrap/>
            <w:hideMark/>
          </w:tcPr>
          <w:p w14:paraId="64BDB12B"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41,879</w:t>
            </w:r>
          </w:p>
        </w:tc>
        <w:tc>
          <w:tcPr>
            <w:tcW w:w="1073" w:type="dxa"/>
            <w:tcBorders>
              <w:top w:val="nil"/>
              <w:left w:val="nil"/>
              <w:bottom w:val="nil"/>
              <w:right w:val="nil"/>
            </w:tcBorders>
            <w:shd w:val="clear" w:color="auto" w:fill="auto"/>
            <w:noWrap/>
            <w:hideMark/>
          </w:tcPr>
          <w:p w14:paraId="5C42BC0D"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1.2</w:t>
            </w:r>
          </w:p>
        </w:tc>
        <w:tc>
          <w:tcPr>
            <w:tcW w:w="567" w:type="dxa"/>
            <w:tcBorders>
              <w:top w:val="nil"/>
              <w:left w:val="nil"/>
              <w:bottom w:val="nil"/>
              <w:right w:val="nil"/>
            </w:tcBorders>
            <w:shd w:val="clear" w:color="auto" w:fill="auto"/>
            <w:noWrap/>
            <w:hideMark/>
          </w:tcPr>
          <w:p w14:paraId="07351B1D"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0.00</w:t>
            </w:r>
          </w:p>
        </w:tc>
        <w:tc>
          <w:tcPr>
            <w:tcW w:w="575" w:type="dxa"/>
            <w:tcBorders>
              <w:top w:val="nil"/>
              <w:left w:val="nil"/>
              <w:bottom w:val="nil"/>
              <w:right w:val="nil"/>
            </w:tcBorders>
            <w:shd w:val="clear" w:color="auto" w:fill="auto"/>
            <w:noWrap/>
            <w:hideMark/>
          </w:tcPr>
          <w:p w14:paraId="1B5DD997"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1.1%</w:t>
            </w:r>
          </w:p>
        </w:tc>
        <w:tc>
          <w:tcPr>
            <w:tcW w:w="575" w:type="dxa"/>
            <w:tcBorders>
              <w:top w:val="nil"/>
              <w:left w:val="nil"/>
              <w:bottom w:val="nil"/>
              <w:right w:val="nil"/>
            </w:tcBorders>
            <w:shd w:val="clear" w:color="auto" w:fill="auto"/>
            <w:noWrap/>
            <w:hideMark/>
          </w:tcPr>
          <w:p w14:paraId="7A713637"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1.4%</w:t>
            </w:r>
          </w:p>
        </w:tc>
        <w:tc>
          <w:tcPr>
            <w:tcW w:w="851" w:type="dxa"/>
            <w:tcBorders>
              <w:top w:val="nil"/>
              <w:left w:val="nil"/>
              <w:bottom w:val="nil"/>
              <w:right w:val="nil"/>
            </w:tcBorders>
            <w:shd w:val="clear" w:color="auto" w:fill="auto"/>
            <w:noWrap/>
            <w:hideMark/>
          </w:tcPr>
          <w:p w14:paraId="6439DD4E"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45,953</w:t>
            </w:r>
          </w:p>
        </w:tc>
        <w:tc>
          <w:tcPr>
            <w:tcW w:w="708" w:type="dxa"/>
            <w:tcBorders>
              <w:top w:val="nil"/>
              <w:left w:val="nil"/>
              <w:bottom w:val="nil"/>
              <w:right w:val="nil"/>
            </w:tcBorders>
            <w:shd w:val="clear" w:color="auto" w:fill="auto"/>
            <w:noWrap/>
            <w:hideMark/>
          </w:tcPr>
          <w:p w14:paraId="1AEBE6F5"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6 </w:t>
            </w:r>
          </w:p>
        </w:tc>
        <w:tc>
          <w:tcPr>
            <w:tcW w:w="851" w:type="dxa"/>
            <w:tcBorders>
              <w:top w:val="nil"/>
              <w:left w:val="nil"/>
              <w:bottom w:val="nil"/>
              <w:right w:val="nil"/>
            </w:tcBorders>
            <w:shd w:val="clear" w:color="auto" w:fill="auto"/>
            <w:noWrap/>
            <w:hideMark/>
          </w:tcPr>
          <w:p w14:paraId="670814E0"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35,578 </w:t>
            </w:r>
          </w:p>
        </w:tc>
        <w:tc>
          <w:tcPr>
            <w:tcW w:w="662" w:type="dxa"/>
            <w:tcBorders>
              <w:top w:val="nil"/>
              <w:left w:val="nil"/>
              <w:bottom w:val="nil"/>
              <w:right w:val="nil"/>
            </w:tcBorders>
            <w:shd w:val="clear" w:color="auto" w:fill="auto"/>
            <w:noWrap/>
            <w:hideMark/>
          </w:tcPr>
          <w:p w14:paraId="3C15C757"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1.29</w:t>
            </w:r>
          </w:p>
        </w:tc>
      </w:tr>
      <w:tr w:rsidR="00385317" w:rsidRPr="00B95C7E" w14:paraId="49E7A10D" w14:textId="77777777" w:rsidTr="00A23161">
        <w:trPr>
          <w:trHeight w:val="243"/>
        </w:trPr>
        <w:tc>
          <w:tcPr>
            <w:tcW w:w="709" w:type="dxa"/>
            <w:tcBorders>
              <w:top w:val="nil"/>
              <w:left w:val="nil"/>
              <w:bottom w:val="nil"/>
              <w:right w:val="nil"/>
            </w:tcBorders>
            <w:shd w:val="clear" w:color="auto" w:fill="auto"/>
            <w:noWrap/>
            <w:hideMark/>
          </w:tcPr>
          <w:p w14:paraId="06D0EADB"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Yes</w:t>
            </w:r>
          </w:p>
        </w:tc>
        <w:tc>
          <w:tcPr>
            <w:tcW w:w="709" w:type="dxa"/>
            <w:tcBorders>
              <w:top w:val="nil"/>
              <w:left w:val="nil"/>
              <w:bottom w:val="nil"/>
              <w:right w:val="nil"/>
            </w:tcBorders>
            <w:shd w:val="clear" w:color="auto" w:fill="auto"/>
            <w:noWrap/>
            <w:hideMark/>
          </w:tcPr>
          <w:p w14:paraId="17CE80F8"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7</w:t>
            </w:r>
          </w:p>
        </w:tc>
        <w:tc>
          <w:tcPr>
            <w:tcW w:w="709" w:type="dxa"/>
            <w:tcBorders>
              <w:top w:val="nil"/>
              <w:left w:val="nil"/>
              <w:bottom w:val="nil"/>
              <w:right w:val="nil"/>
            </w:tcBorders>
            <w:shd w:val="clear" w:color="auto" w:fill="auto"/>
            <w:noWrap/>
            <w:hideMark/>
          </w:tcPr>
          <w:p w14:paraId="6836606A" w14:textId="77777777"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R63Z</w:t>
            </w:r>
          </w:p>
        </w:tc>
        <w:tc>
          <w:tcPr>
            <w:tcW w:w="3827" w:type="dxa"/>
            <w:gridSpan w:val="2"/>
            <w:tcBorders>
              <w:top w:val="nil"/>
              <w:left w:val="nil"/>
              <w:bottom w:val="nil"/>
              <w:right w:val="nil"/>
            </w:tcBorders>
            <w:shd w:val="clear" w:color="auto" w:fill="auto"/>
            <w:noWrap/>
            <w:hideMark/>
          </w:tcPr>
          <w:p w14:paraId="091DB6CD" w14:textId="43A85CBE"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Chemotherapy</w:t>
            </w:r>
          </w:p>
        </w:tc>
        <w:tc>
          <w:tcPr>
            <w:tcW w:w="567" w:type="dxa"/>
            <w:gridSpan w:val="2"/>
            <w:tcBorders>
              <w:top w:val="nil"/>
              <w:left w:val="nil"/>
              <w:bottom w:val="nil"/>
              <w:right w:val="nil"/>
            </w:tcBorders>
            <w:shd w:val="clear" w:color="auto" w:fill="auto"/>
            <w:noWrap/>
            <w:hideMark/>
          </w:tcPr>
          <w:p w14:paraId="53FA865A"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0.15</w:t>
            </w:r>
          </w:p>
        </w:tc>
        <w:tc>
          <w:tcPr>
            <w:tcW w:w="851" w:type="dxa"/>
            <w:gridSpan w:val="2"/>
            <w:tcBorders>
              <w:top w:val="nil"/>
              <w:left w:val="nil"/>
              <w:bottom w:val="nil"/>
              <w:right w:val="nil"/>
            </w:tcBorders>
            <w:shd w:val="clear" w:color="auto" w:fill="auto"/>
            <w:noWrap/>
            <w:hideMark/>
          </w:tcPr>
          <w:p w14:paraId="4D010728"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268,018</w:t>
            </w:r>
          </w:p>
        </w:tc>
        <w:tc>
          <w:tcPr>
            <w:tcW w:w="781" w:type="dxa"/>
            <w:tcBorders>
              <w:top w:val="nil"/>
              <w:left w:val="nil"/>
              <w:bottom w:val="nil"/>
              <w:right w:val="nil"/>
            </w:tcBorders>
            <w:shd w:val="clear" w:color="auto" w:fill="auto"/>
            <w:noWrap/>
            <w:hideMark/>
          </w:tcPr>
          <w:p w14:paraId="3B7C68EA" w14:textId="3FC2F736" w:rsidR="00385317" w:rsidRPr="00385317" w:rsidRDefault="00385317" w:rsidP="00385317">
            <w:pPr>
              <w:jc w:val="right"/>
              <w:rPr>
                <w:rFonts w:asciiTheme="minorHAnsi" w:hAnsiTheme="minorHAnsi" w:cstheme="minorHAnsi"/>
                <w:b/>
                <w:sz w:val="14"/>
                <w:szCs w:val="14"/>
                <w:lang w:val="en-US" w:eastAsia="en-US"/>
              </w:rPr>
            </w:pPr>
            <w:r w:rsidRPr="00385317">
              <w:rPr>
                <w:rFonts w:asciiTheme="minorHAnsi" w:hAnsiTheme="minorHAnsi" w:cstheme="minorHAnsi"/>
                <w:b/>
                <w:sz w:val="14"/>
                <w:szCs w:val="14"/>
                <w:lang w:val="en-US" w:eastAsia="en-US"/>
              </w:rPr>
              <w:t>40,203</w:t>
            </w:r>
          </w:p>
        </w:tc>
        <w:tc>
          <w:tcPr>
            <w:tcW w:w="839" w:type="dxa"/>
            <w:gridSpan w:val="2"/>
            <w:tcBorders>
              <w:top w:val="nil"/>
              <w:left w:val="nil"/>
              <w:bottom w:val="nil"/>
              <w:right w:val="nil"/>
            </w:tcBorders>
            <w:shd w:val="clear" w:color="auto" w:fill="auto"/>
            <w:noWrap/>
            <w:hideMark/>
          </w:tcPr>
          <w:p w14:paraId="2ED1BB9D"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268,072</w:t>
            </w:r>
          </w:p>
        </w:tc>
        <w:tc>
          <w:tcPr>
            <w:tcW w:w="1073" w:type="dxa"/>
            <w:tcBorders>
              <w:top w:val="nil"/>
              <w:left w:val="nil"/>
              <w:bottom w:val="nil"/>
              <w:right w:val="nil"/>
            </w:tcBorders>
            <w:shd w:val="clear" w:color="auto" w:fill="auto"/>
            <w:noWrap/>
            <w:hideMark/>
          </w:tcPr>
          <w:p w14:paraId="3F175160"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1.0</w:t>
            </w:r>
          </w:p>
        </w:tc>
        <w:tc>
          <w:tcPr>
            <w:tcW w:w="567" w:type="dxa"/>
            <w:tcBorders>
              <w:top w:val="nil"/>
              <w:left w:val="nil"/>
              <w:bottom w:val="nil"/>
              <w:right w:val="nil"/>
            </w:tcBorders>
            <w:shd w:val="clear" w:color="auto" w:fill="auto"/>
            <w:noWrap/>
            <w:hideMark/>
          </w:tcPr>
          <w:p w14:paraId="7C999375"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0.00</w:t>
            </w:r>
          </w:p>
        </w:tc>
        <w:tc>
          <w:tcPr>
            <w:tcW w:w="575" w:type="dxa"/>
            <w:tcBorders>
              <w:top w:val="nil"/>
              <w:left w:val="nil"/>
              <w:bottom w:val="nil"/>
              <w:right w:val="nil"/>
            </w:tcBorders>
            <w:shd w:val="clear" w:color="auto" w:fill="auto"/>
            <w:noWrap/>
            <w:hideMark/>
          </w:tcPr>
          <w:p w14:paraId="2ABAE990"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8.8%</w:t>
            </w:r>
          </w:p>
        </w:tc>
        <w:tc>
          <w:tcPr>
            <w:tcW w:w="575" w:type="dxa"/>
            <w:tcBorders>
              <w:top w:val="nil"/>
              <w:left w:val="nil"/>
              <w:bottom w:val="nil"/>
              <w:right w:val="nil"/>
            </w:tcBorders>
            <w:shd w:val="clear" w:color="auto" w:fill="auto"/>
            <w:noWrap/>
            <w:hideMark/>
          </w:tcPr>
          <w:p w14:paraId="5F9F0F1B"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1.3%</w:t>
            </w:r>
          </w:p>
        </w:tc>
        <w:tc>
          <w:tcPr>
            <w:tcW w:w="851" w:type="dxa"/>
            <w:tcBorders>
              <w:top w:val="nil"/>
              <w:left w:val="nil"/>
              <w:bottom w:val="nil"/>
              <w:right w:val="nil"/>
            </w:tcBorders>
            <w:shd w:val="clear" w:color="auto" w:fill="auto"/>
            <w:noWrap/>
            <w:hideMark/>
          </w:tcPr>
          <w:p w14:paraId="741357D2"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47,709</w:t>
            </w:r>
          </w:p>
        </w:tc>
        <w:tc>
          <w:tcPr>
            <w:tcW w:w="708" w:type="dxa"/>
            <w:tcBorders>
              <w:top w:val="nil"/>
              <w:left w:val="nil"/>
              <w:bottom w:val="nil"/>
              <w:right w:val="nil"/>
            </w:tcBorders>
            <w:shd w:val="clear" w:color="auto" w:fill="auto"/>
            <w:noWrap/>
            <w:hideMark/>
          </w:tcPr>
          <w:p w14:paraId="251D0B67"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4 </w:t>
            </w:r>
          </w:p>
        </w:tc>
        <w:tc>
          <w:tcPr>
            <w:tcW w:w="851" w:type="dxa"/>
            <w:tcBorders>
              <w:top w:val="nil"/>
              <w:left w:val="nil"/>
              <w:bottom w:val="nil"/>
              <w:right w:val="nil"/>
            </w:tcBorders>
            <w:shd w:val="clear" w:color="auto" w:fill="auto"/>
            <w:noWrap/>
            <w:hideMark/>
          </w:tcPr>
          <w:p w14:paraId="664B287C"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246,050 </w:t>
            </w:r>
          </w:p>
        </w:tc>
        <w:tc>
          <w:tcPr>
            <w:tcW w:w="662" w:type="dxa"/>
            <w:tcBorders>
              <w:top w:val="nil"/>
              <w:left w:val="nil"/>
              <w:bottom w:val="nil"/>
              <w:right w:val="nil"/>
            </w:tcBorders>
            <w:shd w:val="clear" w:color="auto" w:fill="auto"/>
            <w:noWrap/>
            <w:hideMark/>
          </w:tcPr>
          <w:p w14:paraId="6C5D147B"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0.19</w:t>
            </w:r>
          </w:p>
        </w:tc>
      </w:tr>
      <w:tr w:rsidR="00385317" w:rsidRPr="00B95C7E" w14:paraId="0EB26D29" w14:textId="77777777" w:rsidTr="00A23161">
        <w:trPr>
          <w:trHeight w:val="243"/>
        </w:trPr>
        <w:tc>
          <w:tcPr>
            <w:tcW w:w="709" w:type="dxa"/>
            <w:tcBorders>
              <w:top w:val="nil"/>
              <w:left w:val="nil"/>
              <w:bottom w:val="nil"/>
              <w:right w:val="nil"/>
            </w:tcBorders>
            <w:shd w:val="clear" w:color="auto" w:fill="auto"/>
            <w:noWrap/>
            <w:hideMark/>
          </w:tcPr>
          <w:p w14:paraId="561A5EFD"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Yes</w:t>
            </w:r>
          </w:p>
        </w:tc>
        <w:tc>
          <w:tcPr>
            <w:tcW w:w="709" w:type="dxa"/>
            <w:tcBorders>
              <w:top w:val="nil"/>
              <w:left w:val="nil"/>
              <w:bottom w:val="nil"/>
              <w:right w:val="nil"/>
            </w:tcBorders>
            <w:shd w:val="clear" w:color="auto" w:fill="auto"/>
            <w:noWrap/>
            <w:hideMark/>
          </w:tcPr>
          <w:p w14:paraId="4CBB05FF"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8</w:t>
            </w:r>
          </w:p>
        </w:tc>
        <w:tc>
          <w:tcPr>
            <w:tcW w:w="709" w:type="dxa"/>
            <w:tcBorders>
              <w:top w:val="nil"/>
              <w:left w:val="nil"/>
              <w:bottom w:val="nil"/>
              <w:right w:val="nil"/>
            </w:tcBorders>
            <w:shd w:val="clear" w:color="auto" w:fill="auto"/>
            <w:noWrap/>
            <w:hideMark/>
          </w:tcPr>
          <w:p w14:paraId="3DE1EBAB" w14:textId="77777777"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F01B</w:t>
            </w:r>
          </w:p>
        </w:tc>
        <w:tc>
          <w:tcPr>
            <w:tcW w:w="3827" w:type="dxa"/>
            <w:gridSpan w:val="2"/>
            <w:tcBorders>
              <w:top w:val="nil"/>
              <w:left w:val="nil"/>
              <w:bottom w:val="nil"/>
              <w:right w:val="nil"/>
            </w:tcBorders>
            <w:shd w:val="clear" w:color="auto" w:fill="auto"/>
            <w:noWrap/>
            <w:hideMark/>
          </w:tcPr>
          <w:p w14:paraId="1F1AC568" w14:textId="5B026BC0"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Implantation and Replacement of AICD, Total System, Minor Complexity</w:t>
            </w:r>
          </w:p>
        </w:tc>
        <w:tc>
          <w:tcPr>
            <w:tcW w:w="567" w:type="dxa"/>
            <w:gridSpan w:val="2"/>
            <w:tcBorders>
              <w:top w:val="nil"/>
              <w:left w:val="nil"/>
              <w:bottom w:val="nil"/>
              <w:right w:val="nil"/>
            </w:tcBorders>
            <w:shd w:val="clear" w:color="auto" w:fill="auto"/>
            <w:noWrap/>
            <w:hideMark/>
          </w:tcPr>
          <w:p w14:paraId="6113E8CB"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16.31</w:t>
            </w:r>
          </w:p>
        </w:tc>
        <w:tc>
          <w:tcPr>
            <w:tcW w:w="851" w:type="dxa"/>
            <w:gridSpan w:val="2"/>
            <w:tcBorders>
              <w:top w:val="nil"/>
              <w:left w:val="nil"/>
              <w:bottom w:val="nil"/>
              <w:right w:val="nil"/>
            </w:tcBorders>
            <w:shd w:val="clear" w:color="auto" w:fill="auto"/>
            <w:noWrap/>
            <w:hideMark/>
          </w:tcPr>
          <w:p w14:paraId="53D68E8F"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2,363</w:t>
            </w:r>
          </w:p>
        </w:tc>
        <w:tc>
          <w:tcPr>
            <w:tcW w:w="781" w:type="dxa"/>
            <w:tcBorders>
              <w:top w:val="nil"/>
              <w:left w:val="nil"/>
              <w:bottom w:val="nil"/>
              <w:right w:val="nil"/>
            </w:tcBorders>
            <w:shd w:val="clear" w:color="auto" w:fill="auto"/>
            <w:noWrap/>
            <w:hideMark/>
          </w:tcPr>
          <w:p w14:paraId="6927E37B" w14:textId="359296CE" w:rsidR="00385317" w:rsidRPr="00385317" w:rsidRDefault="00385317" w:rsidP="00385317">
            <w:pPr>
              <w:jc w:val="right"/>
              <w:rPr>
                <w:rFonts w:asciiTheme="minorHAnsi" w:hAnsiTheme="minorHAnsi" w:cstheme="minorHAnsi"/>
                <w:b/>
                <w:sz w:val="14"/>
                <w:szCs w:val="14"/>
                <w:lang w:val="en-US" w:eastAsia="en-US"/>
              </w:rPr>
            </w:pPr>
            <w:r w:rsidRPr="00385317">
              <w:rPr>
                <w:rFonts w:asciiTheme="minorHAnsi" w:hAnsiTheme="minorHAnsi" w:cstheme="minorHAnsi"/>
                <w:b/>
                <w:sz w:val="14"/>
                <w:szCs w:val="14"/>
                <w:lang w:val="en-US" w:eastAsia="en-US"/>
              </w:rPr>
              <w:t>38,541</w:t>
            </w:r>
          </w:p>
        </w:tc>
        <w:tc>
          <w:tcPr>
            <w:tcW w:w="839" w:type="dxa"/>
            <w:gridSpan w:val="2"/>
            <w:tcBorders>
              <w:top w:val="nil"/>
              <w:left w:val="nil"/>
              <w:bottom w:val="nil"/>
              <w:right w:val="nil"/>
            </w:tcBorders>
            <w:shd w:val="clear" w:color="auto" w:fill="auto"/>
            <w:noWrap/>
            <w:hideMark/>
          </w:tcPr>
          <w:p w14:paraId="3A4ED63A"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5,460</w:t>
            </w:r>
          </w:p>
        </w:tc>
        <w:tc>
          <w:tcPr>
            <w:tcW w:w="1073" w:type="dxa"/>
            <w:tcBorders>
              <w:top w:val="nil"/>
              <w:left w:val="nil"/>
              <w:bottom w:val="nil"/>
              <w:right w:val="nil"/>
            </w:tcBorders>
            <w:shd w:val="clear" w:color="auto" w:fill="auto"/>
            <w:noWrap/>
            <w:hideMark/>
          </w:tcPr>
          <w:p w14:paraId="7D7D422A"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2.3</w:t>
            </w:r>
          </w:p>
        </w:tc>
        <w:tc>
          <w:tcPr>
            <w:tcW w:w="567" w:type="dxa"/>
            <w:tcBorders>
              <w:top w:val="nil"/>
              <w:left w:val="nil"/>
              <w:bottom w:val="nil"/>
              <w:right w:val="nil"/>
            </w:tcBorders>
            <w:shd w:val="clear" w:color="auto" w:fill="auto"/>
            <w:noWrap/>
            <w:hideMark/>
          </w:tcPr>
          <w:p w14:paraId="49602FF5"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0.12</w:t>
            </w:r>
          </w:p>
        </w:tc>
        <w:tc>
          <w:tcPr>
            <w:tcW w:w="575" w:type="dxa"/>
            <w:tcBorders>
              <w:top w:val="nil"/>
              <w:left w:val="nil"/>
              <w:bottom w:val="nil"/>
              <w:right w:val="nil"/>
            </w:tcBorders>
            <w:shd w:val="clear" w:color="auto" w:fill="auto"/>
            <w:noWrap/>
            <w:hideMark/>
          </w:tcPr>
          <w:p w14:paraId="0A1C96A9"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0.1%</w:t>
            </w:r>
          </w:p>
        </w:tc>
        <w:tc>
          <w:tcPr>
            <w:tcW w:w="575" w:type="dxa"/>
            <w:tcBorders>
              <w:top w:val="nil"/>
              <w:left w:val="nil"/>
              <w:bottom w:val="nil"/>
              <w:right w:val="nil"/>
            </w:tcBorders>
            <w:shd w:val="clear" w:color="auto" w:fill="auto"/>
            <w:noWrap/>
            <w:hideMark/>
          </w:tcPr>
          <w:p w14:paraId="05CC7DE8"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1.3%</w:t>
            </w:r>
          </w:p>
        </w:tc>
        <w:tc>
          <w:tcPr>
            <w:tcW w:w="851" w:type="dxa"/>
            <w:tcBorders>
              <w:top w:val="nil"/>
              <w:left w:val="nil"/>
              <w:bottom w:val="nil"/>
              <w:right w:val="nil"/>
            </w:tcBorders>
            <w:shd w:val="clear" w:color="auto" w:fill="auto"/>
            <w:noWrap/>
            <w:hideMark/>
          </w:tcPr>
          <w:p w14:paraId="1106DCB7"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54,681</w:t>
            </w:r>
          </w:p>
        </w:tc>
        <w:tc>
          <w:tcPr>
            <w:tcW w:w="708" w:type="dxa"/>
            <w:tcBorders>
              <w:top w:val="nil"/>
              <w:left w:val="nil"/>
              <w:bottom w:val="nil"/>
              <w:right w:val="nil"/>
            </w:tcBorders>
            <w:shd w:val="clear" w:color="auto" w:fill="auto"/>
            <w:noWrap/>
            <w:hideMark/>
          </w:tcPr>
          <w:p w14:paraId="4F4E0B22"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3 </w:t>
            </w:r>
          </w:p>
        </w:tc>
        <w:tc>
          <w:tcPr>
            <w:tcW w:w="851" w:type="dxa"/>
            <w:tcBorders>
              <w:top w:val="nil"/>
              <w:left w:val="nil"/>
              <w:bottom w:val="nil"/>
              <w:right w:val="nil"/>
            </w:tcBorders>
            <w:shd w:val="clear" w:color="auto" w:fill="auto"/>
            <w:noWrap/>
            <w:hideMark/>
          </w:tcPr>
          <w:p w14:paraId="000DE91A"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2,448 </w:t>
            </w:r>
          </w:p>
        </w:tc>
        <w:tc>
          <w:tcPr>
            <w:tcW w:w="662" w:type="dxa"/>
            <w:tcBorders>
              <w:top w:val="nil"/>
              <w:left w:val="nil"/>
              <w:bottom w:val="nil"/>
              <w:right w:val="nil"/>
            </w:tcBorders>
            <w:shd w:val="clear" w:color="auto" w:fill="auto"/>
            <w:noWrap/>
            <w:hideMark/>
          </w:tcPr>
          <w:p w14:paraId="30B44471"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22.34</w:t>
            </w:r>
          </w:p>
        </w:tc>
      </w:tr>
      <w:tr w:rsidR="00385317" w:rsidRPr="00B95C7E" w14:paraId="62D6D8C3" w14:textId="77777777" w:rsidTr="00A23161">
        <w:trPr>
          <w:trHeight w:val="243"/>
        </w:trPr>
        <w:tc>
          <w:tcPr>
            <w:tcW w:w="709" w:type="dxa"/>
            <w:tcBorders>
              <w:top w:val="nil"/>
              <w:left w:val="nil"/>
              <w:bottom w:val="nil"/>
              <w:right w:val="nil"/>
            </w:tcBorders>
            <w:shd w:val="clear" w:color="auto" w:fill="auto"/>
            <w:noWrap/>
            <w:hideMark/>
          </w:tcPr>
          <w:p w14:paraId="6E12714B"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Yes</w:t>
            </w:r>
          </w:p>
        </w:tc>
        <w:tc>
          <w:tcPr>
            <w:tcW w:w="709" w:type="dxa"/>
            <w:tcBorders>
              <w:top w:val="nil"/>
              <w:left w:val="nil"/>
              <w:bottom w:val="nil"/>
              <w:right w:val="nil"/>
            </w:tcBorders>
            <w:shd w:val="clear" w:color="auto" w:fill="auto"/>
            <w:noWrap/>
            <w:hideMark/>
          </w:tcPr>
          <w:p w14:paraId="54913B50"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9</w:t>
            </w:r>
          </w:p>
        </w:tc>
        <w:tc>
          <w:tcPr>
            <w:tcW w:w="709" w:type="dxa"/>
            <w:tcBorders>
              <w:top w:val="nil"/>
              <w:left w:val="nil"/>
              <w:bottom w:val="nil"/>
              <w:right w:val="nil"/>
            </w:tcBorders>
            <w:shd w:val="clear" w:color="auto" w:fill="auto"/>
            <w:noWrap/>
            <w:hideMark/>
          </w:tcPr>
          <w:p w14:paraId="629D49A5" w14:textId="77777777"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G48B</w:t>
            </w:r>
          </w:p>
        </w:tc>
        <w:tc>
          <w:tcPr>
            <w:tcW w:w="3827" w:type="dxa"/>
            <w:gridSpan w:val="2"/>
            <w:tcBorders>
              <w:top w:val="nil"/>
              <w:left w:val="nil"/>
              <w:bottom w:val="nil"/>
              <w:right w:val="nil"/>
            </w:tcBorders>
            <w:shd w:val="clear" w:color="auto" w:fill="auto"/>
            <w:noWrap/>
            <w:hideMark/>
          </w:tcPr>
          <w:p w14:paraId="471F3A20" w14:textId="5FE1E739"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Colonoscopy, Minor Complexity</w:t>
            </w:r>
          </w:p>
        </w:tc>
        <w:tc>
          <w:tcPr>
            <w:tcW w:w="567" w:type="dxa"/>
            <w:gridSpan w:val="2"/>
            <w:tcBorders>
              <w:top w:val="nil"/>
              <w:left w:val="nil"/>
              <w:bottom w:val="nil"/>
              <w:right w:val="nil"/>
            </w:tcBorders>
            <w:shd w:val="clear" w:color="auto" w:fill="auto"/>
            <w:noWrap/>
            <w:hideMark/>
          </w:tcPr>
          <w:p w14:paraId="1405A8C8"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0.26</w:t>
            </w:r>
          </w:p>
        </w:tc>
        <w:tc>
          <w:tcPr>
            <w:tcW w:w="851" w:type="dxa"/>
            <w:gridSpan w:val="2"/>
            <w:tcBorders>
              <w:top w:val="nil"/>
              <w:left w:val="nil"/>
              <w:bottom w:val="nil"/>
              <w:right w:val="nil"/>
            </w:tcBorders>
            <w:shd w:val="clear" w:color="auto" w:fill="auto"/>
            <w:noWrap/>
            <w:hideMark/>
          </w:tcPr>
          <w:p w14:paraId="3828BB40"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145,423</w:t>
            </w:r>
          </w:p>
        </w:tc>
        <w:tc>
          <w:tcPr>
            <w:tcW w:w="781" w:type="dxa"/>
            <w:tcBorders>
              <w:top w:val="nil"/>
              <w:left w:val="nil"/>
              <w:bottom w:val="nil"/>
              <w:right w:val="nil"/>
            </w:tcBorders>
            <w:shd w:val="clear" w:color="auto" w:fill="auto"/>
            <w:noWrap/>
            <w:hideMark/>
          </w:tcPr>
          <w:p w14:paraId="0DA461BE" w14:textId="53B01B8D" w:rsidR="00385317" w:rsidRPr="00385317" w:rsidRDefault="00385317" w:rsidP="00385317">
            <w:pPr>
              <w:jc w:val="right"/>
              <w:rPr>
                <w:rFonts w:asciiTheme="minorHAnsi" w:hAnsiTheme="minorHAnsi" w:cstheme="minorHAnsi"/>
                <w:b/>
                <w:sz w:val="14"/>
                <w:szCs w:val="14"/>
                <w:lang w:val="en-US" w:eastAsia="en-US"/>
              </w:rPr>
            </w:pPr>
            <w:r w:rsidRPr="00385317">
              <w:rPr>
                <w:rFonts w:asciiTheme="minorHAnsi" w:hAnsiTheme="minorHAnsi" w:cstheme="minorHAnsi"/>
                <w:b/>
                <w:sz w:val="14"/>
                <w:szCs w:val="14"/>
                <w:lang w:val="en-US" w:eastAsia="en-US"/>
              </w:rPr>
              <w:t>37,810</w:t>
            </w:r>
          </w:p>
        </w:tc>
        <w:tc>
          <w:tcPr>
            <w:tcW w:w="839" w:type="dxa"/>
            <w:gridSpan w:val="2"/>
            <w:tcBorders>
              <w:top w:val="nil"/>
              <w:left w:val="nil"/>
              <w:bottom w:val="nil"/>
              <w:right w:val="nil"/>
            </w:tcBorders>
            <w:shd w:val="clear" w:color="auto" w:fill="auto"/>
            <w:noWrap/>
            <w:hideMark/>
          </w:tcPr>
          <w:p w14:paraId="7646612E"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150,085</w:t>
            </w:r>
          </w:p>
        </w:tc>
        <w:tc>
          <w:tcPr>
            <w:tcW w:w="1073" w:type="dxa"/>
            <w:tcBorders>
              <w:top w:val="nil"/>
              <w:left w:val="nil"/>
              <w:bottom w:val="nil"/>
              <w:right w:val="nil"/>
            </w:tcBorders>
            <w:shd w:val="clear" w:color="auto" w:fill="auto"/>
            <w:noWrap/>
            <w:hideMark/>
          </w:tcPr>
          <w:p w14:paraId="050B1388"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1.0</w:t>
            </w:r>
          </w:p>
        </w:tc>
        <w:tc>
          <w:tcPr>
            <w:tcW w:w="567" w:type="dxa"/>
            <w:tcBorders>
              <w:top w:val="nil"/>
              <w:left w:val="nil"/>
              <w:bottom w:val="nil"/>
              <w:right w:val="nil"/>
            </w:tcBorders>
            <w:shd w:val="clear" w:color="auto" w:fill="auto"/>
            <w:noWrap/>
            <w:hideMark/>
          </w:tcPr>
          <w:p w14:paraId="14F8F897"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0.00</w:t>
            </w:r>
          </w:p>
        </w:tc>
        <w:tc>
          <w:tcPr>
            <w:tcW w:w="575" w:type="dxa"/>
            <w:tcBorders>
              <w:top w:val="nil"/>
              <w:left w:val="nil"/>
              <w:bottom w:val="nil"/>
              <w:right w:val="nil"/>
            </w:tcBorders>
            <w:shd w:val="clear" w:color="auto" w:fill="auto"/>
            <w:noWrap/>
            <w:hideMark/>
          </w:tcPr>
          <w:p w14:paraId="2E656477"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4.8%</w:t>
            </w:r>
          </w:p>
        </w:tc>
        <w:tc>
          <w:tcPr>
            <w:tcW w:w="575" w:type="dxa"/>
            <w:tcBorders>
              <w:top w:val="nil"/>
              <w:left w:val="nil"/>
              <w:bottom w:val="nil"/>
              <w:right w:val="nil"/>
            </w:tcBorders>
            <w:shd w:val="clear" w:color="auto" w:fill="auto"/>
            <w:noWrap/>
            <w:hideMark/>
          </w:tcPr>
          <w:p w14:paraId="02CBF822"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1.2%</w:t>
            </w:r>
          </w:p>
        </w:tc>
        <w:tc>
          <w:tcPr>
            <w:tcW w:w="851" w:type="dxa"/>
            <w:tcBorders>
              <w:top w:val="nil"/>
              <w:left w:val="nil"/>
              <w:bottom w:val="nil"/>
              <w:right w:val="nil"/>
            </w:tcBorders>
            <w:shd w:val="clear" w:color="auto" w:fill="auto"/>
            <w:noWrap/>
            <w:hideMark/>
          </w:tcPr>
          <w:p w14:paraId="65FAEE17"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32,001</w:t>
            </w:r>
          </w:p>
        </w:tc>
        <w:tc>
          <w:tcPr>
            <w:tcW w:w="708" w:type="dxa"/>
            <w:tcBorders>
              <w:top w:val="nil"/>
              <w:left w:val="nil"/>
              <w:bottom w:val="nil"/>
              <w:right w:val="nil"/>
            </w:tcBorders>
            <w:shd w:val="clear" w:color="auto" w:fill="auto"/>
            <w:noWrap/>
            <w:hideMark/>
          </w:tcPr>
          <w:p w14:paraId="668CDBF8"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13 </w:t>
            </w:r>
          </w:p>
        </w:tc>
        <w:tc>
          <w:tcPr>
            <w:tcW w:w="851" w:type="dxa"/>
            <w:tcBorders>
              <w:top w:val="nil"/>
              <w:left w:val="nil"/>
              <w:bottom w:val="nil"/>
              <w:right w:val="nil"/>
            </w:tcBorders>
            <w:shd w:val="clear" w:color="auto" w:fill="auto"/>
            <w:noWrap/>
            <w:hideMark/>
          </w:tcPr>
          <w:p w14:paraId="44DFB45A"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124,227 </w:t>
            </w:r>
          </w:p>
        </w:tc>
        <w:tc>
          <w:tcPr>
            <w:tcW w:w="662" w:type="dxa"/>
            <w:tcBorders>
              <w:top w:val="nil"/>
              <w:left w:val="nil"/>
              <w:bottom w:val="nil"/>
              <w:right w:val="nil"/>
            </w:tcBorders>
            <w:shd w:val="clear" w:color="auto" w:fill="auto"/>
            <w:noWrap/>
            <w:hideMark/>
          </w:tcPr>
          <w:p w14:paraId="5516B2D1"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0.26</w:t>
            </w:r>
          </w:p>
        </w:tc>
      </w:tr>
      <w:tr w:rsidR="00385317" w:rsidRPr="00B95C7E" w14:paraId="22C9D38A" w14:textId="77777777" w:rsidTr="00A23161">
        <w:trPr>
          <w:trHeight w:val="243"/>
        </w:trPr>
        <w:tc>
          <w:tcPr>
            <w:tcW w:w="709" w:type="dxa"/>
            <w:tcBorders>
              <w:top w:val="nil"/>
              <w:left w:val="nil"/>
              <w:bottom w:val="nil"/>
              <w:right w:val="nil"/>
            </w:tcBorders>
            <w:shd w:val="clear" w:color="auto" w:fill="auto"/>
            <w:noWrap/>
            <w:hideMark/>
          </w:tcPr>
          <w:p w14:paraId="67468CB3"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Yes</w:t>
            </w:r>
          </w:p>
        </w:tc>
        <w:tc>
          <w:tcPr>
            <w:tcW w:w="709" w:type="dxa"/>
            <w:tcBorders>
              <w:top w:val="nil"/>
              <w:left w:val="nil"/>
              <w:bottom w:val="nil"/>
              <w:right w:val="nil"/>
            </w:tcBorders>
            <w:shd w:val="clear" w:color="auto" w:fill="auto"/>
            <w:noWrap/>
            <w:hideMark/>
          </w:tcPr>
          <w:p w14:paraId="1890A365"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10</w:t>
            </w:r>
          </w:p>
        </w:tc>
        <w:tc>
          <w:tcPr>
            <w:tcW w:w="709" w:type="dxa"/>
            <w:tcBorders>
              <w:top w:val="nil"/>
              <w:left w:val="nil"/>
              <w:bottom w:val="nil"/>
              <w:right w:val="nil"/>
            </w:tcBorders>
            <w:shd w:val="clear" w:color="auto" w:fill="auto"/>
            <w:noWrap/>
            <w:hideMark/>
          </w:tcPr>
          <w:p w14:paraId="7FD91089" w14:textId="77777777"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I09B</w:t>
            </w:r>
          </w:p>
        </w:tc>
        <w:tc>
          <w:tcPr>
            <w:tcW w:w="3827" w:type="dxa"/>
            <w:gridSpan w:val="2"/>
            <w:tcBorders>
              <w:top w:val="nil"/>
              <w:left w:val="nil"/>
              <w:bottom w:val="nil"/>
              <w:right w:val="nil"/>
            </w:tcBorders>
            <w:shd w:val="clear" w:color="auto" w:fill="auto"/>
            <w:noWrap/>
            <w:hideMark/>
          </w:tcPr>
          <w:p w14:paraId="455C5679" w14:textId="02C35373"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Spinal Fusion, Intermediate Complexity</w:t>
            </w:r>
          </w:p>
        </w:tc>
        <w:tc>
          <w:tcPr>
            <w:tcW w:w="567" w:type="dxa"/>
            <w:gridSpan w:val="2"/>
            <w:tcBorders>
              <w:top w:val="nil"/>
              <w:left w:val="nil"/>
              <w:bottom w:val="nil"/>
              <w:right w:val="nil"/>
            </w:tcBorders>
            <w:shd w:val="clear" w:color="auto" w:fill="auto"/>
            <w:noWrap/>
            <w:hideMark/>
          </w:tcPr>
          <w:p w14:paraId="026E3FCB"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8.81</w:t>
            </w:r>
          </w:p>
        </w:tc>
        <w:tc>
          <w:tcPr>
            <w:tcW w:w="851" w:type="dxa"/>
            <w:gridSpan w:val="2"/>
            <w:tcBorders>
              <w:top w:val="nil"/>
              <w:left w:val="nil"/>
              <w:bottom w:val="nil"/>
              <w:right w:val="nil"/>
            </w:tcBorders>
            <w:shd w:val="clear" w:color="auto" w:fill="auto"/>
            <w:noWrap/>
            <w:hideMark/>
          </w:tcPr>
          <w:p w14:paraId="5A920E6F"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4,195</w:t>
            </w:r>
          </w:p>
        </w:tc>
        <w:tc>
          <w:tcPr>
            <w:tcW w:w="781" w:type="dxa"/>
            <w:tcBorders>
              <w:top w:val="nil"/>
              <w:left w:val="nil"/>
              <w:bottom w:val="nil"/>
              <w:right w:val="nil"/>
            </w:tcBorders>
            <w:shd w:val="clear" w:color="auto" w:fill="auto"/>
            <w:noWrap/>
            <w:hideMark/>
          </w:tcPr>
          <w:p w14:paraId="3040A14D" w14:textId="261DCB56" w:rsidR="00385317" w:rsidRPr="00385317" w:rsidRDefault="00385317" w:rsidP="00385317">
            <w:pPr>
              <w:jc w:val="right"/>
              <w:rPr>
                <w:rFonts w:asciiTheme="minorHAnsi" w:hAnsiTheme="minorHAnsi" w:cstheme="minorHAnsi"/>
                <w:b/>
                <w:sz w:val="14"/>
                <w:szCs w:val="14"/>
                <w:lang w:val="en-US" w:eastAsia="en-US"/>
              </w:rPr>
            </w:pPr>
            <w:r w:rsidRPr="00385317">
              <w:rPr>
                <w:rFonts w:asciiTheme="minorHAnsi" w:hAnsiTheme="minorHAnsi" w:cstheme="minorHAnsi"/>
                <w:b/>
                <w:sz w:val="14"/>
                <w:szCs w:val="14"/>
                <w:lang w:val="en-US" w:eastAsia="en-US"/>
              </w:rPr>
              <w:t>36,958</w:t>
            </w:r>
          </w:p>
        </w:tc>
        <w:tc>
          <w:tcPr>
            <w:tcW w:w="839" w:type="dxa"/>
            <w:gridSpan w:val="2"/>
            <w:tcBorders>
              <w:top w:val="nil"/>
              <w:left w:val="nil"/>
              <w:bottom w:val="nil"/>
              <w:right w:val="nil"/>
            </w:tcBorders>
            <w:shd w:val="clear" w:color="auto" w:fill="auto"/>
            <w:noWrap/>
            <w:hideMark/>
          </w:tcPr>
          <w:p w14:paraId="3A78E3CF"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33,475</w:t>
            </w:r>
          </w:p>
        </w:tc>
        <w:tc>
          <w:tcPr>
            <w:tcW w:w="1073" w:type="dxa"/>
            <w:tcBorders>
              <w:top w:val="nil"/>
              <w:left w:val="nil"/>
              <w:bottom w:val="nil"/>
              <w:right w:val="nil"/>
            </w:tcBorders>
            <w:shd w:val="clear" w:color="auto" w:fill="auto"/>
            <w:noWrap/>
            <w:hideMark/>
          </w:tcPr>
          <w:p w14:paraId="4AC85810"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8.0</w:t>
            </w:r>
          </w:p>
        </w:tc>
        <w:tc>
          <w:tcPr>
            <w:tcW w:w="567" w:type="dxa"/>
            <w:tcBorders>
              <w:top w:val="nil"/>
              <w:left w:val="nil"/>
              <w:bottom w:val="nil"/>
              <w:right w:val="nil"/>
            </w:tcBorders>
            <w:shd w:val="clear" w:color="auto" w:fill="auto"/>
            <w:noWrap/>
            <w:hideMark/>
          </w:tcPr>
          <w:p w14:paraId="02E72BD1"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0.09</w:t>
            </w:r>
          </w:p>
        </w:tc>
        <w:tc>
          <w:tcPr>
            <w:tcW w:w="575" w:type="dxa"/>
            <w:tcBorders>
              <w:top w:val="nil"/>
              <w:left w:val="nil"/>
              <w:bottom w:val="nil"/>
              <w:right w:val="nil"/>
            </w:tcBorders>
            <w:shd w:val="clear" w:color="auto" w:fill="auto"/>
            <w:noWrap/>
            <w:hideMark/>
          </w:tcPr>
          <w:p w14:paraId="7988A7C5"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0.1%</w:t>
            </w:r>
          </w:p>
        </w:tc>
        <w:tc>
          <w:tcPr>
            <w:tcW w:w="575" w:type="dxa"/>
            <w:tcBorders>
              <w:top w:val="nil"/>
              <w:left w:val="nil"/>
              <w:bottom w:val="nil"/>
              <w:right w:val="nil"/>
            </w:tcBorders>
            <w:shd w:val="clear" w:color="auto" w:fill="auto"/>
            <w:noWrap/>
            <w:hideMark/>
          </w:tcPr>
          <w:p w14:paraId="0A992F47"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1.2%</w:t>
            </w:r>
          </w:p>
        </w:tc>
        <w:tc>
          <w:tcPr>
            <w:tcW w:w="851" w:type="dxa"/>
            <w:tcBorders>
              <w:top w:val="nil"/>
              <w:left w:val="nil"/>
              <w:bottom w:val="nil"/>
              <w:right w:val="nil"/>
            </w:tcBorders>
            <w:shd w:val="clear" w:color="auto" w:fill="auto"/>
            <w:noWrap/>
            <w:hideMark/>
          </w:tcPr>
          <w:p w14:paraId="31B760D4"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37,955</w:t>
            </w:r>
          </w:p>
        </w:tc>
        <w:tc>
          <w:tcPr>
            <w:tcW w:w="708" w:type="dxa"/>
            <w:tcBorders>
              <w:top w:val="nil"/>
              <w:left w:val="nil"/>
              <w:bottom w:val="nil"/>
              <w:right w:val="nil"/>
            </w:tcBorders>
            <w:shd w:val="clear" w:color="auto" w:fill="auto"/>
            <w:noWrap/>
            <w:hideMark/>
          </w:tcPr>
          <w:p w14:paraId="630A7B08"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8 </w:t>
            </w:r>
          </w:p>
        </w:tc>
        <w:tc>
          <w:tcPr>
            <w:tcW w:w="851" w:type="dxa"/>
            <w:tcBorders>
              <w:top w:val="nil"/>
              <w:left w:val="nil"/>
              <w:bottom w:val="nil"/>
              <w:right w:val="nil"/>
            </w:tcBorders>
            <w:shd w:val="clear" w:color="auto" w:fill="auto"/>
            <w:noWrap/>
            <w:hideMark/>
          </w:tcPr>
          <w:p w14:paraId="241ECFD4"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3,778 </w:t>
            </w:r>
          </w:p>
        </w:tc>
        <w:tc>
          <w:tcPr>
            <w:tcW w:w="662" w:type="dxa"/>
            <w:tcBorders>
              <w:top w:val="nil"/>
              <w:left w:val="nil"/>
              <w:bottom w:val="nil"/>
              <w:right w:val="nil"/>
            </w:tcBorders>
            <w:shd w:val="clear" w:color="auto" w:fill="auto"/>
            <w:noWrap/>
            <w:hideMark/>
          </w:tcPr>
          <w:p w14:paraId="4D17BD66"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10.05</w:t>
            </w:r>
          </w:p>
        </w:tc>
      </w:tr>
      <w:tr w:rsidR="00385317" w:rsidRPr="00B95C7E" w14:paraId="738AB800" w14:textId="77777777" w:rsidTr="00A23161">
        <w:trPr>
          <w:trHeight w:val="243"/>
        </w:trPr>
        <w:tc>
          <w:tcPr>
            <w:tcW w:w="709" w:type="dxa"/>
            <w:tcBorders>
              <w:top w:val="nil"/>
              <w:left w:val="nil"/>
              <w:bottom w:val="nil"/>
              <w:right w:val="nil"/>
            </w:tcBorders>
            <w:shd w:val="clear" w:color="auto" w:fill="auto"/>
            <w:noWrap/>
            <w:hideMark/>
          </w:tcPr>
          <w:p w14:paraId="33C514AC"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No</w:t>
            </w:r>
          </w:p>
        </w:tc>
        <w:tc>
          <w:tcPr>
            <w:tcW w:w="709" w:type="dxa"/>
            <w:tcBorders>
              <w:top w:val="nil"/>
              <w:left w:val="nil"/>
              <w:bottom w:val="nil"/>
              <w:right w:val="nil"/>
            </w:tcBorders>
            <w:shd w:val="clear" w:color="auto" w:fill="auto"/>
            <w:noWrap/>
            <w:hideMark/>
          </w:tcPr>
          <w:p w14:paraId="2AB6E586"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11</w:t>
            </w:r>
          </w:p>
        </w:tc>
        <w:tc>
          <w:tcPr>
            <w:tcW w:w="709" w:type="dxa"/>
            <w:tcBorders>
              <w:top w:val="nil"/>
              <w:left w:val="nil"/>
              <w:bottom w:val="nil"/>
              <w:right w:val="nil"/>
            </w:tcBorders>
            <w:shd w:val="clear" w:color="auto" w:fill="auto"/>
            <w:noWrap/>
            <w:hideMark/>
          </w:tcPr>
          <w:p w14:paraId="459013C1" w14:textId="77777777"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O60B</w:t>
            </w:r>
          </w:p>
        </w:tc>
        <w:tc>
          <w:tcPr>
            <w:tcW w:w="3827" w:type="dxa"/>
            <w:gridSpan w:val="2"/>
            <w:tcBorders>
              <w:top w:val="nil"/>
              <w:left w:val="nil"/>
              <w:bottom w:val="nil"/>
              <w:right w:val="nil"/>
            </w:tcBorders>
            <w:shd w:val="clear" w:color="auto" w:fill="auto"/>
            <w:noWrap/>
            <w:hideMark/>
          </w:tcPr>
          <w:p w14:paraId="4352B74B" w14:textId="77777777"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Vaginal Delivery, Intermediate Complexity</w:t>
            </w:r>
          </w:p>
        </w:tc>
        <w:tc>
          <w:tcPr>
            <w:tcW w:w="567" w:type="dxa"/>
            <w:gridSpan w:val="2"/>
            <w:tcBorders>
              <w:top w:val="nil"/>
              <w:left w:val="nil"/>
              <w:bottom w:val="nil"/>
              <w:right w:val="nil"/>
            </w:tcBorders>
            <w:shd w:val="clear" w:color="auto" w:fill="auto"/>
            <w:noWrap/>
            <w:hideMark/>
          </w:tcPr>
          <w:p w14:paraId="574E8C77"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1.49</w:t>
            </w:r>
          </w:p>
        </w:tc>
        <w:tc>
          <w:tcPr>
            <w:tcW w:w="851" w:type="dxa"/>
            <w:gridSpan w:val="2"/>
            <w:tcBorders>
              <w:top w:val="nil"/>
              <w:left w:val="nil"/>
              <w:bottom w:val="nil"/>
              <w:right w:val="nil"/>
            </w:tcBorders>
            <w:shd w:val="clear" w:color="auto" w:fill="auto"/>
            <w:noWrap/>
            <w:hideMark/>
          </w:tcPr>
          <w:p w14:paraId="7B6F915C"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23,795</w:t>
            </w:r>
          </w:p>
        </w:tc>
        <w:tc>
          <w:tcPr>
            <w:tcW w:w="781" w:type="dxa"/>
            <w:tcBorders>
              <w:top w:val="nil"/>
              <w:left w:val="nil"/>
              <w:bottom w:val="nil"/>
              <w:right w:val="nil"/>
            </w:tcBorders>
            <w:shd w:val="clear" w:color="auto" w:fill="auto"/>
            <w:noWrap/>
            <w:hideMark/>
          </w:tcPr>
          <w:p w14:paraId="0228785A" w14:textId="600E7749" w:rsidR="00385317" w:rsidRPr="00385317" w:rsidRDefault="00385317" w:rsidP="00385317">
            <w:pPr>
              <w:jc w:val="right"/>
              <w:rPr>
                <w:rFonts w:asciiTheme="minorHAnsi" w:hAnsiTheme="minorHAnsi" w:cstheme="minorHAnsi"/>
                <w:b/>
                <w:sz w:val="14"/>
                <w:szCs w:val="14"/>
                <w:lang w:val="en-US" w:eastAsia="en-US"/>
              </w:rPr>
            </w:pPr>
            <w:r w:rsidRPr="00385317">
              <w:rPr>
                <w:rFonts w:asciiTheme="minorHAnsi" w:hAnsiTheme="minorHAnsi" w:cstheme="minorHAnsi"/>
                <w:b/>
                <w:sz w:val="14"/>
                <w:szCs w:val="14"/>
                <w:lang w:val="en-US" w:eastAsia="en-US"/>
              </w:rPr>
              <w:t>35,455</w:t>
            </w:r>
          </w:p>
        </w:tc>
        <w:tc>
          <w:tcPr>
            <w:tcW w:w="839" w:type="dxa"/>
            <w:gridSpan w:val="2"/>
            <w:tcBorders>
              <w:top w:val="nil"/>
              <w:left w:val="nil"/>
              <w:bottom w:val="nil"/>
              <w:right w:val="nil"/>
            </w:tcBorders>
            <w:shd w:val="clear" w:color="auto" w:fill="auto"/>
            <w:noWrap/>
            <w:hideMark/>
          </w:tcPr>
          <w:p w14:paraId="659DC6F8"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99,656</w:t>
            </w:r>
          </w:p>
        </w:tc>
        <w:tc>
          <w:tcPr>
            <w:tcW w:w="1073" w:type="dxa"/>
            <w:tcBorders>
              <w:top w:val="nil"/>
              <w:left w:val="nil"/>
              <w:bottom w:val="nil"/>
              <w:right w:val="nil"/>
            </w:tcBorders>
            <w:shd w:val="clear" w:color="auto" w:fill="auto"/>
            <w:noWrap/>
            <w:hideMark/>
          </w:tcPr>
          <w:p w14:paraId="70E713BA"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4.2</w:t>
            </w:r>
          </w:p>
        </w:tc>
        <w:tc>
          <w:tcPr>
            <w:tcW w:w="567" w:type="dxa"/>
            <w:tcBorders>
              <w:top w:val="nil"/>
              <w:left w:val="nil"/>
              <w:bottom w:val="nil"/>
              <w:right w:val="nil"/>
            </w:tcBorders>
            <w:shd w:val="clear" w:color="auto" w:fill="auto"/>
            <w:noWrap/>
            <w:hideMark/>
          </w:tcPr>
          <w:p w14:paraId="6BECAC2C"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0.00</w:t>
            </w:r>
          </w:p>
        </w:tc>
        <w:tc>
          <w:tcPr>
            <w:tcW w:w="575" w:type="dxa"/>
            <w:tcBorders>
              <w:top w:val="nil"/>
              <w:left w:val="nil"/>
              <w:bottom w:val="nil"/>
              <w:right w:val="nil"/>
            </w:tcBorders>
            <w:shd w:val="clear" w:color="auto" w:fill="auto"/>
            <w:noWrap/>
            <w:hideMark/>
          </w:tcPr>
          <w:p w14:paraId="7195F982"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0.8%</w:t>
            </w:r>
          </w:p>
        </w:tc>
        <w:tc>
          <w:tcPr>
            <w:tcW w:w="575" w:type="dxa"/>
            <w:tcBorders>
              <w:top w:val="nil"/>
              <w:left w:val="nil"/>
              <w:bottom w:val="nil"/>
              <w:right w:val="nil"/>
            </w:tcBorders>
            <w:shd w:val="clear" w:color="auto" w:fill="auto"/>
            <w:noWrap/>
            <w:hideMark/>
          </w:tcPr>
          <w:p w14:paraId="2191F53A"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1.2%</w:t>
            </w:r>
          </w:p>
        </w:tc>
        <w:tc>
          <w:tcPr>
            <w:tcW w:w="851" w:type="dxa"/>
            <w:tcBorders>
              <w:top w:val="nil"/>
              <w:left w:val="nil"/>
              <w:bottom w:val="nil"/>
              <w:right w:val="nil"/>
            </w:tcBorders>
            <w:shd w:val="clear" w:color="auto" w:fill="auto"/>
            <w:noWrap/>
            <w:hideMark/>
          </w:tcPr>
          <w:p w14:paraId="7779756E"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20,565</w:t>
            </w:r>
          </w:p>
        </w:tc>
        <w:tc>
          <w:tcPr>
            <w:tcW w:w="708" w:type="dxa"/>
            <w:tcBorders>
              <w:top w:val="nil"/>
              <w:left w:val="nil"/>
              <w:bottom w:val="nil"/>
              <w:right w:val="nil"/>
            </w:tcBorders>
            <w:shd w:val="clear" w:color="auto" w:fill="auto"/>
            <w:noWrap/>
            <w:hideMark/>
          </w:tcPr>
          <w:p w14:paraId="099AE21E"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25 </w:t>
            </w:r>
          </w:p>
        </w:tc>
        <w:tc>
          <w:tcPr>
            <w:tcW w:w="851" w:type="dxa"/>
            <w:tcBorders>
              <w:top w:val="nil"/>
              <w:left w:val="nil"/>
              <w:bottom w:val="nil"/>
              <w:right w:val="nil"/>
            </w:tcBorders>
            <w:shd w:val="clear" w:color="auto" w:fill="auto"/>
            <w:noWrap/>
            <w:hideMark/>
          </w:tcPr>
          <w:p w14:paraId="15E154C5"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18,616 </w:t>
            </w:r>
          </w:p>
        </w:tc>
        <w:tc>
          <w:tcPr>
            <w:tcW w:w="662" w:type="dxa"/>
            <w:tcBorders>
              <w:top w:val="nil"/>
              <w:left w:val="nil"/>
              <w:bottom w:val="nil"/>
              <w:right w:val="nil"/>
            </w:tcBorders>
            <w:shd w:val="clear" w:color="auto" w:fill="auto"/>
            <w:noWrap/>
            <w:hideMark/>
          </w:tcPr>
          <w:p w14:paraId="007DC211"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1.10</w:t>
            </w:r>
          </w:p>
        </w:tc>
      </w:tr>
      <w:tr w:rsidR="00385317" w:rsidRPr="00B95C7E" w14:paraId="6ACEF838" w14:textId="77777777" w:rsidTr="00A23161">
        <w:trPr>
          <w:trHeight w:val="243"/>
        </w:trPr>
        <w:tc>
          <w:tcPr>
            <w:tcW w:w="709" w:type="dxa"/>
            <w:tcBorders>
              <w:top w:val="nil"/>
              <w:left w:val="nil"/>
              <w:bottom w:val="nil"/>
              <w:right w:val="nil"/>
            </w:tcBorders>
            <w:shd w:val="clear" w:color="auto" w:fill="auto"/>
            <w:noWrap/>
            <w:hideMark/>
          </w:tcPr>
          <w:p w14:paraId="2BC1D030"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Yes</w:t>
            </w:r>
          </w:p>
        </w:tc>
        <w:tc>
          <w:tcPr>
            <w:tcW w:w="709" w:type="dxa"/>
            <w:tcBorders>
              <w:top w:val="nil"/>
              <w:left w:val="nil"/>
              <w:bottom w:val="nil"/>
              <w:right w:val="nil"/>
            </w:tcBorders>
            <w:shd w:val="clear" w:color="auto" w:fill="auto"/>
            <w:noWrap/>
            <w:hideMark/>
          </w:tcPr>
          <w:p w14:paraId="455C8DF0"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12</w:t>
            </w:r>
          </w:p>
        </w:tc>
        <w:tc>
          <w:tcPr>
            <w:tcW w:w="709" w:type="dxa"/>
            <w:tcBorders>
              <w:top w:val="nil"/>
              <w:left w:val="nil"/>
              <w:bottom w:val="nil"/>
              <w:right w:val="nil"/>
            </w:tcBorders>
            <w:shd w:val="clear" w:color="auto" w:fill="auto"/>
            <w:noWrap/>
            <w:hideMark/>
          </w:tcPr>
          <w:p w14:paraId="0ABE1B7D" w14:textId="77777777"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J06B</w:t>
            </w:r>
          </w:p>
        </w:tc>
        <w:tc>
          <w:tcPr>
            <w:tcW w:w="3827" w:type="dxa"/>
            <w:gridSpan w:val="2"/>
            <w:tcBorders>
              <w:top w:val="nil"/>
              <w:left w:val="nil"/>
              <w:bottom w:val="nil"/>
              <w:right w:val="nil"/>
            </w:tcBorders>
            <w:shd w:val="clear" w:color="auto" w:fill="auto"/>
            <w:noWrap/>
            <w:hideMark/>
          </w:tcPr>
          <w:p w14:paraId="3A314215" w14:textId="77777777"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Major Procedures for Breast Disorders, Minor Complexity</w:t>
            </w:r>
          </w:p>
        </w:tc>
        <w:tc>
          <w:tcPr>
            <w:tcW w:w="567" w:type="dxa"/>
            <w:gridSpan w:val="2"/>
            <w:tcBorders>
              <w:top w:val="nil"/>
              <w:left w:val="nil"/>
              <w:bottom w:val="nil"/>
              <w:right w:val="nil"/>
            </w:tcBorders>
            <w:shd w:val="clear" w:color="auto" w:fill="auto"/>
            <w:noWrap/>
            <w:hideMark/>
          </w:tcPr>
          <w:p w14:paraId="0EC0F7E6"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1.45</w:t>
            </w:r>
          </w:p>
        </w:tc>
        <w:tc>
          <w:tcPr>
            <w:tcW w:w="851" w:type="dxa"/>
            <w:gridSpan w:val="2"/>
            <w:tcBorders>
              <w:top w:val="nil"/>
              <w:left w:val="nil"/>
              <w:bottom w:val="nil"/>
              <w:right w:val="nil"/>
            </w:tcBorders>
            <w:shd w:val="clear" w:color="auto" w:fill="auto"/>
            <w:noWrap/>
            <w:hideMark/>
          </w:tcPr>
          <w:p w14:paraId="1BF2E4FC"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24,061</w:t>
            </w:r>
          </w:p>
        </w:tc>
        <w:tc>
          <w:tcPr>
            <w:tcW w:w="781" w:type="dxa"/>
            <w:tcBorders>
              <w:top w:val="nil"/>
              <w:left w:val="nil"/>
              <w:bottom w:val="nil"/>
              <w:right w:val="nil"/>
            </w:tcBorders>
            <w:shd w:val="clear" w:color="auto" w:fill="auto"/>
            <w:noWrap/>
            <w:hideMark/>
          </w:tcPr>
          <w:p w14:paraId="50475463" w14:textId="26030B94" w:rsidR="00385317" w:rsidRPr="00385317" w:rsidRDefault="00385317" w:rsidP="00385317">
            <w:pPr>
              <w:jc w:val="right"/>
              <w:rPr>
                <w:rFonts w:asciiTheme="minorHAnsi" w:hAnsiTheme="minorHAnsi" w:cstheme="minorHAnsi"/>
                <w:b/>
                <w:sz w:val="14"/>
                <w:szCs w:val="14"/>
                <w:lang w:val="en-US" w:eastAsia="en-US"/>
              </w:rPr>
            </w:pPr>
            <w:r w:rsidRPr="00385317">
              <w:rPr>
                <w:rFonts w:asciiTheme="minorHAnsi" w:hAnsiTheme="minorHAnsi" w:cstheme="minorHAnsi"/>
                <w:b/>
                <w:sz w:val="14"/>
                <w:szCs w:val="14"/>
                <w:lang w:val="en-US" w:eastAsia="en-US"/>
              </w:rPr>
              <w:t>34,888</w:t>
            </w:r>
          </w:p>
        </w:tc>
        <w:tc>
          <w:tcPr>
            <w:tcW w:w="839" w:type="dxa"/>
            <w:gridSpan w:val="2"/>
            <w:tcBorders>
              <w:top w:val="nil"/>
              <w:left w:val="nil"/>
              <w:bottom w:val="nil"/>
              <w:right w:val="nil"/>
            </w:tcBorders>
            <w:shd w:val="clear" w:color="auto" w:fill="auto"/>
            <w:noWrap/>
            <w:hideMark/>
          </w:tcPr>
          <w:p w14:paraId="5B7D46AF"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48,875</w:t>
            </w:r>
          </w:p>
        </w:tc>
        <w:tc>
          <w:tcPr>
            <w:tcW w:w="1073" w:type="dxa"/>
            <w:tcBorders>
              <w:top w:val="nil"/>
              <w:left w:val="nil"/>
              <w:bottom w:val="nil"/>
              <w:right w:val="nil"/>
            </w:tcBorders>
            <w:shd w:val="clear" w:color="auto" w:fill="auto"/>
            <w:noWrap/>
            <w:hideMark/>
          </w:tcPr>
          <w:p w14:paraId="700D96EA"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2.0</w:t>
            </w:r>
          </w:p>
        </w:tc>
        <w:tc>
          <w:tcPr>
            <w:tcW w:w="567" w:type="dxa"/>
            <w:tcBorders>
              <w:top w:val="nil"/>
              <w:left w:val="nil"/>
              <w:bottom w:val="nil"/>
              <w:right w:val="nil"/>
            </w:tcBorders>
            <w:shd w:val="clear" w:color="auto" w:fill="auto"/>
            <w:noWrap/>
            <w:hideMark/>
          </w:tcPr>
          <w:p w14:paraId="54638C10"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0.01</w:t>
            </w:r>
          </w:p>
        </w:tc>
        <w:tc>
          <w:tcPr>
            <w:tcW w:w="575" w:type="dxa"/>
            <w:tcBorders>
              <w:top w:val="nil"/>
              <w:left w:val="nil"/>
              <w:bottom w:val="nil"/>
              <w:right w:val="nil"/>
            </w:tcBorders>
            <w:shd w:val="clear" w:color="auto" w:fill="auto"/>
            <w:noWrap/>
            <w:hideMark/>
          </w:tcPr>
          <w:p w14:paraId="0A0121CD"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0.8%</w:t>
            </w:r>
          </w:p>
        </w:tc>
        <w:tc>
          <w:tcPr>
            <w:tcW w:w="575" w:type="dxa"/>
            <w:tcBorders>
              <w:top w:val="nil"/>
              <w:left w:val="nil"/>
              <w:bottom w:val="nil"/>
              <w:right w:val="nil"/>
            </w:tcBorders>
            <w:shd w:val="clear" w:color="auto" w:fill="auto"/>
            <w:noWrap/>
            <w:hideMark/>
          </w:tcPr>
          <w:p w14:paraId="687A5CBC"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1.1%</w:t>
            </w:r>
          </w:p>
        </w:tc>
        <w:tc>
          <w:tcPr>
            <w:tcW w:w="851" w:type="dxa"/>
            <w:tcBorders>
              <w:top w:val="nil"/>
              <w:left w:val="nil"/>
              <w:bottom w:val="nil"/>
              <w:right w:val="nil"/>
            </w:tcBorders>
            <w:shd w:val="clear" w:color="auto" w:fill="auto"/>
            <w:noWrap/>
            <w:hideMark/>
          </w:tcPr>
          <w:p w14:paraId="39447908"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29,363</w:t>
            </w:r>
          </w:p>
        </w:tc>
        <w:tc>
          <w:tcPr>
            <w:tcW w:w="708" w:type="dxa"/>
            <w:tcBorders>
              <w:top w:val="nil"/>
              <w:left w:val="nil"/>
              <w:bottom w:val="nil"/>
              <w:right w:val="nil"/>
            </w:tcBorders>
            <w:shd w:val="clear" w:color="auto" w:fill="auto"/>
            <w:noWrap/>
            <w:hideMark/>
          </w:tcPr>
          <w:p w14:paraId="12E3EE7E"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15 </w:t>
            </w:r>
          </w:p>
        </w:tc>
        <w:tc>
          <w:tcPr>
            <w:tcW w:w="851" w:type="dxa"/>
            <w:tcBorders>
              <w:top w:val="nil"/>
              <w:left w:val="nil"/>
              <w:bottom w:val="nil"/>
              <w:right w:val="nil"/>
            </w:tcBorders>
            <w:shd w:val="clear" w:color="auto" w:fill="auto"/>
            <w:noWrap/>
            <w:hideMark/>
          </w:tcPr>
          <w:p w14:paraId="4D410F4B"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20,442 </w:t>
            </w:r>
          </w:p>
        </w:tc>
        <w:tc>
          <w:tcPr>
            <w:tcW w:w="662" w:type="dxa"/>
            <w:tcBorders>
              <w:top w:val="nil"/>
              <w:left w:val="nil"/>
              <w:bottom w:val="nil"/>
              <w:right w:val="nil"/>
            </w:tcBorders>
            <w:shd w:val="clear" w:color="auto" w:fill="auto"/>
            <w:noWrap/>
            <w:hideMark/>
          </w:tcPr>
          <w:p w14:paraId="53F4A0F0"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1.44</w:t>
            </w:r>
          </w:p>
        </w:tc>
      </w:tr>
      <w:tr w:rsidR="00385317" w:rsidRPr="00B95C7E" w14:paraId="224EC3EC" w14:textId="77777777" w:rsidTr="00A23161">
        <w:trPr>
          <w:trHeight w:val="243"/>
        </w:trPr>
        <w:tc>
          <w:tcPr>
            <w:tcW w:w="709" w:type="dxa"/>
            <w:tcBorders>
              <w:top w:val="nil"/>
              <w:left w:val="nil"/>
              <w:bottom w:val="nil"/>
              <w:right w:val="nil"/>
            </w:tcBorders>
            <w:shd w:val="clear" w:color="auto" w:fill="auto"/>
            <w:noWrap/>
            <w:hideMark/>
          </w:tcPr>
          <w:p w14:paraId="21155ECD"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Yes</w:t>
            </w:r>
          </w:p>
        </w:tc>
        <w:tc>
          <w:tcPr>
            <w:tcW w:w="709" w:type="dxa"/>
            <w:tcBorders>
              <w:top w:val="nil"/>
              <w:left w:val="nil"/>
              <w:bottom w:val="nil"/>
              <w:right w:val="nil"/>
            </w:tcBorders>
            <w:shd w:val="clear" w:color="auto" w:fill="auto"/>
            <w:noWrap/>
            <w:hideMark/>
          </w:tcPr>
          <w:p w14:paraId="4BE2AC06"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13</w:t>
            </w:r>
          </w:p>
        </w:tc>
        <w:tc>
          <w:tcPr>
            <w:tcW w:w="709" w:type="dxa"/>
            <w:tcBorders>
              <w:top w:val="nil"/>
              <w:left w:val="nil"/>
              <w:bottom w:val="nil"/>
              <w:right w:val="nil"/>
            </w:tcBorders>
            <w:shd w:val="clear" w:color="auto" w:fill="auto"/>
            <w:noWrap/>
            <w:hideMark/>
          </w:tcPr>
          <w:p w14:paraId="51EE3BF1" w14:textId="77777777"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F12B</w:t>
            </w:r>
          </w:p>
        </w:tc>
        <w:tc>
          <w:tcPr>
            <w:tcW w:w="3827" w:type="dxa"/>
            <w:gridSpan w:val="2"/>
            <w:tcBorders>
              <w:top w:val="nil"/>
              <w:left w:val="nil"/>
              <w:bottom w:val="nil"/>
              <w:right w:val="nil"/>
            </w:tcBorders>
            <w:shd w:val="clear" w:color="auto" w:fill="auto"/>
            <w:noWrap/>
            <w:hideMark/>
          </w:tcPr>
          <w:p w14:paraId="3B7E7D9E" w14:textId="77777777"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Implantation and Replacement of Pacemaker, Total System, Minor Complexity</w:t>
            </w:r>
          </w:p>
        </w:tc>
        <w:tc>
          <w:tcPr>
            <w:tcW w:w="567" w:type="dxa"/>
            <w:gridSpan w:val="2"/>
            <w:tcBorders>
              <w:top w:val="nil"/>
              <w:left w:val="nil"/>
              <w:bottom w:val="nil"/>
              <w:right w:val="nil"/>
            </w:tcBorders>
            <w:shd w:val="clear" w:color="auto" w:fill="auto"/>
            <w:noWrap/>
            <w:hideMark/>
          </w:tcPr>
          <w:p w14:paraId="7EA5F3E8"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5.23</w:t>
            </w:r>
          </w:p>
        </w:tc>
        <w:tc>
          <w:tcPr>
            <w:tcW w:w="851" w:type="dxa"/>
            <w:gridSpan w:val="2"/>
            <w:tcBorders>
              <w:top w:val="nil"/>
              <w:left w:val="nil"/>
              <w:bottom w:val="nil"/>
              <w:right w:val="nil"/>
            </w:tcBorders>
            <w:shd w:val="clear" w:color="auto" w:fill="auto"/>
            <w:noWrap/>
            <w:hideMark/>
          </w:tcPr>
          <w:p w14:paraId="3F8AFF7F"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6,582</w:t>
            </w:r>
          </w:p>
        </w:tc>
        <w:tc>
          <w:tcPr>
            <w:tcW w:w="781" w:type="dxa"/>
            <w:tcBorders>
              <w:top w:val="nil"/>
              <w:left w:val="nil"/>
              <w:bottom w:val="nil"/>
              <w:right w:val="nil"/>
            </w:tcBorders>
            <w:shd w:val="clear" w:color="auto" w:fill="auto"/>
            <w:noWrap/>
            <w:hideMark/>
          </w:tcPr>
          <w:p w14:paraId="52787A7C" w14:textId="5DE0015C" w:rsidR="00385317" w:rsidRPr="00385317" w:rsidRDefault="00385317" w:rsidP="00385317">
            <w:pPr>
              <w:jc w:val="right"/>
              <w:rPr>
                <w:rFonts w:asciiTheme="minorHAnsi" w:hAnsiTheme="minorHAnsi" w:cstheme="minorHAnsi"/>
                <w:b/>
                <w:sz w:val="14"/>
                <w:szCs w:val="14"/>
                <w:lang w:val="en-US" w:eastAsia="en-US"/>
              </w:rPr>
            </w:pPr>
            <w:r w:rsidRPr="00385317">
              <w:rPr>
                <w:rFonts w:asciiTheme="minorHAnsi" w:hAnsiTheme="minorHAnsi" w:cstheme="minorHAnsi"/>
                <w:b/>
                <w:sz w:val="14"/>
                <w:szCs w:val="14"/>
                <w:lang w:val="en-US" w:eastAsia="en-US"/>
              </w:rPr>
              <w:t>34,424</w:t>
            </w:r>
          </w:p>
        </w:tc>
        <w:tc>
          <w:tcPr>
            <w:tcW w:w="839" w:type="dxa"/>
            <w:gridSpan w:val="2"/>
            <w:tcBorders>
              <w:top w:val="nil"/>
              <w:left w:val="nil"/>
              <w:bottom w:val="nil"/>
              <w:right w:val="nil"/>
            </w:tcBorders>
            <w:shd w:val="clear" w:color="auto" w:fill="auto"/>
            <w:noWrap/>
            <w:hideMark/>
          </w:tcPr>
          <w:p w14:paraId="72FFCE98"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15,932</w:t>
            </w:r>
          </w:p>
        </w:tc>
        <w:tc>
          <w:tcPr>
            <w:tcW w:w="1073" w:type="dxa"/>
            <w:tcBorders>
              <w:top w:val="nil"/>
              <w:left w:val="nil"/>
              <w:bottom w:val="nil"/>
              <w:right w:val="nil"/>
            </w:tcBorders>
            <w:shd w:val="clear" w:color="auto" w:fill="auto"/>
            <w:noWrap/>
            <w:hideMark/>
          </w:tcPr>
          <w:p w14:paraId="5AA59E78"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2.4</w:t>
            </w:r>
          </w:p>
        </w:tc>
        <w:tc>
          <w:tcPr>
            <w:tcW w:w="567" w:type="dxa"/>
            <w:tcBorders>
              <w:top w:val="nil"/>
              <w:left w:val="nil"/>
              <w:bottom w:val="nil"/>
              <w:right w:val="nil"/>
            </w:tcBorders>
            <w:shd w:val="clear" w:color="auto" w:fill="auto"/>
            <w:noWrap/>
            <w:hideMark/>
          </w:tcPr>
          <w:p w14:paraId="1EBD482C"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0.03</w:t>
            </w:r>
          </w:p>
        </w:tc>
        <w:tc>
          <w:tcPr>
            <w:tcW w:w="575" w:type="dxa"/>
            <w:tcBorders>
              <w:top w:val="nil"/>
              <w:left w:val="nil"/>
              <w:bottom w:val="nil"/>
              <w:right w:val="nil"/>
            </w:tcBorders>
            <w:shd w:val="clear" w:color="auto" w:fill="auto"/>
            <w:noWrap/>
            <w:hideMark/>
          </w:tcPr>
          <w:p w14:paraId="5E868D02"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0.2%</w:t>
            </w:r>
          </w:p>
        </w:tc>
        <w:tc>
          <w:tcPr>
            <w:tcW w:w="575" w:type="dxa"/>
            <w:tcBorders>
              <w:top w:val="nil"/>
              <w:left w:val="nil"/>
              <w:bottom w:val="nil"/>
              <w:right w:val="nil"/>
            </w:tcBorders>
            <w:shd w:val="clear" w:color="auto" w:fill="auto"/>
            <w:noWrap/>
            <w:hideMark/>
          </w:tcPr>
          <w:p w14:paraId="6ADC7B70"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1.1%</w:t>
            </w:r>
          </w:p>
        </w:tc>
        <w:tc>
          <w:tcPr>
            <w:tcW w:w="851" w:type="dxa"/>
            <w:tcBorders>
              <w:top w:val="nil"/>
              <w:left w:val="nil"/>
              <w:bottom w:val="nil"/>
              <w:right w:val="nil"/>
            </w:tcBorders>
            <w:shd w:val="clear" w:color="auto" w:fill="auto"/>
            <w:noWrap/>
            <w:hideMark/>
          </w:tcPr>
          <w:p w14:paraId="27785F3E"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41,952</w:t>
            </w:r>
          </w:p>
        </w:tc>
        <w:tc>
          <w:tcPr>
            <w:tcW w:w="708" w:type="dxa"/>
            <w:tcBorders>
              <w:top w:val="nil"/>
              <w:left w:val="nil"/>
              <w:bottom w:val="nil"/>
              <w:right w:val="nil"/>
            </w:tcBorders>
            <w:shd w:val="clear" w:color="auto" w:fill="auto"/>
            <w:noWrap/>
            <w:hideMark/>
          </w:tcPr>
          <w:p w14:paraId="4FEA8233"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7 </w:t>
            </w:r>
          </w:p>
        </w:tc>
        <w:tc>
          <w:tcPr>
            <w:tcW w:w="851" w:type="dxa"/>
            <w:tcBorders>
              <w:top w:val="nil"/>
              <w:left w:val="nil"/>
              <w:bottom w:val="nil"/>
              <w:right w:val="nil"/>
            </w:tcBorders>
            <w:shd w:val="clear" w:color="auto" w:fill="auto"/>
            <w:noWrap/>
            <w:hideMark/>
          </w:tcPr>
          <w:p w14:paraId="7291AC9A"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6,225 </w:t>
            </w:r>
          </w:p>
        </w:tc>
        <w:tc>
          <w:tcPr>
            <w:tcW w:w="662" w:type="dxa"/>
            <w:tcBorders>
              <w:top w:val="nil"/>
              <w:left w:val="nil"/>
              <w:bottom w:val="nil"/>
              <w:right w:val="nil"/>
            </w:tcBorders>
            <w:shd w:val="clear" w:color="auto" w:fill="auto"/>
            <w:noWrap/>
            <w:hideMark/>
          </w:tcPr>
          <w:p w14:paraId="59977420"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6.74</w:t>
            </w:r>
          </w:p>
        </w:tc>
      </w:tr>
      <w:tr w:rsidR="00385317" w:rsidRPr="00B95C7E" w14:paraId="752F8780" w14:textId="77777777" w:rsidTr="00A23161">
        <w:trPr>
          <w:trHeight w:val="243"/>
        </w:trPr>
        <w:tc>
          <w:tcPr>
            <w:tcW w:w="709" w:type="dxa"/>
            <w:tcBorders>
              <w:top w:val="nil"/>
              <w:left w:val="nil"/>
              <w:bottom w:val="nil"/>
              <w:right w:val="nil"/>
            </w:tcBorders>
            <w:shd w:val="clear" w:color="auto" w:fill="auto"/>
            <w:noWrap/>
            <w:hideMark/>
          </w:tcPr>
          <w:p w14:paraId="42BEF579"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Yes</w:t>
            </w:r>
          </w:p>
        </w:tc>
        <w:tc>
          <w:tcPr>
            <w:tcW w:w="709" w:type="dxa"/>
            <w:tcBorders>
              <w:top w:val="nil"/>
              <w:left w:val="nil"/>
              <w:bottom w:val="nil"/>
              <w:right w:val="nil"/>
            </w:tcBorders>
            <w:shd w:val="clear" w:color="auto" w:fill="auto"/>
            <w:noWrap/>
            <w:hideMark/>
          </w:tcPr>
          <w:p w14:paraId="32DBFA66"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14</w:t>
            </w:r>
          </w:p>
        </w:tc>
        <w:tc>
          <w:tcPr>
            <w:tcW w:w="709" w:type="dxa"/>
            <w:tcBorders>
              <w:top w:val="nil"/>
              <w:left w:val="nil"/>
              <w:bottom w:val="nil"/>
              <w:right w:val="nil"/>
            </w:tcBorders>
            <w:shd w:val="clear" w:color="auto" w:fill="auto"/>
            <w:noWrap/>
            <w:hideMark/>
          </w:tcPr>
          <w:p w14:paraId="3C21F3EC" w14:textId="77777777"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I10B</w:t>
            </w:r>
          </w:p>
        </w:tc>
        <w:tc>
          <w:tcPr>
            <w:tcW w:w="3827" w:type="dxa"/>
            <w:gridSpan w:val="2"/>
            <w:tcBorders>
              <w:top w:val="nil"/>
              <w:left w:val="nil"/>
              <w:bottom w:val="nil"/>
              <w:right w:val="nil"/>
            </w:tcBorders>
            <w:shd w:val="clear" w:color="auto" w:fill="auto"/>
            <w:noWrap/>
            <w:hideMark/>
          </w:tcPr>
          <w:p w14:paraId="7D97688B" w14:textId="7C7A2D47"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Other Back and Neck Procedures, Minor Complexity</w:t>
            </w:r>
          </w:p>
        </w:tc>
        <w:tc>
          <w:tcPr>
            <w:tcW w:w="567" w:type="dxa"/>
            <w:gridSpan w:val="2"/>
            <w:tcBorders>
              <w:top w:val="nil"/>
              <w:left w:val="nil"/>
              <w:bottom w:val="nil"/>
              <w:right w:val="nil"/>
            </w:tcBorders>
            <w:shd w:val="clear" w:color="auto" w:fill="auto"/>
            <w:noWrap/>
            <w:hideMark/>
          </w:tcPr>
          <w:p w14:paraId="34928519"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1.79</w:t>
            </w:r>
          </w:p>
        </w:tc>
        <w:tc>
          <w:tcPr>
            <w:tcW w:w="851" w:type="dxa"/>
            <w:gridSpan w:val="2"/>
            <w:tcBorders>
              <w:top w:val="nil"/>
              <w:left w:val="nil"/>
              <w:bottom w:val="nil"/>
              <w:right w:val="nil"/>
            </w:tcBorders>
            <w:shd w:val="clear" w:color="auto" w:fill="auto"/>
            <w:noWrap/>
            <w:hideMark/>
          </w:tcPr>
          <w:p w14:paraId="7408D96F"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18,981</w:t>
            </w:r>
          </w:p>
        </w:tc>
        <w:tc>
          <w:tcPr>
            <w:tcW w:w="781" w:type="dxa"/>
            <w:tcBorders>
              <w:top w:val="nil"/>
              <w:left w:val="nil"/>
              <w:bottom w:val="nil"/>
              <w:right w:val="nil"/>
            </w:tcBorders>
            <w:shd w:val="clear" w:color="auto" w:fill="auto"/>
            <w:noWrap/>
            <w:hideMark/>
          </w:tcPr>
          <w:p w14:paraId="128A70DC" w14:textId="75A10308" w:rsidR="00385317" w:rsidRPr="00385317" w:rsidRDefault="00385317" w:rsidP="00385317">
            <w:pPr>
              <w:jc w:val="right"/>
              <w:rPr>
                <w:rFonts w:asciiTheme="minorHAnsi" w:hAnsiTheme="minorHAnsi" w:cstheme="minorHAnsi"/>
                <w:b/>
                <w:sz w:val="14"/>
                <w:szCs w:val="14"/>
                <w:lang w:val="en-US" w:eastAsia="en-US"/>
              </w:rPr>
            </w:pPr>
            <w:r w:rsidRPr="00385317">
              <w:rPr>
                <w:rFonts w:asciiTheme="minorHAnsi" w:hAnsiTheme="minorHAnsi" w:cstheme="minorHAnsi"/>
                <w:b/>
                <w:sz w:val="14"/>
                <w:szCs w:val="14"/>
                <w:lang w:val="en-US" w:eastAsia="en-US"/>
              </w:rPr>
              <w:t>33,976</w:t>
            </w:r>
          </w:p>
        </w:tc>
        <w:tc>
          <w:tcPr>
            <w:tcW w:w="839" w:type="dxa"/>
            <w:gridSpan w:val="2"/>
            <w:tcBorders>
              <w:top w:val="nil"/>
              <w:left w:val="nil"/>
              <w:bottom w:val="nil"/>
              <w:right w:val="nil"/>
            </w:tcBorders>
            <w:shd w:val="clear" w:color="auto" w:fill="auto"/>
            <w:noWrap/>
            <w:hideMark/>
          </w:tcPr>
          <w:p w14:paraId="6418735F"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62,600</w:t>
            </w:r>
          </w:p>
        </w:tc>
        <w:tc>
          <w:tcPr>
            <w:tcW w:w="1073" w:type="dxa"/>
            <w:tcBorders>
              <w:top w:val="nil"/>
              <w:left w:val="nil"/>
              <w:bottom w:val="nil"/>
              <w:right w:val="nil"/>
            </w:tcBorders>
            <w:shd w:val="clear" w:color="auto" w:fill="auto"/>
            <w:noWrap/>
            <w:hideMark/>
          </w:tcPr>
          <w:p w14:paraId="190F0058"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3.3</w:t>
            </w:r>
          </w:p>
        </w:tc>
        <w:tc>
          <w:tcPr>
            <w:tcW w:w="567" w:type="dxa"/>
            <w:tcBorders>
              <w:top w:val="nil"/>
              <w:left w:val="nil"/>
              <w:bottom w:val="nil"/>
              <w:right w:val="nil"/>
            </w:tcBorders>
            <w:shd w:val="clear" w:color="auto" w:fill="auto"/>
            <w:noWrap/>
            <w:hideMark/>
          </w:tcPr>
          <w:p w14:paraId="6F8CFAF8"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0.01</w:t>
            </w:r>
          </w:p>
        </w:tc>
        <w:tc>
          <w:tcPr>
            <w:tcW w:w="575" w:type="dxa"/>
            <w:tcBorders>
              <w:top w:val="nil"/>
              <w:left w:val="nil"/>
              <w:bottom w:val="nil"/>
              <w:right w:val="nil"/>
            </w:tcBorders>
            <w:shd w:val="clear" w:color="auto" w:fill="auto"/>
            <w:noWrap/>
            <w:hideMark/>
          </w:tcPr>
          <w:p w14:paraId="0E84F57B"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0.6%</w:t>
            </w:r>
          </w:p>
        </w:tc>
        <w:tc>
          <w:tcPr>
            <w:tcW w:w="575" w:type="dxa"/>
            <w:tcBorders>
              <w:top w:val="nil"/>
              <w:left w:val="nil"/>
              <w:bottom w:val="nil"/>
              <w:right w:val="nil"/>
            </w:tcBorders>
            <w:shd w:val="clear" w:color="auto" w:fill="auto"/>
            <w:noWrap/>
            <w:hideMark/>
          </w:tcPr>
          <w:p w14:paraId="1DCA2D0D"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1.1%</w:t>
            </w:r>
          </w:p>
        </w:tc>
        <w:tc>
          <w:tcPr>
            <w:tcW w:w="851" w:type="dxa"/>
            <w:tcBorders>
              <w:top w:val="nil"/>
              <w:left w:val="nil"/>
              <w:bottom w:val="nil"/>
              <w:right w:val="nil"/>
            </w:tcBorders>
            <w:shd w:val="clear" w:color="auto" w:fill="auto"/>
            <w:noWrap/>
            <w:hideMark/>
          </w:tcPr>
          <w:p w14:paraId="702F1C7E"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30,475</w:t>
            </w:r>
          </w:p>
        </w:tc>
        <w:tc>
          <w:tcPr>
            <w:tcW w:w="708" w:type="dxa"/>
            <w:tcBorders>
              <w:top w:val="nil"/>
              <w:left w:val="nil"/>
              <w:bottom w:val="nil"/>
              <w:right w:val="nil"/>
            </w:tcBorders>
            <w:shd w:val="clear" w:color="auto" w:fill="auto"/>
            <w:noWrap/>
            <w:hideMark/>
          </w:tcPr>
          <w:p w14:paraId="5A6506A2"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14 </w:t>
            </w:r>
          </w:p>
        </w:tc>
        <w:tc>
          <w:tcPr>
            <w:tcW w:w="851" w:type="dxa"/>
            <w:tcBorders>
              <w:top w:val="nil"/>
              <w:left w:val="nil"/>
              <w:bottom w:val="nil"/>
              <w:right w:val="nil"/>
            </w:tcBorders>
            <w:shd w:val="clear" w:color="auto" w:fill="auto"/>
            <w:noWrap/>
            <w:hideMark/>
          </w:tcPr>
          <w:p w14:paraId="70BC4E3D"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15,808 </w:t>
            </w:r>
          </w:p>
        </w:tc>
        <w:tc>
          <w:tcPr>
            <w:tcW w:w="662" w:type="dxa"/>
            <w:tcBorders>
              <w:top w:val="nil"/>
              <w:left w:val="nil"/>
              <w:bottom w:val="nil"/>
              <w:right w:val="nil"/>
            </w:tcBorders>
            <w:shd w:val="clear" w:color="auto" w:fill="auto"/>
            <w:noWrap/>
            <w:hideMark/>
          </w:tcPr>
          <w:p w14:paraId="03126EC1"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1.93</w:t>
            </w:r>
          </w:p>
        </w:tc>
      </w:tr>
      <w:tr w:rsidR="00385317" w:rsidRPr="00B95C7E" w14:paraId="38A50C8C" w14:textId="77777777" w:rsidTr="00A23161">
        <w:trPr>
          <w:trHeight w:val="243"/>
        </w:trPr>
        <w:tc>
          <w:tcPr>
            <w:tcW w:w="709" w:type="dxa"/>
            <w:tcBorders>
              <w:top w:val="nil"/>
              <w:left w:val="nil"/>
              <w:bottom w:val="nil"/>
              <w:right w:val="nil"/>
            </w:tcBorders>
            <w:shd w:val="clear" w:color="auto" w:fill="auto"/>
            <w:noWrap/>
            <w:hideMark/>
          </w:tcPr>
          <w:p w14:paraId="3B6E2BD8"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Yes</w:t>
            </w:r>
          </w:p>
        </w:tc>
        <w:tc>
          <w:tcPr>
            <w:tcW w:w="709" w:type="dxa"/>
            <w:tcBorders>
              <w:top w:val="nil"/>
              <w:left w:val="nil"/>
              <w:bottom w:val="nil"/>
              <w:right w:val="nil"/>
            </w:tcBorders>
            <w:shd w:val="clear" w:color="auto" w:fill="auto"/>
            <w:noWrap/>
            <w:hideMark/>
          </w:tcPr>
          <w:p w14:paraId="0C94CF12"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15</w:t>
            </w:r>
          </w:p>
        </w:tc>
        <w:tc>
          <w:tcPr>
            <w:tcW w:w="709" w:type="dxa"/>
            <w:tcBorders>
              <w:top w:val="nil"/>
              <w:left w:val="nil"/>
              <w:bottom w:val="nil"/>
              <w:right w:val="nil"/>
            </w:tcBorders>
            <w:shd w:val="clear" w:color="auto" w:fill="auto"/>
            <w:noWrap/>
            <w:hideMark/>
          </w:tcPr>
          <w:p w14:paraId="43D89199" w14:textId="77777777"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F15B</w:t>
            </w:r>
          </w:p>
        </w:tc>
        <w:tc>
          <w:tcPr>
            <w:tcW w:w="3827" w:type="dxa"/>
            <w:gridSpan w:val="2"/>
            <w:tcBorders>
              <w:top w:val="nil"/>
              <w:left w:val="nil"/>
              <w:bottom w:val="nil"/>
              <w:right w:val="nil"/>
            </w:tcBorders>
            <w:shd w:val="clear" w:color="auto" w:fill="auto"/>
            <w:noWrap/>
            <w:hideMark/>
          </w:tcPr>
          <w:p w14:paraId="66566CED" w14:textId="77777777"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Interventional Coronary Procs, Not </w:t>
            </w:r>
            <w:proofErr w:type="spellStart"/>
            <w:r w:rsidRPr="00B95C7E">
              <w:rPr>
                <w:rFonts w:asciiTheme="minorHAnsi" w:hAnsiTheme="minorHAnsi" w:cstheme="minorHAnsi"/>
                <w:sz w:val="14"/>
                <w:szCs w:val="14"/>
                <w:lang w:val="en-US" w:eastAsia="en-US"/>
              </w:rPr>
              <w:t>Adm</w:t>
            </w:r>
            <w:proofErr w:type="spellEnd"/>
            <w:r w:rsidRPr="00B95C7E">
              <w:rPr>
                <w:rFonts w:asciiTheme="minorHAnsi" w:hAnsiTheme="minorHAnsi" w:cstheme="minorHAnsi"/>
                <w:sz w:val="14"/>
                <w:szCs w:val="14"/>
                <w:lang w:val="en-US" w:eastAsia="en-US"/>
              </w:rPr>
              <w:t xml:space="preserve"> for AMI, W Stent Implant, Minor Comp</w:t>
            </w:r>
          </w:p>
        </w:tc>
        <w:tc>
          <w:tcPr>
            <w:tcW w:w="567" w:type="dxa"/>
            <w:gridSpan w:val="2"/>
            <w:tcBorders>
              <w:top w:val="nil"/>
              <w:left w:val="nil"/>
              <w:bottom w:val="nil"/>
              <w:right w:val="nil"/>
            </w:tcBorders>
            <w:shd w:val="clear" w:color="auto" w:fill="auto"/>
            <w:noWrap/>
            <w:hideMark/>
          </w:tcPr>
          <w:p w14:paraId="1C9DB1D7"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2.91</w:t>
            </w:r>
          </w:p>
        </w:tc>
        <w:tc>
          <w:tcPr>
            <w:tcW w:w="851" w:type="dxa"/>
            <w:gridSpan w:val="2"/>
            <w:tcBorders>
              <w:top w:val="nil"/>
              <w:left w:val="nil"/>
              <w:bottom w:val="nil"/>
              <w:right w:val="nil"/>
            </w:tcBorders>
            <w:shd w:val="clear" w:color="auto" w:fill="auto"/>
            <w:noWrap/>
            <w:hideMark/>
          </w:tcPr>
          <w:p w14:paraId="68BC549A"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10,955</w:t>
            </w:r>
          </w:p>
        </w:tc>
        <w:tc>
          <w:tcPr>
            <w:tcW w:w="781" w:type="dxa"/>
            <w:tcBorders>
              <w:top w:val="nil"/>
              <w:left w:val="nil"/>
              <w:bottom w:val="nil"/>
              <w:right w:val="nil"/>
            </w:tcBorders>
            <w:shd w:val="clear" w:color="auto" w:fill="auto"/>
            <w:noWrap/>
            <w:hideMark/>
          </w:tcPr>
          <w:p w14:paraId="1C068D6F" w14:textId="3CFE373A" w:rsidR="00385317" w:rsidRPr="00385317" w:rsidRDefault="00385317" w:rsidP="00385317">
            <w:pPr>
              <w:jc w:val="right"/>
              <w:rPr>
                <w:rFonts w:asciiTheme="minorHAnsi" w:hAnsiTheme="minorHAnsi" w:cstheme="minorHAnsi"/>
                <w:b/>
                <w:sz w:val="14"/>
                <w:szCs w:val="14"/>
                <w:lang w:val="en-US" w:eastAsia="en-US"/>
              </w:rPr>
            </w:pPr>
            <w:r w:rsidRPr="00385317">
              <w:rPr>
                <w:rFonts w:asciiTheme="minorHAnsi" w:hAnsiTheme="minorHAnsi" w:cstheme="minorHAnsi"/>
                <w:b/>
                <w:sz w:val="14"/>
                <w:szCs w:val="14"/>
                <w:lang w:val="en-US" w:eastAsia="en-US"/>
              </w:rPr>
              <w:t>31,879</w:t>
            </w:r>
          </w:p>
        </w:tc>
        <w:tc>
          <w:tcPr>
            <w:tcW w:w="839" w:type="dxa"/>
            <w:gridSpan w:val="2"/>
            <w:tcBorders>
              <w:top w:val="nil"/>
              <w:left w:val="nil"/>
              <w:bottom w:val="nil"/>
              <w:right w:val="nil"/>
            </w:tcBorders>
            <w:shd w:val="clear" w:color="auto" w:fill="auto"/>
            <w:noWrap/>
            <w:hideMark/>
          </w:tcPr>
          <w:p w14:paraId="426CADF8"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19,215</w:t>
            </w:r>
          </w:p>
        </w:tc>
        <w:tc>
          <w:tcPr>
            <w:tcW w:w="1073" w:type="dxa"/>
            <w:tcBorders>
              <w:top w:val="nil"/>
              <w:left w:val="nil"/>
              <w:bottom w:val="nil"/>
              <w:right w:val="nil"/>
            </w:tcBorders>
            <w:shd w:val="clear" w:color="auto" w:fill="auto"/>
            <w:noWrap/>
            <w:hideMark/>
          </w:tcPr>
          <w:p w14:paraId="5E5AEA58"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1.8</w:t>
            </w:r>
          </w:p>
        </w:tc>
        <w:tc>
          <w:tcPr>
            <w:tcW w:w="567" w:type="dxa"/>
            <w:tcBorders>
              <w:top w:val="nil"/>
              <w:left w:val="nil"/>
              <w:bottom w:val="nil"/>
              <w:right w:val="nil"/>
            </w:tcBorders>
            <w:shd w:val="clear" w:color="auto" w:fill="auto"/>
            <w:noWrap/>
            <w:hideMark/>
          </w:tcPr>
          <w:p w14:paraId="60DD1758"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0.02</w:t>
            </w:r>
          </w:p>
        </w:tc>
        <w:tc>
          <w:tcPr>
            <w:tcW w:w="575" w:type="dxa"/>
            <w:tcBorders>
              <w:top w:val="nil"/>
              <w:left w:val="nil"/>
              <w:bottom w:val="nil"/>
              <w:right w:val="nil"/>
            </w:tcBorders>
            <w:shd w:val="clear" w:color="auto" w:fill="auto"/>
            <w:noWrap/>
            <w:hideMark/>
          </w:tcPr>
          <w:p w14:paraId="1CD581F5"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0.4%</w:t>
            </w:r>
          </w:p>
        </w:tc>
        <w:tc>
          <w:tcPr>
            <w:tcW w:w="575" w:type="dxa"/>
            <w:tcBorders>
              <w:top w:val="nil"/>
              <w:left w:val="nil"/>
              <w:bottom w:val="nil"/>
              <w:right w:val="nil"/>
            </w:tcBorders>
            <w:shd w:val="clear" w:color="auto" w:fill="auto"/>
            <w:noWrap/>
            <w:hideMark/>
          </w:tcPr>
          <w:p w14:paraId="45E75890"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1.0%</w:t>
            </w:r>
          </w:p>
        </w:tc>
        <w:tc>
          <w:tcPr>
            <w:tcW w:w="851" w:type="dxa"/>
            <w:tcBorders>
              <w:top w:val="nil"/>
              <w:left w:val="nil"/>
              <w:bottom w:val="nil"/>
              <w:right w:val="nil"/>
            </w:tcBorders>
            <w:shd w:val="clear" w:color="auto" w:fill="auto"/>
            <w:noWrap/>
            <w:hideMark/>
          </w:tcPr>
          <w:p w14:paraId="573D6DDE"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32,014</w:t>
            </w:r>
          </w:p>
        </w:tc>
        <w:tc>
          <w:tcPr>
            <w:tcW w:w="708" w:type="dxa"/>
            <w:tcBorders>
              <w:top w:val="nil"/>
              <w:left w:val="nil"/>
              <w:bottom w:val="nil"/>
              <w:right w:val="nil"/>
            </w:tcBorders>
            <w:shd w:val="clear" w:color="auto" w:fill="auto"/>
            <w:noWrap/>
            <w:hideMark/>
          </w:tcPr>
          <w:p w14:paraId="6AACCA84"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12 </w:t>
            </w:r>
          </w:p>
        </w:tc>
        <w:tc>
          <w:tcPr>
            <w:tcW w:w="851" w:type="dxa"/>
            <w:tcBorders>
              <w:top w:val="nil"/>
              <w:left w:val="nil"/>
              <w:bottom w:val="nil"/>
              <w:right w:val="nil"/>
            </w:tcBorders>
            <w:shd w:val="clear" w:color="auto" w:fill="auto"/>
            <w:noWrap/>
            <w:hideMark/>
          </w:tcPr>
          <w:p w14:paraId="01E2273D"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10,096 </w:t>
            </w:r>
          </w:p>
        </w:tc>
        <w:tc>
          <w:tcPr>
            <w:tcW w:w="662" w:type="dxa"/>
            <w:tcBorders>
              <w:top w:val="nil"/>
              <w:left w:val="nil"/>
              <w:bottom w:val="nil"/>
              <w:right w:val="nil"/>
            </w:tcBorders>
            <w:shd w:val="clear" w:color="auto" w:fill="auto"/>
            <w:noWrap/>
            <w:hideMark/>
          </w:tcPr>
          <w:p w14:paraId="5C07F73F"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3.17</w:t>
            </w:r>
          </w:p>
        </w:tc>
      </w:tr>
      <w:tr w:rsidR="00385317" w:rsidRPr="00B95C7E" w14:paraId="4E8E66BF" w14:textId="77777777" w:rsidTr="00A23161">
        <w:trPr>
          <w:trHeight w:val="243"/>
        </w:trPr>
        <w:tc>
          <w:tcPr>
            <w:tcW w:w="709" w:type="dxa"/>
            <w:tcBorders>
              <w:top w:val="nil"/>
              <w:left w:val="nil"/>
              <w:bottom w:val="nil"/>
              <w:right w:val="nil"/>
            </w:tcBorders>
            <w:shd w:val="clear" w:color="auto" w:fill="auto"/>
            <w:noWrap/>
            <w:hideMark/>
          </w:tcPr>
          <w:p w14:paraId="2EDF2D7A"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Yes</w:t>
            </w:r>
          </w:p>
        </w:tc>
        <w:tc>
          <w:tcPr>
            <w:tcW w:w="709" w:type="dxa"/>
            <w:tcBorders>
              <w:top w:val="nil"/>
              <w:left w:val="nil"/>
              <w:bottom w:val="nil"/>
              <w:right w:val="nil"/>
            </w:tcBorders>
            <w:shd w:val="clear" w:color="auto" w:fill="auto"/>
            <w:noWrap/>
            <w:hideMark/>
          </w:tcPr>
          <w:p w14:paraId="42E07A43"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16</w:t>
            </w:r>
          </w:p>
        </w:tc>
        <w:tc>
          <w:tcPr>
            <w:tcW w:w="709" w:type="dxa"/>
            <w:tcBorders>
              <w:top w:val="nil"/>
              <w:left w:val="nil"/>
              <w:bottom w:val="nil"/>
              <w:right w:val="nil"/>
            </w:tcBorders>
            <w:shd w:val="clear" w:color="auto" w:fill="auto"/>
            <w:noWrap/>
            <w:hideMark/>
          </w:tcPr>
          <w:p w14:paraId="38BF271E" w14:textId="77777777"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G10B</w:t>
            </w:r>
          </w:p>
        </w:tc>
        <w:tc>
          <w:tcPr>
            <w:tcW w:w="3827" w:type="dxa"/>
            <w:gridSpan w:val="2"/>
            <w:tcBorders>
              <w:top w:val="nil"/>
              <w:left w:val="nil"/>
              <w:bottom w:val="nil"/>
              <w:right w:val="nil"/>
            </w:tcBorders>
            <w:shd w:val="clear" w:color="auto" w:fill="auto"/>
            <w:noWrap/>
            <w:hideMark/>
          </w:tcPr>
          <w:p w14:paraId="184C8E61" w14:textId="77777777"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Hernia Procedures, Minor Complexity</w:t>
            </w:r>
          </w:p>
        </w:tc>
        <w:tc>
          <w:tcPr>
            <w:tcW w:w="567" w:type="dxa"/>
            <w:gridSpan w:val="2"/>
            <w:tcBorders>
              <w:top w:val="nil"/>
              <w:left w:val="nil"/>
              <w:bottom w:val="nil"/>
              <w:right w:val="nil"/>
            </w:tcBorders>
            <w:shd w:val="clear" w:color="auto" w:fill="auto"/>
            <w:noWrap/>
            <w:hideMark/>
          </w:tcPr>
          <w:p w14:paraId="4BFEE8F8"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0.86</w:t>
            </w:r>
          </w:p>
        </w:tc>
        <w:tc>
          <w:tcPr>
            <w:tcW w:w="851" w:type="dxa"/>
            <w:gridSpan w:val="2"/>
            <w:tcBorders>
              <w:top w:val="nil"/>
              <w:left w:val="nil"/>
              <w:bottom w:val="nil"/>
              <w:right w:val="nil"/>
            </w:tcBorders>
            <w:shd w:val="clear" w:color="auto" w:fill="auto"/>
            <w:noWrap/>
            <w:hideMark/>
          </w:tcPr>
          <w:p w14:paraId="0D3C41BF"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36,311</w:t>
            </w:r>
          </w:p>
        </w:tc>
        <w:tc>
          <w:tcPr>
            <w:tcW w:w="781" w:type="dxa"/>
            <w:tcBorders>
              <w:top w:val="nil"/>
              <w:left w:val="nil"/>
              <w:bottom w:val="nil"/>
              <w:right w:val="nil"/>
            </w:tcBorders>
            <w:shd w:val="clear" w:color="auto" w:fill="auto"/>
            <w:noWrap/>
            <w:hideMark/>
          </w:tcPr>
          <w:p w14:paraId="5BB2F315" w14:textId="7F998681" w:rsidR="00385317" w:rsidRPr="00385317" w:rsidRDefault="00385317" w:rsidP="00385317">
            <w:pPr>
              <w:jc w:val="right"/>
              <w:rPr>
                <w:rFonts w:asciiTheme="minorHAnsi" w:hAnsiTheme="minorHAnsi" w:cstheme="minorHAnsi"/>
                <w:b/>
                <w:sz w:val="14"/>
                <w:szCs w:val="14"/>
                <w:lang w:val="en-US" w:eastAsia="en-US"/>
              </w:rPr>
            </w:pPr>
            <w:r w:rsidRPr="00385317">
              <w:rPr>
                <w:rFonts w:asciiTheme="minorHAnsi" w:hAnsiTheme="minorHAnsi" w:cstheme="minorHAnsi"/>
                <w:b/>
                <w:sz w:val="14"/>
                <w:szCs w:val="14"/>
                <w:lang w:val="en-US" w:eastAsia="en-US"/>
              </w:rPr>
              <w:t>31,227</w:t>
            </w:r>
          </w:p>
        </w:tc>
        <w:tc>
          <w:tcPr>
            <w:tcW w:w="839" w:type="dxa"/>
            <w:gridSpan w:val="2"/>
            <w:tcBorders>
              <w:top w:val="nil"/>
              <w:left w:val="nil"/>
              <w:bottom w:val="nil"/>
              <w:right w:val="nil"/>
            </w:tcBorders>
            <w:shd w:val="clear" w:color="auto" w:fill="auto"/>
            <w:noWrap/>
            <w:hideMark/>
          </w:tcPr>
          <w:p w14:paraId="7B245D65"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44,514</w:t>
            </w:r>
          </w:p>
        </w:tc>
        <w:tc>
          <w:tcPr>
            <w:tcW w:w="1073" w:type="dxa"/>
            <w:tcBorders>
              <w:top w:val="nil"/>
              <w:left w:val="nil"/>
              <w:bottom w:val="nil"/>
              <w:right w:val="nil"/>
            </w:tcBorders>
            <w:shd w:val="clear" w:color="auto" w:fill="auto"/>
            <w:noWrap/>
            <w:hideMark/>
          </w:tcPr>
          <w:p w14:paraId="3D1FD3B1"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1.2</w:t>
            </w:r>
          </w:p>
        </w:tc>
        <w:tc>
          <w:tcPr>
            <w:tcW w:w="567" w:type="dxa"/>
            <w:tcBorders>
              <w:top w:val="nil"/>
              <w:left w:val="nil"/>
              <w:bottom w:val="nil"/>
              <w:right w:val="nil"/>
            </w:tcBorders>
            <w:shd w:val="clear" w:color="auto" w:fill="auto"/>
            <w:noWrap/>
            <w:hideMark/>
          </w:tcPr>
          <w:p w14:paraId="09090BA4"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0.00</w:t>
            </w:r>
          </w:p>
        </w:tc>
        <w:tc>
          <w:tcPr>
            <w:tcW w:w="575" w:type="dxa"/>
            <w:tcBorders>
              <w:top w:val="nil"/>
              <w:left w:val="nil"/>
              <w:bottom w:val="nil"/>
              <w:right w:val="nil"/>
            </w:tcBorders>
            <w:shd w:val="clear" w:color="auto" w:fill="auto"/>
            <w:noWrap/>
            <w:hideMark/>
          </w:tcPr>
          <w:p w14:paraId="3B1039FE"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1.2%</w:t>
            </w:r>
          </w:p>
        </w:tc>
        <w:tc>
          <w:tcPr>
            <w:tcW w:w="575" w:type="dxa"/>
            <w:tcBorders>
              <w:top w:val="nil"/>
              <w:left w:val="nil"/>
              <w:bottom w:val="nil"/>
              <w:right w:val="nil"/>
            </w:tcBorders>
            <w:shd w:val="clear" w:color="auto" w:fill="auto"/>
            <w:noWrap/>
            <w:hideMark/>
          </w:tcPr>
          <w:p w14:paraId="788D8D93"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1.0%</w:t>
            </w:r>
          </w:p>
        </w:tc>
        <w:tc>
          <w:tcPr>
            <w:tcW w:w="851" w:type="dxa"/>
            <w:tcBorders>
              <w:top w:val="nil"/>
              <w:left w:val="nil"/>
              <w:bottom w:val="nil"/>
              <w:right w:val="nil"/>
            </w:tcBorders>
            <w:shd w:val="clear" w:color="auto" w:fill="auto"/>
            <w:noWrap/>
            <w:hideMark/>
          </w:tcPr>
          <w:p w14:paraId="697D4B78"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32,725</w:t>
            </w:r>
          </w:p>
        </w:tc>
        <w:tc>
          <w:tcPr>
            <w:tcW w:w="708" w:type="dxa"/>
            <w:tcBorders>
              <w:top w:val="nil"/>
              <w:left w:val="nil"/>
              <w:bottom w:val="nil"/>
              <w:right w:val="nil"/>
            </w:tcBorders>
            <w:shd w:val="clear" w:color="auto" w:fill="auto"/>
            <w:noWrap/>
            <w:hideMark/>
          </w:tcPr>
          <w:p w14:paraId="06C5193B"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11 </w:t>
            </w:r>
          </w:p>
        </w:tc>
        <w:tc>
          <w:tcPr>
            <w:tcW w:w="851" w:type="dxa"/>
            <w:tcBorders>
              <w:top w:val="nil"/>
              <w:left w:val="nil"/>
              <w:bottom w:val="nil"/>
              <w:right w:val="nil"/>
            </w:tcBorders>
            <w:shd w:val="clear" w:color="auto" w:fill="auto"/>
            <w:noWrap/>
            <w:hideMark/>
          </w:tcPr>
          <w:p w14:paraId="5265AFB8"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34,317 </w:t>
            </w:r>
          </w:p>
        </w:tc>
        <w:tc>
          <w:tcPr>
            <w:tcW w:w="662" w:type="dxa"/>
            <w:tcBorders>
              <w:top w:val="nil"/>
              <w:left w:val="nil"/>
              <w:bottom w:val="nil"/>
              <w:right w:val="nil"/>
            </w:tcBorders>
            <w:shd w:val="clear" w:color="auto" w:fill="auto"/>
            <w:noWrap/>
            <w:hideMark/>
          </w:tcPr>
          <w:p w14:paraId="22130408"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0.95</w:t>
            </w:r>
          </w:p>
        </w:tc>
      </w:tr>
      <w:tr w:rsidR="00385317" w:rsidRPr="00B95C7E" w14:paraId="3CD2E030" w14:textId="77777777" w:rsidTr="00A23161">
        <w:trPr>
          <w:trHeight w:val="243"/>
        </w:trPr>
        <w:tc>
          <w:tcPr>
            <w:tcW w:w="709" w:type="dxa"/>
            <w:tcBorders>
              <w:top w:val="nil"/>
              <w:left w:val="nil"/>
              <w:bottom w:val="nil"/>
              <w:right w:val="nil"/>
            </w:tcBorders>
            <w:shd w:val="clear" w:color="auto" w:fill="auto"/>
            <w:noWrap/>
            <w:hideMark/>
          </w:tcPr>
          <w:p w14:paraId="48087DEF"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No</w:t>
            </w:r>
          </w:p>
        </w:tc>
        <w:tc>
          <w:tcPr>
            <w:tcW w:w="709" w:type="dxa"/>
            <w:tcBorders>
              <w:top w:val="nil"/>
              <w:left w:val="nil"/>
              <w:bottom w:val="nil"/>
              <w:right w:val="nil"/>
            </w:tcBorders>
            <w:shd w:val="clear" w:color="auto" w:fill="auto"/>
            <w:noWrap/>
            <w:hideMark/>
          </w:tcPr>
          <w:p w14:paraId="08D41DC8"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17</w:t>
            </w:r>
          </w:p>
        </w:tc>
        <w:tc>
          <w:tcPr>
            <w:tcW w:w="709" w:type="dxa"/>
            <w:tcBorders>
              <w:top w:val="nil"/>
              <w:left w:val="nil"/>
              <w:bottom w:val="nil"/>
              <w:right w:val="nil"/>
            </w:tcBorders>
            <w:shd w:val="clear" w:color="auto" w:fill="auto"/>
            <w:noWrap/>
            <w:hideMark/>
          </w:tcPr>
          <w:p w14:paraId="4C8740F8" w14:textId="77777777"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O01B</w:t>
            </w:r>
          </w:p>
        </w:tc>
        <w:tc>
          <w:tcPr>
            <w:tcW w:w="3827" w:type="dxa"/>
            <w:gridSpan w:val="2"/>
            <w:tcBorders>
              <w:top w:val="nil"/>
              <w:left w:val="nil"/>
              <w:bottom w:val="nil"/>
              <w:right w:val="nil"/>
            </w:tcBorders>
            <w:shd w:val="clear" w:color="auto" w:fill="auto"/>
            <w:noWrap/>
            <w:hideMark/>
          </w:tcPr>
          <w:p w14:paraId="7BD45696" w14:textId="77777777"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Caesarean Delivery, Intermediate Complexity</w:t>
            </w:r>
          </w:p>
        </w:tc>
        <w:tc>
          <w:tcPr>
            <w:tcW w:w="567" w:type="dxa"/>
            <w:gridSpan w:val="2"/>
            <w:tcBorders>
              <w:top w:val="nil"/>
              <w:left w:val="nil"/>
              <w:bottom w:val="nil"/>
              <w:right w:val="nil"/>
            </w:tcBorders>
            <w:shd w:val="clear" w:color="auto" w:fill="auto"/>
            <w:noWrap/>
            <w:hideMark/>
          </w:tcPr>
          <w:p w14:paraId="1C0AB94C"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2.12</w:t>
            </w:r>
          </w:p>
        </w:tc>
        <w:tc>
          <w:tcPr>
            <w:tcW w:w="851" w:type="dxa"/>
            <w:gridSpan w:val="2"/>
            <w:tcBorders>
              <w:top w:val="nil"/>
              <w:left w:val="nil"/>
              <w:bottom w:val="nil"/>
              <w:right w:val="nil"/>
            </w:tcBorders>
            <w:shd w:val="clear" w:color="auto" w:fill="auto"/>
            <w:noWrap/>
            <w:hideMark/>
          </w:tcPr>
          <w:p w14:paraId="62735560"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13,582</w:t>
            </w:r>
          </w:p>
        </w:tc>
        <w:tc>
          <w:tcPr>
            <w:tcW w:w="781" w:type="dxa"/>
            <w:tcBorders>
              <w:top w:val="nil"/>
              <w:left w:val="nil"/>
              <w:bottom w:val="nil"/>
              <w:right w:val="nil"/>
            </w:tcBorders>
            <w:shd w:val="clear" w:color="auto" w:fill="auto"/>
            <w:noWrap/>
            <w:hideMark/>
          </w:tcPr>
          <w:p w14:paraId="7D9F29A0" w14:textId="3FCA0C48" w:rsidR="00385317" w:rsidRPr="00385317" w:rsidRDefault="00385317" w:rsidP="00385317">
            <w:pPr>
              <w:jc w:val="right"/>
              <w:rPr>
                <w:rFonts w:asciiTheme="minorHAnsi" w:hAnsiTheme="minorHAnsi" w:cstheme="minorHAnsi"/>
                <w:b/>
                <w:sz w:val="14"/>
                <w:szCs w:val="14"/>
                <w:lang w:val="en-US" w:eastAsia="en-US"/>
              </w:rPr>
            </w:pPr>
            <w:r w:rsidRPr="00385317">
              <w:rPr>
                <w:rFonts w:asciiTheme="minorHAnsi" w:hAnsiTheme="minorHAnsi" w:cstheme="minorHAnsi"/>
                <w:b/>
                <w:sz w:val="14"/>
                <w:szCs w:val="14"/>
                <w:lang w:val="en-US" w:eastAsia="en-US"/>
              </w:rPr>
              <w:t>28,794</w:t>
            </w:r>
          </w:p>
        </w:tc>
        <w:tc>
          <w:tcPr>
            <w:tcW w:w="839" w:type="dxa"/>
            <w:gridSpan w:val="2"/>
            <w:tcBorders>
              <w:top w:val="nil"/>
              <w:left w:val="nil"/>
              <w:bottom w:val="nil"/>
              <w:right w:val="nil"/>
            </w:tcBorders>
            <w:shd w:val="clear" w:color="auto" w:fill="auto"/>
            <w:noWrap/>
            <w:hideMark/>
          </w:tcPr>
          <w:p w14:paraId="5E0CD297"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75,787</w:t>
            </w:r>
          </w:p>
        </w:tc>
        <w:tc>
          <w:tcPr>
            <w:tcW w:w="1073" w:type="dxa"/>
            <w:tcBorders>
              <w:top w:val="nil"/>
              <w:left w:val="nil"/>
              <w:bottom w:val="nil"/>
              <w:right w:val="nil"/>
            </w:tcBorders>
            <w:shd w:val="clear" w:color="auto" w:fill="auto"/>
            <w:noWrap/>
            <w:hideMark/>
          </w:tcPr>
          <w:p w14:paraId="2CF7C140"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5.6</w:t>
            </w:r>
          </w:p>
        </w:tc>
        <w:tc>
          <w:tcPr>
            <w:tcW w:w="567" w:type="dxa"/>
            <w:tcBorders>
              <w:top w:val="nil"/>
              <w:left w:val="nil"/>
              <w:bottom w:val="nil"/>
              <w:right w:val="nil"/>
            </w:tcBorders>
            <w:shd w:val="clear" w:color="auto" w:fill="auto"/>
            <w:noWrap/>
            <w:hideMark/>
          </w:tcPr>
          <w:p w14:paraId="37BD7849"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0.01</w:t>
            </w:r>
          </w:p>
        </w:tc>
        <w:tc>
          <w:tcPr>
            <w:tcW w:w="575" w:type="dxa"/>
            <w:tcBorders>
              <w:top w:val="nil"/>
              <w:left w:val="nil"/>
              <w:bottom w:val="nil"/>
              <w:right w:val="nil"/>
            </w:tcBorders>
            <w:shd w:val="clear" w:color="auto" w:fill="auto"/>
            <w:noWrap/>
            <w:hideMark/>
          </w:tcPr>
          <w:p w14:paraId="7ABC5FA8"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0.4%</w:t>
            </w:r>
          </w:p>
        </w:tc>
        <w:tc>
          <w:tcPr>
            <w:tcW w:w="575" w:type="dxa"/>
            <w:tcBorders>
              <w:top w:val="nil"/>
              <w:left w:val="nil"/>
              <w:bottom w:val="nil"/>
              <w:right w:val="nil"/>
            </w:tcBorders>
            <w:shd w:val="clear" w:color="auto" w:fill="auto"/>
            <w:noWrap/>
            <w:hideMark/>
          </w:tcPr>
          <w:p w14:paraId="27AEB9C0"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0.9%</w:t>
            </w:r>
          </w:p>
        </w:tc>
        <w:tc>
          <w:tcPr>
            <w:tcW w:w="851" w:type="dxa"/>
            <w:tcBorders>
              <w:top w:val="nil"/>
              <w:left w:val="nil"/>
              <w:bottom w:val="nil"/>
              <w:right w:val="nil"/>
            </w:tcBorders>
            <w:shd w:val="clear" w:color="auto" w:fill="auto"/>
            <w:noWrap/>
            <w:hideMark/>
          </w:tcPr>
          <w:p w14:paraId="7518CF31"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19,922</w:t>
            </w:r>
          </w:p>
        </w:tc>
        <w:tc>
          <w:tcPr>
            <w:tcW w:w="708" w:type="dxa"/>
            <w:tcBorders>
              <w:top w:val="nil"/>
              <w:left w:val="nil"/>
              <w:bottom w:val="nil"/>
              <w:right w:val="nil"/>
            </w:tcBorders>
            <w:shd w:val="clear" w:color="auto" w:fill="auto"/>
            <w:noWrap/>
            <w:hideMark/>
          </w:tcPr>
          <w:p w14:paraId="53D17FD7"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26 </w:t>
            </w:r>
          </w:p>
        </w:tc>
        <w:tc>
          <w:tcPr>
            <w:tcW w:w="851" w:type="dxa"/>
            <w:tcBorders>
              <w:top w:val="nil"/>
              <w:left w:val="nil"/>
              <w:bottom w:val="nil"/>
              <w:right w:val="nil"/>
            </w:tcBorders>
            <w:shd w:val="clear" w:color="auto" w:fill="auto"/>
            <w:noWrap/>
            <w:hideMark/>
          </w:tcPr>
          <w:p w14:paraId="27222A75"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9,983 </w:t>
            </w:r>
          </w:p>
        </w:tc>
        <w:tc>
          <w:tcPr>
            <w:tcW w:w="662" w:type="dxa"/>
            <w:tcBorders>
              <w:top w:val="nil"/>
              <w:left w:val="nil"/>
              <w:bottom w:val="nil"/>
              <w:right w:val="nil"/>
            </w:tcBorders>
            <w:shd w:val="clear" w:color="auto" w:fill="auto"/>
            <w:noWrap/>
            <w:hideMark/>
          </w:tcPr>
          <w:p w14:paraId="64C38BB1"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2.00</w:t>
            </w:r>
          </w:p>
        </w:tc>
      </w:tr>
      <w:tr w:rsidR="00385317" w:rsidRPr="00B95C7E" w14:paraId="5BC17661" w14:textId="77777777" w:rsidTr="00A23161">
        <w:trPr>
          <w:trHeight w:val="243"/>
        </w:trPr>
        <w:tc>
          <w:tcPr>
            <w:tcW w:w="709" w:type="dxa"/>
            <w:tcBorders>
              <w:top w:val="nil"/>
              <w:left w:val="nil"/>
              <w:bottom w:val="nil"/>
              <w:right w:val="nil"/>
            </w:tcBorders>
            <w:shd w:val="clear" w:color="auto" w:fill="auto"/>
            <w:noWrap/>
            <w:hideMark/>
          </w:tcPr>
          <w:p w14:paraId="00EF77F2"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Yes</w:t>
            </w:r>
          </w:p>
        </w:tc>
        <w:tc>
          <w:tcPr>
            <w:tcW w:w="709" w:type="dxa"/>
            <w:tcBorders>
              <w:top w:val="nil"/>
              <w:left w:val="nil"/>
              <w:bottom w:val="nil"/>
              <w:right w:val="nil"/>
            </w:tcBorders>
            <w:shd w:val="clear" w:color="auto" w:fill="auto"/>
            <w:noWrap/>
            <w:hideMark/>
          </w:tcPr>
          <w:p w14:paraId="7DD91E9B"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18</w:t>
            </w:r>
          </w:p>
        </w:tc>
        <w:tc>
          <w:tcPr>
            <w:tcW w:w="709" w:type="dxa"/>
            <w:tcBorders>
              <w:top w:val="nil"/>
              <w:left w:val="nil"/>
              <w:bottom w:val="nil"/>
              <w:right w:val="nil"/>
            </w:tcBorders>
            <w:shd w:val="clear" w:color="auto" w:fill="auto"/>
            <w:noWrap/>
            <w:hideMark/>
          </w:tcPr>
          <w:p w14:paraId="0D781A26" w14:textId="77777777"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G46B</w:t>
            </w:r>
          </w:p>
        </w:tc>
        <w:tc>
          <w:tcPr>
            <w:tcW w:w="3827" w:type="dxa"/>
            <w:gridSpan w:val="2"/>
            <w:tcBorders>
              <w:top w:val="nil"/>
              <w:left w:val="nil"/>
              <w:bottom w:val="nil"/>
              <w:right w:val="nil"/>
            </w:tcBorders>
            <w:shd w:val="clear" w:color="auto" w:fill="auto"/>
            <w:noWrap/>
            <w:hideMark/>
          </w:tcPr>
          <w:p w14:paraId="538FC9CB" w14:textId="3DE16BF3"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Complex Endoscopy, Minor Complexity</w:t>
            </w:r>
          </w:p>
        </w:tc>
        <w:tc>
          <w:tcPr>
            <w:tcW w:w="567" w:type="dxa"/>
            <w:gridSpan w:val="2"/>
            <w:tcBorders>
              <w:top w:val="nil"/>
              <w:left w:val="nil"/>
              <w:bottom w:val="nil"/>
              <w:right w:val="nil"/>
            </w:tcBorders>
            <w:shd w:val="clear" w:color="auto" w:fill="auto"/>
            <w:noWrap/>
            <w:hideMark/>
          </w:tcPr>
          <w:p w14:paraId="4E3D4E1B"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0.30</w:t>
            </w:r>
          </w:p>
        </w:tc>
        <w:tc>
          <w:tcPr>
            <w:tcW w:w="851" w:type="dxa"/>
            <w:gridSpan w:val="2"/>
            <w:tcBorders>
              <w:top w:val="nil"/>
              <w:left w:val="nil"/>
              <w:bottom w:val="nil"/>
              <w:right w:val="nil"/>
            </w:tcBorders>
            <w:shd w:val="clear" w:color="auto" w:fill="auto"/>
            <w:noWrap/>
            <w:hideMark/>
          </w:tcPr>
          <w:p w14:paraId="20EA4817"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93,597</w:t>
            </w:r>
          </w:p>
        </w:tc>
        <w:tc>
          <w:tcPr>
            <w:tcW w:w="781" w:type="dxa"/>
            <w:tcBorders>
              <w:top w:val="nil"/>
              <w:left w:val="nil"/>
              <w:bottom w:val="nil"/>
              <w:right w:val="nil"/>
            </w:tcBorders>
            <w:shd w:val="clear" w:color="auto" w:fill="auto"/>
            <w:noWrap/>
            <w:hideMark/>
          </w:tcPr>
          <w:p w14:paraId="56DC4B82" w14:textId="454604F1" w:rsidR="00385317" w:rsidRPr="00385317" w:rsidRDefault="00385317" w:rsidP="00385317">
            <w:pPr>
              <w:jc w:val="right"/>
              <w:rPr>
                <w:rFonts w:asciiTheme="minorHAnsi" w:hAnsiTheme="minorHAnsi" w:cstheme="minorHAnsi"/>
                <w:b/>
                <w:sz w:val="14"/>
                <w:szCs w:val="14"/>
                <w:lang w:val="en-US" w:eastAsia="en-US"/>
              </w:rPr>
            </w:pPr>
            <w:r w:rsidRPr="00385317">
              <w:rPr>
                <w:rFonts w:asciiTheme="minorHAnsi" w:hAnsiTheme="minorHAnsi" w:cstheme="minorHAnsi"/>
                <w:b/>
                <w:sz w:val="14"/>
                <w:szCs w:val="14"/>
                <w:lang w:val="en-US" w:eastAsia="en-US"/>
              </w:rPr>
              <w:t>28,079</w:t>
            </w:r>
          </w:p>
        </w:tc>
        <w:tc>
          <w:tcPr>
            <w:tcW w:w="839" w:type="dxa"/>
            <w:gridSpan w:val="2"/>
            <w:tcBorders>
              <w:top w:val="nil"/>
              <w:left w:val="nil"/>
              <w:bottom w:val="nil"/>
              <w:right w:val="nil"/>
            </w:tcBorders>
            <w:shd w:val="clear" w:color="auto" w:fill="auto"/>
            <w:noWrap/>
            <w:hideMark/>
          </w:tcPr>
          <w:p w14:paraId="5C499A0F"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98,121</w:t>
            </w:r>
          </w:p>
        </w:tc>
        <w:tc>
          <w:tcPr>
            <w:tcW w:w="1073" w:type="dxa"/>
            <w:tcBorders>
              <w:top w:val="nil"/>
              <w:left w:val="nil"/>
              <w:bottom w:val="nil"/>
              <w:right w:val="nil"/>
            </w:tcBorders>
            <w:shd w:val="clear" w:color="auto" w:fill="auto"/>
            <w:noWrap/>
            <w:hideMark/>
          </w:tcPr>
          <w:p w14:paraId="0EA81781"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1.0</w:t>
            </w:r>
          </w:p>
        </w:tc>
        <w:tc>
          <w:tcPr>
            <w:tcW w:w="567" w:type="dxa"/>
            <w:tcBorders>
              <w:top w:val="nil"/>
              <w:left w:val="nil"/>
              <w:bottom w:val="nil"/>
              <w:right w:val="nil"/>
            </w:tcBorders>
            <w:shd w:val="clear" w:color="auto" w:fill="auto"/>
            <w:noWrap/>
            <w:hideMark/>
          </w:tcPr>
          <w:p w14:paraId="619A7279"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0.00</w:t>
            </w:r>
          </w:p>
        </w:tc>
        <w:tc>
          <w:tcPr>
            <w:tcW w:w="575" w:type="dxa"/>
            <w:tcBorders>
              <w:top w:val="nil"/>
              <w:left w:val="nil"/>
              <w:bottom w:val="nil"/>
              <w:right w:val="nil"/>
            </w:tcBorders>
            <w:shd w:val="clear" w:color="auto" w:fill="auto"/>
            <w:noWrap/>
            <w:hideMark/>
          </w:tcPr>
          <w:p w14:paraId="7D267826"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3.1%</w:t>
            </w:r>
          </w:p>
        </w:tc>
        <w:tc>
          <w:tcPr>
            <w:tcW w:w="575" w:type="dxa"/>
            <w:tcBorders>
              <w:top w:val="nil"/>
              <w:left w:val="nil"/>
              <w:bottom w:val="nil"/>
              <w:right w:val="nil"/>
            </w:tcBorders>
            <w:shd w:val="clear" w:color="auto" w:fill="auto"/>
            <w:noWrap/>
            <w:hideMark/>
          </w:tcPr>
          <w:p w14:paraId="47DC5519"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0.9%</w:t>
            </w:r>
          </w:p>
        </w:tc>
        <w:tc>
          <w:tcPr>
            <w:tcW w:w="851" w:type="dxa"/>
            <w:tcBorders>
              <w:top w:val="nil"/>
              <w:left w:val="nil"/>
              <w:bottom w:val="nil"/>
              <w:right w:val="nil"/>
            </w:tcBorders>
            <w:shd w:val="clear" w:color="auto" w:fill="auto"/>
            <w:noWrap/>
            <w:hideMark/>
          </w:tcPr>
          <w:p w14:paraId="6AB96D55"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28,693</w:t>
            </w:r>
          </w:p>
        </w:tc>
        <w:tc>
          <w:tcPr>
            <w:tcW w:w="708" w:type="dxa"/>
            <w:tcBorders>
              <w:top w:val="nil"/>
              <w:left w:val="nil"/>
              <w:bottom w:val="nil"/>
              <w:right w:val="nil"/>
            </w:tcBorders>
            <w:shd w:val="clear" w:color="auto" w:fill="auto"/>
            <w:noWrap/>
            <w:hideMark/>
          </w:tcPr>
          <w:p w14:paraId="66A43A22"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16 </w:t>
            </w:r>
          </w:p>
        </w:tc>
        <w:tc>
          <w:tcPr>
            <w:tcW w:w="851" w:type="dxa"/>
            <w:tcBorders>
              <w:top w:val="nil"/>
              <w:left w:val="nil"/>
              <w:bottom w:val="nil"/>
              <w:right w:val="nil"/>
            </w:tcBorders>
            <w:shd w:val="clear" w:color="auto" w:fill="auto"/>
            <w:noWrap/>
            <w:hideMark/>
          </w:tcPr>
          <w:p w14:paraId="4557058A"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87,934 </w:t>
            </w:r>
          </w:p>
        </w:tc>
        <w:tc>
          <w:tcPr>
            <w:tcW w:w="662" w:type="dxa"/>
            <w:tcBorders>
              <w:top w:val="nil"/>
              <w:left w:val="nil"/>
              <w:bottom w:val="nil"/>
              <w:right w:val="nil"/>
            </w:tcBorders>
            <w:shd w:val="clear" w:color="auto" w:fill="auto"/>
            <w:noWrap/>
            <w:hideMark/>
          </w:tcPr>
          <w:p w14:paraId="367C5B25"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0.33</w:t>
            </w:r>
          </w:p>
        </w:tc>
      </w:tr>
      <w:tr w:rsidR="00385317" w:rsidRPr="00B95C7E" w14:paraId="2C59DF63" w14:textId="77777777" w:rsidTr="00A23161">
        <w:trPr>
          <w:trHeight w:val="243"/>
        </w:trPr>
        <w:tc>
          <w:tcPr>
            <w:tcW w:w="709" w:type="dxa"/>
            <w:tcBorders>
              <w:top w:val="nil"/>
              <w:left w:val="nil"/>
              <w:bottom w:val="nil"/>
              <w:right w:val="nil"/>
            </w:tcBorders>
            <w:shd w:val="clear" w:color="auto" w:fill="auto"/>
            <w:noWrap/>
            <w:hideMark/>
          </w:tcPr>
          <w:p w14:paraId="27E73C35"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No</w:t>
            </w:r>
          </w:p>
        </w:tc>
        <w:tc>
          <w:tcPr>
            <w:tcW w:w="709" w:type="dxa"/>
            <w:tcBorders>
              <w:top w:val="nil"/>
              <w:left w:val="nil"/>
              <w:bottom w:val="nil"/>
              <w:right w:val="nil"/>
            </w:tcBorders>
            <w:shd w:val="clear" w:color="auto" w:fill="auto"/>
            <w:noWrap/>
            <w:hideMark/>
          </w:tcPr>
          <w:p w14:paraId="6CFD9657"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19</w:t>
            </w:r>
          </w:p>
        </w:tc>
        <w:tc>
          <w:tcPr>
            <w:tcW w:w="709" w:type="dxa"/>
            <w:tcBorders>
              <w:top w:val="nil"/>
              <w:left w:val="nil"/>
              <w:bottom w:val="nil"/>
              <w:right w:val="nil"/>
            </w:tcBorders>
            <w:shd w:val="clear" w:color="auto" w:fill="auto"/>
            <w:noWrap/>
            <w:hideMark/>
          </w:tcPr>
          <w:p w14:paraId="577D86AF" w14:textId="77777777"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N04B</w:t>
            </w:r>
          </w:p>
        </w:tc>
        <w:tc>
          <w:tcPr>
            <w:tcW w:w="3827" w:type="dxa"/>
            <w:gridSpan w:val="2"/>
            <w:tcBorders>
              <w:top w:val="nil"/>
              <w:left w:val="nil"/>
              <w:bottom w:val="nil"/>
              <w:right w:val="nil"/>
            </w:tcBorders>
            <w:shd w:val="clear" w:color="auto" w:fill="auto"/>
            <w:noWrap/>
            <w:hideMark/>
          </w:tcPr>
          <w:p w14:paraId="05A4C3D1" w14:textId="77777777"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Hysterectomy for Non-Malignancy, Minor Complexity</w:t>
            </w:r>
          </w:p>
        </w:tc>
        <w:tc>
          <w:tcPr>
            <w:tcW w:w="567" w:type="dxa"/>
            <w:gridSpan w:val="2"/>
            <w:tcBorders>
              <w:top w:val="nil"/>
              <w:left w:val="nil"/>
              <w:bottom w:val="nil"/>
              <w:right w:val="nil"/>
            </w:tcBorders>
            <w:shd w:val="clear" w:color="auto" w:fill="auto"/>
            <w:noWrap/>
            <w:hideMark/>
          </w:tcPr>
          <w:p w14:paraId="1CF8CD0B"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1.69</w:t>
            </w:r>
          </w:p>
        </w:tc>
        <w:tc>
          <w:tcPr>
            <w:tcW w:w="851" w:type="dxa"/>
            <w:gridSpan w:val="2"/>
            <w:tcBorders>
              <w:top w:val="nil"/>
              <w:left w:val="nil"/>
              <w:bottom w:val="nil"/>
              <w:right w:val="nil"/>
            </w:tcBorders>
            <w:shd w:val="clear" w:color="auto" w:fill="auto"/>
            <w:noWrap/>
            <w:hideMark/>
          </w:tcPr>
          <w:p w14:paraId="0FDEE79B"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15,214</w:t>
            </w:r>
          </w:p>
        </w:tc>
        <w:tc>
          <w:tcPr>
            <w:tcW w:w="781" w:type="dxa"/>
            <w:tcBorders>
              <w:top w:val="nil"/>
              <w:left w:val="nil"/>
              <w:bottom w:val="nil"/>
              <w:right w:val="nil"/>
            </w:tcBorders>
            <w:shd w:val="clear" w:color="auto" w:fill="auto"/>
            <w:noWrap/>
            <w:hideMark/>
          </w:tcPr>
          <w:p w14:paraId="7567D928" w14:textId="2A3862C6" w:rsidR="00385317" w:rsidRPr="00385317" w:rsidRDefault="00385317" w:rsidP="00385317">
            <w:pPr>
              <w:jc w:val="right"/>
              <w:rPr>
                <w:rFonts w:asciiTheme="minorHAnsi" w:hAnsiTheme="minorHAnsi" w:cstheme="minorHAnsi"/>
                <w:b/>
                <w:sz w:val="14"/>
                <w:szCs w:val="14"/>
                <w:lang w:val="en-US" w:eastAsia="en-US"/>
              </w:rPr>
            </w:pPr>
            <w:r w:rsidRPr="00385317">
              <w:rPr>
                <w:rFonts w:asciiTheme="minorHAnsi" w:hAnsiTheme="minorHAnsi" w:cstheme="minorHAnsi"/>
                <w:b/>
                <w:sz w:val="14"/>
                <w:szCs w:val="14"/>
                <w:lang w:val="en-US" w:eastAsia="en-US"/>
              </w:rPr>
              <w:t>25,712</w:t>
            </w:r>
          </w:p>
        </w:tc>
        <w:tc>
          <w:tcPr>
            <w:tcW w:w="839" w:type="dxa"/>
            <w:gridSpan w:val="2"/>
            <w:tcBorders>
              <w:top w:val="nil"/>
              <w:left w:val="nil"/>
              <w:bottom w:val="nil"/>
              <w:right w:val="nil"/>
            </w:tcBorders>
            <w:shd w:val="clear" w:color="auto" w:fill="auto"/>
            <w:noWrap/>
            <w:hideMark/>
          </w:tcPr>
          <w:p w14:paraId="2C02C80C"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46,390</w:t>
            </w:r>
          </w:p>
        </w:tc>
        <w:tc>
          <w:tcPr>
            <w:tcW w:w="1073" w:type="dxa"/>
            <w:tcBorders>
              <w:top w:val="nil"/>
              <w:left w:val="nil"/>
              <w:bottom w:val="nil"/>
              <w:right w:val="nil"/>
            </w:tcBorders>
            <w:shd w:val="clear" w:color="auto" w:fill="auto"/>
            <w:noWrap/>
            <w:hideMark/>
          </w:tcPr>
          <w:p w14:paraId="01C13939"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3.0</w:t>
            </w:r>
          </w:p>
        </w:tc>
        <w:tc>
          <w:tcPr>
            <w:tcW w:w="567" w:type="dxa"/>
            <w:tcBorders>
              <w:top w:val="nil"/>
              <w:left w:val="nil"/>
              <w:bottom w:val="nil"/>
              <w:right w:val="nil"/>
            </w:tcBorders>
            <w:shd w:val="clear" w:color="auto" w:fill="auto"/>
            <w:noWrap/>
            <w:hideMark/>
          </w:tcPr>
          <w:p w14:paraId="6CBCF068"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0.01</w:t>
            </w:r>
          </w:p>
        </w:tc>
        <w:tc>
          <w:tcPr>
            <w:tcW w:w="575" w:type="dxa"/>
            <w:tcBorders>
              <w:top w:val="nil"/>
              <w:left w:val="nil"/>
              <w:bottom w:val="nil"/>
              <w:right w:val="nil"/>
            </w:tcBorders>
            <w:shd w:val="clear" w:color="auto" w:fill="auto"/>
            <w:noWrap/>
            <w:hideMark/>
          </w:tcPr>
          <w:p w14:paraId="275FC889"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0.5%</w:t>
            </w:r>
          </w:p>
        </w:tc>
        <w:tc>
          <w:tcPr>
            <w:tcW w:w="575" w:type="dxa"/>
            <w:tcBorders>
              <w:top w:val="nil"/>
              <w:left w:val="nil"/>
              <w:bottom w:val="nil"/>
              <w:right w:val="nil"/>
            </w:tcBorders>
            <w:shd w:val="clear" w:color="auto" w:fill="auto"/>
            <w:noWrap/>
            <w:hideMark/>
          </w:tcPr>
          <w:p w14:paraId="209CF8D4"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0.8%</w:t>
            </w:r>
          </w:p>
        </w:tc>
        <w:tc>
          <w:tcPr>
            <w:tcW w:w="851" w:type="dxa"/>
            <w:tcBorders>
              <w:top w:val="nil"/>
              <w:left w:val="nil"/>
              <w:bottom w:val="nil"/>
              <w:right w:val="nil"/>
            </w:tcBorders>
            <w:shd w:val="clear" w:color="auto" w:fill="auto"/>
            <w:noWrap/>
            <w:hideMark/>
          </w:tcPr>
          <w:p w14:paraId="41029450"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22,367</w:t>
            </w:r>
          </w:p>
        </w:tc>
        <w:tc>
          <w:tcPr>
            <w:tcW w:w="708" w:type="dxa"/>
            <w:tcBorders>
              <w:top w:val="nil"/>
              <w:left w:val="nil"/>
              <w:bottom w:val="nil"/>
              <w:right w:val="nil"/>
            </w:tcBorders>
            <w:shd w:val="clear" w:color="auto" w:fill="auto"/>
            <w:noWrap/>
            <w:hideMark/>
          </w:tcPr>
          <w:p w14:paraId="1B009CDA"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22 </w:t>
            </w:r>
          </w:p>
        </w:tc>
        <w:tc>
          <w:tcPr>
            <w:tcW w:w="851" w:type="dxa"/>
            <w:tcBorders>
              <w:top w:val="nil"/>
              <w:left w:val="nil"/>
              <w:bottom w:val="nil"/>
              <w:right w:val="nil"/>
            </w:tcBorders>
            <w:shd w:val="clear" w:color="auto" w:fill="auto"/>
            <w:noWrap/>
            <w:hideMark/>
          </w:tcPr>
          <w:p w14:paraId="018E1E3B"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13,598 </w:t>
            </w:r>
          </w:p>
        </w:tc>
        <w:tc>
          <w:tcPr>
            <w:tcW w:w="662" w:type="dxa"/>
            <w:tcBorders>
              <w:top w:val="nil"/>
              <w:left w:val="nil"/>
              <w:bottom w:val="nil"/>
              <w:right w:val="nil"/>
            </w:tcBorders>
            <w:shd w:val="clear" w:color="auto" w:fill="auto"/>
            <w:noWrap/>
            <w:hideMark/>
          </w:tcPr>
          <w:p w14:paraId="442A7867"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1.64</w:t>
            </w:r>
          </w:p>
        </w:tc>
      </w:tr>
      <w:tr w:rsidR="00385317" w:rsidRPr="00B95C7E" w14:paraId="372B6627" w14:textId="77777777" w:rsidTr="00A23161">
        <w:trPr>
          <w:trHeight w:val="243"/>
        </w:trPr>
        <w:tc>
          <w:tcPr>
            <w:tcW w:w="709" w:type="dxa"/>
            <w:tcBorders>
              <w:top w:val="nil"/>
              <w:left w:val="nil"/>
              <w:bottom w:val="nil"/>
              <w:right w:val="nil"/>
            </w:tcBorders>
            <w:shd w:val="clear" w:color="auto" w:fill="auto"/>
            <w:noWrap/>
            <w:hideMark/>
          </w:tcPr>
          <w:p w14:paraId="0EDBA159"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No</w:t>
            </w:r>
          </w:p>
        </w:tc>
        <w:tc>
          <w:tcPr>
            <w:tcW w:w="709" w:type="dxa"/>
            <w:tcBorders>
              <w:top w:val="nil"/>
              <w:left w:val="nil"/>
              <w:bottom w:val="nil"/>
              <w:right w:val="nil"/>
            </w:tcBorders>
            <w:shd w:val="clear" w:color="auto" w:fill="auto"/>
            <w:noWrap/>
            <w:hideMark/>
          </w:tcPr>
          <w:p w14:paraId="1AC998A5" w14:textId="77777777" w:rsidR="00385317" w:rsidRPr="00B95C7E" w:rsidRDefault="00385317" w:rsidP="00385317">
            <w:pPr>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20</w:t>
            </w:r>
          </w:p>
        </w:tc>
        <w:tc>
          <w:tcPr>
            <w:tcW w:w="709" w:type="dxa"/>
            <w:tcBorders>
              <w:top w:val="nil"/>
              <w:left w:val="nil"/>
              <w:bottom w:val="nil"/>
              <w:right w:val="nil"/>
            </w:tcBorders>
            <w:shd w:val="clear" w:color="auto" w:fill="auto"/>
            <w:noWrap/>
            <w:hideMark/>
          </w:tcPr>
          <w:p w14:paraId="42F1A617" w14:textId="77777777"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O60C</w:t>
            </w:r>
          </w:p>
        </w:tc>
        <w:tc>
          <w:tcPr>
            <w:tcW w:w="3827" w:type="dxa"/>
            <w:gridSpan w:val="2"/>
            <w:tcBorders>
              <w:top w:val="nil"/>
              <w:left w:val="nil"/>
              <w:bottom w:val="nil"/>
              <w:right w:val="nil"/>
            </w:tcBorders>
            <w:shd w:val="clear" w:color="auto" w:fill="auto"/>
            <w:noWrap/>
            <w:hideMark/>
          </w:tcPr>
          <w:p w14:paraId="4B7DAA61" w14:textId="77777777" w:rsidR="00385317" w:rsidRPr="00B95C7E" w:rsidRDefault="00385317" w:rsidP="00385317">
            <w:pP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Vaginal Delivery, Minor Complexity</w:t>
            </w:r>
          </w:p>
        </w:tc>
        <w:tc>
          <w:tcPr>
            <w:tcW w:w="567" w:type="dxa"/>
            <w:gridSpan w:val="2"/>
            <w:tcBorders>
              <w:top w:val="nil"/>
              <w:left w:val="nil"/>
              <w:bottom w:val="nil"/>
              <w:right w:val="nil"/>
            </w:tcBorders>
            <w:shd w:val="clear" w:color="auto" w:fill="auto"/>
            <w:noWrap/>
            <w:hideMark/>
          </w:tcPr>
          <w:p w14:paraId="2EFE25E7"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1.32</w:t>
            </w:r>
          </w:p>
        </w:tc>
        <w:tc>
          <w:tcPr>
            <w:tcW w:w="851" w:type="dxa"/>
            <w:gridSpan w:val="2"/>
            <w:tcBorders>
              <w:top w:val="nil"/>
              <w:left w:val="nil"/>
              <w:bottom w:val="nil"/>
              <w:right w:val="nil"/>
            </w:tcBorders>
            <w:shd w:val="clear" w:color="auto" w:fill="auto"/>
            <w:noWrap/>
            <w:hideMark/>
          </w:tcPr>
          <w:p w14:paraId="6700E083"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19,307</w:t>
            </w:r>
          </w:p>
        </w:tc>
        <w:tc>
          <w:tcPr>
            <w:tcW w:w="781" w:type="dxa"/>
            <w:tcBorders>
              <w:top w:val="nil"/>
              <w:left w:val="nil"/>
              <w:bottom w:val="nil"/>
              <w:right w:val="nil"/>
            </w:tcBorders>
            <w:shd w:val="clear" w:color="auto" w:fill="auto"/>
            <w:noWrap/>
            <w:hideMark/>
          </w:tcPr>
          <w:p w14:paraId="27B1FA60" w14:textId="50321BDF" w:rsidR="00385317" w:rsidRPr="00385317" w:rsidRDefault="00385317" w:rsidP="00385317">
            <w:pPr>
              <w:jc w:val="right"/>
              <w:rPr>
                <w:rFonts w:asciiTheme="minorHAnsi" w:hAnsiTheme="minorHAnsi" w:cstheme="minorHAnsi"/>
                <w:b/>
                <w:sz w:val="14"/>
                <w:szCs w:val="14"/>
                <w:lang w:val="en-US" w:eastAsia="en-US"/>
              </w:rPr>
            </w:pPr>
            <w:r w:rsidRPr="00385317">
              <w:rPr>
                <w:rFonts w:asciiTheme="minorHAnsi" w:hAnsiTheme="minorHAnsi" w:cstheme="minorHAnsi"/>
                <w:b/>
                <w:sz w:val="14"/>
                <w:szCs w:val="14"/>
                <w:lang w:val="en-US" w:eastAsia="en-US"/>
              </w:rPr>
              <w:t>25,485</w:t>
            </w:r>
          </w:p>
        </w:tc>
        <w:tc>
          <w:tcPr>
            <w:tcW w:w="839" w:type="dxa"/>
            <w:gridSpan w:val="2"/>
            <w:tcBorders>
              <w:top w:val="nil"/>
              <w:left w:val="nil"/>
              <w:bottom w:val="nil"/>
              <w:right w:val="nil"/>
            </w:tcBorders>
            <w:shd w:val="clear" w:color="auto" w:fill="auto"/>
            <w:noWrap/>
            <w:hideMark/>
          </w:tcPr>
          <w:p w14:paraId="71DF0738"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72,734</w:t>
            </w:r>
          </w:p>
        </w:tc>
        <w:tc>
          <w:tcPr>
            <w:tcW w:w="1073" w:type="dxa"/>
            <w:tcBorders>
              <w:top w:val="nil"/>
              <w:left w:val="nil"/>
              <w:bottom w:val="nil"/>
              <w:right w:val="nil"/>
            </w:tcBorders>
            <w:shd w:val="clear" w:color="auto" w:fill="auto"/>
            <w:noWrap/>
            <w:hideMark/>
          </w:tcPr>
          <w:p w14:paraId="1424E117"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3.8</w:t>
            </w:r>
          </w:p>
        </w:tc>
        <w:tc>
          <w:tcPr>
            <w:tcW w:w="567" w:type="dxa"/>
            <w:tcBorders>
              <w:top w:val="nil"/>
              <w:left w:val="nil"/>
              <w:bottom w:val="nil"/>
              <w:right w:val="nil"/>
            </w:tcBorders>
            <w:shd w:val="clear" w:color="auto" w:fill="auto"/>
            <w:noWrap/>
            <w:hideMark/>
          </w:tcPr>
          <w:p w14:paraId="65DBD8A4"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0.00</w:t>
            </w:r>
          </w:p>
        </w:tc>
        <w:tc>
          <w:tcPr>
            <w:tcW w:w="575" w:type="dxa"/>
            <w:tcBorders>
              <w:top w:val="nil"/>
              <w:left w:val="nil"/>
              <w:bottom w:val="nil"/>
              <w:right w:val="nil"/>
            </w:tcBorders>
            <w:shd w:val="clear" w:color="auto" w:fill="auto"/>
            <w:noWrap/>
            <w:hideMark/>
          </w:tcPr>
          <w:p w14:paraId="3E12E8A4"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0.6%</w:t>
            </w:r>
          </w:p>
        </w:tc>
        <w:tc>
          <w:tcPr>
            <w:tcW w:w="575" w:type="dxa"/>
            <w:tcBorders>
              <w:top w:val="nil"/>
              <w:left w:val="nil"/>
              <w:bottom w:val="nil"/>
              <w:right w:val="nil"/>
            </w:tcBorders>
            <w:shd w:val="clear" w:color="auto" w:fill="auto"/>
            <w:noWrap/>
            <w:hideMark/>
          </w:tcPr>
          <w:p w14:paraId="7673A5FB"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0.8%</w:t>
            </w:r>
          </w:p>
        </w:tc>
        <w:tc>
          <w:tcPr>
            <w:tcW w:w="851" w:type="dxa"/>
            <w:tcBorders>
              <w:top w:val="nil"/>
              <w:left w:val="nil"/>
              <w:bottom w:val="nil"/>
              <w:right w:val="nil"/>
            </w:tcBorders>
            <w:shd w:val="clear" w:color="auto" w:fill="auto"/>
            <w:noWrap/>
            <w:hideMark/>
          </w:tcPr>
          <w:p w14:paraId="4DB3762F"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15,762</w:t>
            </w:r>
          </w:p>
        </w:tc>
        <w:tc>
          <w:tcPr>
            <w:tcW w:w="708" w:type="dxa"/>
            <w:tcBorders>
              <w:top w:val="nil"/>
              <w:left w:val="nil"/>
              <w:bottom w:val="nil"/>
              <w:right w:val="nil"/>
            </w:tcBorders>
            <w:shd w:val="clear" w:color="auto" w:fill="auto"/>
            <w:noWrap/>
            <w:hideMark/>
          </w:tcPr>
          <w:p w14:paraId="78C9C768"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35 </w:t>
            </w:r>
          </w:p>
        </w:tc>
        <w:tc>
          <w:tcPr>
            <w:tcW w:w="851" w:type="dxa"/>
            <w:tcBorders>
              <w:top w:val="nil"/>
              <w:left w:val="nil"/>
              <w:bottom w:val="nil"/>
              <w:right w:val="nil"/>
            </w:tcBorders>
            <w:shd w:val="clear" w:color="auto" w:fill="auto"/>
            <w:noWrap/>
            <w:hideMark/>
          </w:tcPr>
          <w:p w14:paraId="6FF3D4EB"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16,532 </w:t>
            </w:r>
          </w:p>
        </w:tc>
        <w:tc>
          <w:tcPr>
            <w:tcW w:w="662" w:type="dxa"/>
            <w:tcBorders>
              <w:top w:val="nil"/>
              <w:left w:val="nil"/>
              <w:bottom w:val="nil"/>
              <w:right w:val="nil"/>
            </w:tcBorders>
            <w:shd w:val="clear" w:color="auto" w:fill="auto"/>
            <w:noWrap/>
            <w:hideMark/>
          </w:tcPr>
          <w:p w14:paraId="783C2A30" w14:textId="77777777" w:rsidR="00385317" w:rsidRPr="00B95C7E" w:rsidRDefault="00385317" w:rsidP="00385317">
            <w:pPr>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0.95</w:t>
            </w:r>
          </w:p>
        </w:tc>
      </w:tr>
      <w:tr w:rsidR="002D6B6A" w:rsidRPr="00B95C7E" w14:paraId="6ACFA168" w14:textId="77777777" w:rsidTr="00A23161">
        <w:trPr>
          <w:trHeight w:val="243"/>
        </w:trPr>
        <w:tc>
          <w:tcPr>
            <w:tcW w:w="709" w:type="dxa"/>
            <w:tcBorders>
              <w:top w:val="single" w:sz="4" w:space="0" w:color="auto"/>
              <w:left w:val="nil"/>
              <w:bottom w:val="nil"/>
              <w:right w:val="nil"/>
            </w:tcBorders>
            <w:shd w:val="clear" w:color="auto" w:fill="auto"/>
            <w:noWrap/>
            <w:hideMark/>
          </w:tcPr>
          <w:p w14:paraId="16FAC39B" w14:textId="77777777" w:rsidR="002D6B6A" w:rsidRPr="00B95C7E" w:rsidRDefault="002D6B6A" w:rsidP="00E0636F">
            <w:pPr>
              <w:spacing w:after="0"/>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16</w:t>
            </w:r>
          </w:p>
        </w:tc>
        <w:tc>
          <w:tcPr>
            <w:tcW w:w="5387" w:type="dxa"/>
            <w:gridSpan w:val="5"/>
            <w:tcBorders>
              <w:top w:val="single" w:sz="4" w:space="0" w:color="auto"/>
              <w:left w:val="nil"/>
              <w:bottom w:val="nil"/>
              <w:right w:val="nil"/>
            </w:tcBorders>
            <w:shd w:val="clear" w:color="auto" w:fill="auto"/>
            <w:noWrap/>
            <w:hideMark/>
          </w:tcPr>
          <w:p w14:paraId="2D2ED831" w14:textId="77777777" w:rsidR="002D6B6A" w:rsidRPr="00B95C7E" w:rsidRDefault="002D6B6A" w:rsidP="00E0636F">
            <w:pPr>
              <w:spacing w:after="0"/>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Sub-total, top 20 highest cost-weighted separations</w:t>
            </w:r>
          </w:p>
        </w:tc>
        <w:tc>
          <w:tcPr>
            <w:tcW w:w="567" w:type="dxa"/>
            <w:gridSpan w:val="2"/>
            <w:tcBorders>
              <w:top w:val="single" w:sz="4" w:space="0" w:color="auto"/>
              <w:left w:val="nil"/>
              <w:bottom w:val="nil"/>
              <w:right w:val="nil"/>
            </w:tcBorders>
            <w:shd w:val="clear" w:color="auto" w:fill="auto"/>
            <w:noWrap/>
            <w:hideMark/>
          </w:tcPr>
          <w:p w14:paraId="7928A331" w14:textId="77777777" w:rsidR="002D6B6A" w:rsidRPr="00B95C7E" w:rsidRDefault="002D6B6A" w:rsidP="00E0636F">
            <w:pPr>
              <w:spacing w:after="0"/>
              <w:jc w:val="right"/>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1.08</w:t>
            </w:r>
          </w:p>
        </w:tc>
        <w:tc>
          <w:tcPr>
            <w:tcW w:w="709" w:type="dxa"/>
            <w:tcBorders>
              <w:top w:val="single" w:sz="4" w:space="0" w:color="auto"/>
              <w:left w:val="nil"/>
              <w:bottom w:val="nil"/>
              <w:right w:val="nil"/>
            </w:tcBorders>
            <w:shd w:val="clear" w:color="auto" w:fill="auto"/>
            <w:noWrap/>
            <w:hideMark/>
          </w:tcPr>
          <w:p w14:paraId="27099560" w14:textId="77777777" w:rsidR="002D6B6A" w:rsidRPr="00B95C7E" w:rsidRDefault="002D6B6A" w:rsidP="00E0636F">
            <w:pPr>
              <w:spacing w:after="0"/>
              <w:jc w:val="right"/>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853,994</w:t>
            </w:r>
          </w:p>
        </w:tc>
        <w:tc>
          <w:tcPr>
            <w:tcW w:w="781" w:type="dxa"/>
            <w:tcBorders>
              <w:top w:val="single" w:sz="4" w:space="0" w:color="auto"/>
              <w:left w:val="nil"/>
              <w:bottom w:val="nil"/>
              <w:right w:val="nil"/>
            </w:tcBorders>
            <w:shd w:val="clear" w:color="auto" w:fill="auto"/>
            <w:noWrap/>
            <w:hideMark/>
          </w:tcPr>
          <w:p w14:paraId="35B4400B" w14:textId="2D6420F7" w:rsidR="002D6B6A" w:rsidRPr="00B95C7E" w:rsidRDefault="002D6B6A" w:rsidP="00385317">
            <w:pPr>
              <w:spacing w:after="0"/>
              <w:jc w:val="right"/>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924,</w:t>
            </w:r>
            <w:r w:rsidR="00385317">
              <w:rPr>
                <w:rFonts w:asciiTheme="minorHAnsi" w:hAnsiTheme="minorHAnsi" w:cstheme="minorHAnsi"/>
                <w:b/>
                <w:bCs/>
                <w:sz w:val="14"/>
                <w:szCs w:val="14"/>
                <w:lang w:val="en-US" w:eastAsia="en-US"/>
              </w:rPr>
              <w:t>758</w:t>
            </w:r>
          </w:p>
        </w:tc>
        <w:tc>
          <w:tcPr>
            <w:tcW w:w="839" w:type="dxa"/>
            <w:gridSpan w:val="2"/>
            <w:tcBorders>
              <w:top w:val="single" w:sz="4" w:space="0" w:color="auto"/>
              <w:left w:val="nil"/>
              <w:bottom w:val="nil"/>
              <w:right w:val="nil"/>
            </w:tcBorders>
            <w:shd w:val="clear" w:color="auto" w:fill="auto"/>
            <w:noWrap/>
            <w:hideMark/>
          </w:tcPr>
          <w:p w14:paraId="5F09BA5D" w14:textId="77777777" w:rsidR="002D6B6A" w:rsidRPr="00B95C7E" w:rsidRDefault="002D6B6A" w:rsidP="00E0636F">
            <w:pPr>
              <w:spacing w:after="0"/>
              <w:jc w:val="right"/>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1,625,838</w:t>
            </w:r>
          </w:p>
        </w:tc>
        <w:tc>
          <w:tcPr>
            <w:tcW w:w="1073" w:type="dxa"/>
            <w:tcBorders>
              <w:top w:val="single" w:sz="4" w:space="0" w:color="auto"/>
              <w:left w:val="nil"/>
              <w:bottom w:val="nil"/>
              <w:right w:val="nil"/>
            </w:tcBorders>
            <w:shd w:val="clear" w:color="auto" w:fill="auto"/>
            <w:noWrap/>
            <w:hideMark/>
          </w:tcPr>
          <w:p w14:paraId="133F6FDC" w14:textId="77777777" w:rsidR="002D6B6A" w:rsidRPr="00B95C7E" w:rsidRDefault="002D6B6A" w:rsidP="00E0636F">
            <w:pPr>
              <w:spacing w:after="0"/>
              <w:jc w:val="right"/>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1.9</w:t>
            </w:r>
          </w:p>
        </w:tc>
        <w:tc>
          <w:tcPr>
            <w:tcW w:w="567" w:type="dxa"/>
            <w:tcBorders>
              <w:top w:val="single" w:sz="4" w:space="0" w:color="auto"/>
              <w:left w:val="nil"/>
              <w:bottom w:val="nil"/>
              <w:right w:val="nil"/>
            </w:tcBorders>
            <w:shd w:val="clear" w:color="auto" w:fill="auto"/>
            <w:noWrap/>
            <w:hideMark/>
          </w:tcPr>
          <w:p w14:paraId="03B2F7E2" w14:textId="77777777" w:rsidR="002D6B6A" w:rsidRPr="00B95C7E" w:rsidRDefault="002D6B6A" w:rsidP="00E0636F">
            <w:pPr>
              <w:spacing w:after="0"/>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w:t>
            </w:r>
          </w:p>
        </w:tc>
        <w:tc>
          <w:tcPr>
            <w:tcW w:w="575" w:type="dxa"/>
            <w:tcBorders>
              <w:top w:val="single" w:sz="4" w:space="0" w:color="auto"/>
              <w:left w:val="nil"/>
              <w:bottom w:val="nil"/>
              <w:right w:val="nil"/>
            </w:tcBorders>
            <w:shd w:val="clear" w:color="auto" w:fill="auto"/>
            <w:noWrap/>
            <w:hideMark/>
          </w:tcPr>
          <w:p w14:paraId="03DC4BFB" w14:textId="77777777" w:rsidR="002D6B6A" w:rsidRPr="00B95C7E" w:rsidRDefault="002D6B6A" w:rsidP="00E0636F">
            <w:pPr>
              <w:spacing w:after="0"/>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28%</w:t>
            </w:r>
          </w:p>
        </w:tc>
        <w:tc>
          <w:tcPr>
            <w:tcW w:w="575" w:type="dxa"/>
            <w:tcBorders>
              <w:top w:val="single" w:sz="4" w:space="0" w:color="auto"/>
              <w:left w:val="nil"/>
              <w:bottom w:val="nil"/>
              <w:right w:val="nil"/>
            </w:tcBorders>
            <w:shd w:val="clear" w:color="auto" w:fill="auto"/>
            <w:noWrap/>
            <w:hideMark/>
          </w:tcPr>
          <w:p w14:paraId="355B9C79" w14:textId="77777777" w:rsidR="002D6B6A" w:rsidRPr="00B95C7E" w:rsidRDefault="002D6B6A" w:rsidP="00E0636F">
            <w:pPr>
              <w:spacing w:after="0"/>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30%</w:t>
            </w:r>
          </w:p>
        </w:tc>
        <w:tc>
          <w:tcPr>
            <w:tcW w:w="851" w:type="dxa"/>
            <w:tcBorders>
              <w:top w:val="single" w:sz="4" w:space="0" w:color="auto"/>
              <w:left w:val="nil"/>
              <w:bottom w:val="nil"/>
              <w:right w:val="nil"/>
            </w:tcBorders>
            <w:shd w:val="clear" w:color="auto" w:fill="auto"/>
            <w:noWrap/>
            <w:hideMark/>
          </w:tcPr>
          <w:p w14:paraId="168EA1F4" w14:textId="77777777" w:rsidR="002D6B6A" w:rsidRPr="00B95C7E" w:rsidRDefault="002D6B6A" w:rsidP="00E0636F">
            <w:pPr>
              <w:spacing w:after="0"/>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 </w:t>
            </w:r>
          </w:p>
        </w:tc>
        <w:tc>
          <w:tcPr>
            <w:tcW w:w="708" w:type="dxa"/>
            <w:tcBorders>
              <w:top w:val="single" w:sz="4" w:space="0" w:color="auto"/>
              <w:left w:val="nil"/>
              <w:bottom w:val="nil"/>
              <w:right w:val="nil"/>
            </w:tcBorders>
            <w:shd w:val="clear" w:color="auto" w:fill="auto"/>
            <w:noWrap/>
            <w:hideMark/>
          </w:tcPr>
          <w:p w14:paraId="78E7D8DE" w14:textId="77777777" w:rsidR="002D6B6A" w:rsidRPr="00B95C7E" w:rsidRDefault="002D6B6A" w:rsidP="00E0636F">
            <w:pPr>
              <w:spacing w:after="0"/>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 </w:t>
            </w:r>
          </w:p>
        </w:tc>
        <w:tc>
          <w:tcPr>
            <w:tcW w:w="851" w:type="dxa"/>
            <w:tcBorders>
              <w:top w:val="single" w:sz="4" w:space="0" w:color="auto"/>
              <w:left w:val="nil"/>
              <w:bottom w:val="nil"/>
              <w:right w:val="nil"/>
            </w:tcBorders>
            <w:shd w:val="clear" w:color="auto" w:fill="auto"/>
            <w:noWrap/>
            <w:hideMark/>
          </w:tcPr>
          <w:p w14:paraId="7177A492" w14:textId="77777777" w:rsidR="002D6B6A" w:rsidRPr="00B95C7E" w:rsidRDefault="002D6B6A" w:rsidP="00E0636F">
            <w:pPr>
              <w:spacing w:after="0"/>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 </w:t>
            </w:r>
          </w:p>
        </w:tc>
        <w:tc>
          <w:tcPr>
            <w:tcW w:w="662" w:type="dxa"/>
            <w:tcBorders>
              <w:top w:val="single" w:sz="4" w:space="0" w:color="auto"/>
              <w:left w:val="nil"/>
              <w:bottom w:val="nil"/>
              <w:right w:val="nil"/>
            </w:tcBorders>
            <w:shd w:val="clear" w:color="auto" w:fill="auto"/>
            <w:noWrap/>
            <w:hideMark/>
          </w:tcPr>
          <w:p w14:paraId="15F172D9" w14:textId="77777777" w:rsidR="002D6B6A" w:rsidRPr="00B95C7E" w:rsidRDefault="002D6B6A" w:rsidP="00E0636F">
            <w:pPr>
              <w:spacing w:after="0"/>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 </w:t>
            </w:r>
          </w:p>
        </w:tc>
      </w:tr>
      <w:tr w:rsidR="00E0636F" w:rsidRPr="00B95C7E" w14:paraId="17419D08" w14:textId="77777777" w:rsidTr="00A23161">
        <w:trPr>
          <w:trHeight w:val="243"/>
        </w:trPr>
        <w:tc>
          <w:tcPr>
            <w:tcW w:w="709" w:type="dxa"/>
            <w:tcBorders>
              <w:top w:val="nil"/>
              <w:left w:val="nil"/>
              <w:bottom w:val="nil"/>
              <w:right w:val="nil"/>
            </w:tcBorders>
            <w:shd w:val="clear" w:color="auto" w:fill="auto"/>
            <w:noWrap/>
            <w:hideMark/>
          </w:tcPr>
          <w:p w14:paraId="3A7003EC" w14:textId="77777777" w:rsidR="00E0636F" w:rsidRPr="00B95C7E" w:rsidRDefault="00E0636F" w:rsidP="00E0636F">
            <w:pPr>
              <w:spacing w:after="0"/>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xml:space="preserve">in </w:t>
            </w:r>
          </w:p>
        </w:tc>
        <w:tc>
          <w:tcPr>
            <w:tcW w:w="1702" w:type="dxa"/>
            <w:gridSpan w:val="3"/>
            <w:tcBorders>
              <w:top w:val="nil"/>
              <w:left w:val="nil"/>
              <w:bottom w:val="nil"/>
              <w:right w:val="nil"/>
            </w:tcBorders>
            <w:shd w:val="clear" w:color="auto" w:fill="auto"/>
            <w:noWrap/>
            <w:hideMark/>
          </w:tcPr>
          <w:p w14:paraId="7653595C" w14:textId="77777777" w:rsidR="00E0636F" w:rsidRPr="00B95C7E" w:rsidRDefault="00E0636F" w:rsidP="00E0636F">
            <w:pPr>
              <w:spacing w:after="0"/>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All DRGs</w:t>
            </w:r>
          </w:p>
        </w:tc>
        <w:tc>
          <w:tcPr>
            <w:tcW w:w="3685" w:type="dxa"/>
            <w:gridSpan w:val="2"/>
            <w:tcBorders>
              <w:top w:val="nil"/>
              <w:left w:val="nil"/>
              <w:bottom w:val="nil"/>
              <w:right w:val="nil"/>
            </w:tcBorders>
            <w:shd w:val="clear" w:color="auto" w:fill="auto"/>
            <w:noWrap/>
            <w:hideMark/>
          </w:tcPr>
          <w:p w14:paraId="448855B2" w14:textId="77777777" w:rsidR="00E0636F" w:rsidRPr="00B95C7E" w:rsidRDefault="00E0636F" w:rsidP="00E0636F">
            <w:pPr>
              <w:spacing w:after="0"/>
              <w:rPr>
                <w:rFonts w:asciiTheme="minorHAnsi" w:hAnsiTheme="minorHAnsi" w:cstheme="minorHAnsi"/>
                <w:sz w:val="20"/>
                <w:lang w:val="en-US" w:eastAsia="en-US"/>
              </w:rPr>
            </w:pPr>
          </w:p>
        </w:tc>
        <w:tc>
          <w:tcPr>
            <w:tcW w:w="567" w:type="dxa"/>
            <w:gridSpan w:val="2"/>
            <w:tcBorders>
              <w:top w:val="nil"/>
              <w:left w:val="nil"/>
              <w:bottom w:val="nil"/>
              <w:right w:val="nil"/>
            </w:tcBorders>
            <w:shd w:val="clear" w:color="auto" w:fill="auto"/>
            <w:noWrap/>
            <w:hideMark/>
          </w:tcPr>
          <w:p w14:paraId="3D4C797D" w14:textId="77777777" w:rsidR="00E0636F" w:rsidRPr="00B95C7E" w:rsidRDefault="00E0636F" w:rsidP="00E0636F">
            <w:pPr>
              <w:spacing w:after="0"/>
              <w:jc w:val="right"/>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1.00</w:t>
            </w:r>
          </w:p>
        </w:tc>
        <w:tc>
          <w:tcPr>
            <w:tcW w:w="709" w:type="dxa"/>
            <w:tcBorders>
              <w:top w:val="nil"/>
              <w:left w:val="nil"/>
              <w:bottom w:val="nil"/>
              <w:right w:val="nil"/>
            </w:tcBorders>
            <w:shd w:val="clear" w:color="auto" w:fill="auto"/>
            <w:noWrap/>
            <w:hideMark/>
          </w:tcPr>
          <w:p w14:paraId="39DD727F" w14:textId="77777777" w:rsidR="00E0636F" w:rsidRPr="00B95C7E" w:rsidRDefault="00E0636F" w:rsidP="00E0636F">
            <w:pPr>
              <w:spacing w:after="0"/>
              <w:jc w:val="right"/>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3,051,681</w:t>
            </w:r>
          </w:p>
        </w:tc>
        <w:tc>
          <w:tcPr>
            <w:tcW w:w="781" w:type="dxa"/>
            <w:tcBorders>
              <w:top w:val="nil"/>
              <w:left w:val="nil"/>
              <w:bottom w:val="nil"/>
              <w:right w:val="nil"/>
            </w:tcBorders>
            <w:shd w:val="clear" w:color="auto" w:fill="auto"/>
            <w:noWrap/>
            <w:hideMark/>
          </w:tcPr>
          <w:p w14:paraId="7F7E53EA" w14:textId="4C55428B" w:rsidR="00E0636F" w:rsidRPr="00B95C7E" w:rsidRDefault="00E0636F" w:rsidP="00E0636F">
            <w:pPr>
              <w:spacing w:after="0"/>
              <w:jc w:val="right"/>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3,051,681</w:t>
            </w:r>
          </w:p>
        </w:tc>
        <w:tc>
          <w:tcPr>
            <w:tcW w:w="839" w:type="dxa"/>
            <w:gridSpan w:val="2"/>
            <w:tcBorders>
              <w:top w:val="nil"/>
              <w:left w:val="nil"/>
              <w:bottom w:val="nil"/>
              <w:right w:val="nil"/>
            </w:tcBorders>
            <w:shd w:val="clear" w:color="auto" w:fill="auto"/>
            <w:noWrap/>
            <w:hideMark/>
          </w:tcPr>
          <w:p w14:paraId="2C6639C9" w14:textId="77777777" w:rsidR="00E0636F" w:rsidRPr="00B95C7E" w:rsidRDefault="00E0636F" w:rsidP="00E0636F">
            <w:pPr>
              <w:spacing w:after="0"/>
              <w:jc w:val="right"/>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7,153,742</w:t>
            </w:r>
          </w:p>
        </w:tc>
        <w:tc>
          <w:tcPr>
            <w:tcW w:w="1073" w:type="dxa"/>
            <w:tcBorders>
              <w:top w:val="nil"/>
              <w:left w:val="nil"/>
              <w:bottom w:val="nil"/>
              <w:right w:val="nil"/>
            </w:tcBorders>
            <w:shd w:val="clear" w:color="auto" w:fill="auto"/>
            <w:noWrap/>
            <w:hideMark/>
          </w:tcPr>
          <w:p w14:paraId="68C39E92" w14:textId="77777777" w:rsidR="00E0636F" w:rsidRPr="00B95C7E" w:rsidRDefault="00E0636F" w:rsidP="00E0636F">
            <w:pPr>
              <w:spacing w:after="0"/>
              <w:jc w:val="right"/>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2.3</w:t>
            </w:r>
          </w:p>
        </w:tc>
        <w:tc>
          <w:tcPr>
            <w:tcW w:w="567" w:type="dxa"/>
            <w:tcBorders>
              <w:top w:val="nil"/>
              <w:left w:val="nil"/>
              <w:bottom w:val="nil"/>
              <w:right w:val="nil"/>
            </w:tcBorders>
            <w:shd w:val="clear" w:color="auto" w:fill="auto"/>
            <w:noWrap/>
            <w:hideMark/>
          </w:tcPr>
          <w:p w14:paraId="33A73CFA" w14:textId="77777777" w:rsidR="00E0636F" w:rsidRPr="00B95C7E" w:rsidRDefault="00E0636F" w:rsidP="00E0636F">
            <w:pPr>
              <w:spacing w:after="0"/>
              <w:jc w:val="right"/>
              <w:rPr>
                <w:rFonts w:asciiTheme="minorHAnsi" w:hAnsiTheme="minorHAnsi" w:cstheme="minorHAnsi"/>
                <w:b/>
                <w:bCs/>
                <w:sz w:val="14"/>
                <w:szCs w:val="14"/>
                <w:lang w:val="en-US" w:eastAsia="en-US"/>
              </w:rPr>
            </w:pPr>
          </w:p>
        </w:tc>
        <w:tc>
          <w:tcPr>
            <w:tcW w:w="575" w:type="dxa"/>
            <w:tcBorders>
              <w:top w:val="nil"/>
              <w:left w:val="nil"/>
              <w:bottom w:val="nil"/>
              <w:right w:val="nil"/>
            </w:tcBorders>
            <w:shd w:val="clear" w:color="auto" w:fill="auto"/>
            <w:noWrap/>
            <w:hideMark/>
          </w:tcPr>
          <w:p w14:paraId="31DB18EA" w14:textId="77777777" w:rsidR="00E0636F" w:rsidRPr="00B95C7E" w:rsidRDefault="00E0636F" w:rsidP="00E0636F">
            <w:pPr>
              <w:spacing w:after="0"/>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100%</w:t>
            </w:r>
          </w:p>
        </w:tc>
        <w:tc>
          <w:tcPr>
            <w:tcW w:w="575" w:type="dxa"/>
            <w:tcBorders>
              <w:top w:val="nil"/>
              <w:left w:val="nil"/>
              <w:bottom w:val="nil"/>
              <w:right w:val="nil"/>
            </w:tcBorders>
            <w:shd w:val="clear" w:color="auto" w:fill="auto"/>
            <w:noWrap/>
            <w:hideMark/>
          </w:tcPr>
          <w:p w14:paraId="3D579788" w14:textId="77777777" w:rsidR="00E0636F" w:rsidRPr="00B95C7E" w:rsidRDefault="00E0636F" w:rsidP="00E0636F">
            <w:pPr>
              <w:spacing w:after="0"/>
              <w:jc w:val="right"/>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100%</w:t>
            </w:r>
          </w:p>
        </w:tc>
        <w:tc>
          <w:tcPr>
            <w:tcW w:w="851" w:type="dxa"/>
            <w:tcBorders>
              <w:top w:val="nil"/>
              <w:left w:val="nil"/>
              <w:bottom w:val="nil"/>
              <w:right w:val="nil"/>
            </w:tcBorders>
            <w:shd w:val="clear" w:color="auto" w:fill="auto"/>
            <w:noWrap/>
            <w:hideMark/>
          </w:tcPr>
          <w:p w14:paraId="645D2408" w14:textId="77777777" w:rsidR="00E0636F" w:rsidRPr="00B95C7E" w:rsidRDefault="00E0636F" w:rsidP="00E0636F">
            <w:pPr>
              <w:spacing w:after="0"/>
              <w:jc w:val="right"/>
              <w:rPr>
                <w:rFonts w:asciiTheme="minorHAnsi" w:hAnsiTheme="minorHAnsi" w:cstheme="minorHAnsi"/>
                <w:sz w:val="14"/>
                <w:szCs w:val="14"/>
                <w:lang w:val="en-US" w:eastAsia="en-US"/>
              </w:rPr>
            </w:pPr>
          </w:p>
        </w:tc>
        <w:tc>
          <w:tcPr>
            <w:tcW w:w="708" w:type="dxa"/>
            <w:tcBorders>
              <w:top w:val="nil"/>
              <w:left w:val="nil"/>
              <w:bottom w:val="nil"/>
              <w:right w:val="nil"/>
            </w:tcBorders>
            <w:shd w:val="clear" w:color="auto" w:fill="auto"/>
            <w:noWrap/>
            <w:hideMark/>
          </w:tcPr>
          <w:p w14:paraId="643C28C3" w14:textId="77777777" w:rsidR="00E0636F" w:rsidRPr="00B95C7E" w:rsidRDefault="00E0636F" w:rsidP="00E0636F">
            <w:pPr>
              <w:spacing w:after="0"/>
              <w:rPr>
                <w:rFonts w:asciiTheme="minorHAnsi" w:hAnsiTheme="minorHAnsi" w:cstheme="minorHAnsi"/>
                <w:sz w:val="20"/>
                <w:lang w:val="en-US" w:eastAsia="en-US"/>
              </w:rPr>
            </w:pPr>
          </w:p>
        </w:tc>
        <w:tc>
          <w:tcPr>
            <w:tcW w:w="851" w:type="dxa"/>
            <w:tcBorders>
              <w:top w:val="nil"/>
              <w:left w:val="nil"/>
              <w:bottom w:val="nil"/>
              <w:right w:val="nil"/>
            </w:tcBorders>
            <w:shd w:val="clear" w:color="auto" w:fill="auto"/>
            <w:noWrap/>
            <w:hideMark/>
          </w:tcPr>
          <w:p w14:paraId="72F4A338" w14:textId="77777777" w:rsidR="00E0636F" w:rsidRPr="00B95C7E" w:rsidRDefault="00E0636F" w:rsidP="00E0636F">
            <w:pPr>
              <w:spacing w:after="0"/>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 </w:t>
            </w:r>
          </w:p>
        </w:tc>
        <w:tc>
          <w:tcPr>
            <w:tcW w:w="662" w:type="dxa"/>
            <w:tcBorders>
              <w:top w:val="nil"/>
              <w:left w:val="nil"/>
              <w:bottom w:val="nil"/>
              <w:right w:val="nil"/>
            </w:tcBorders>
            <w:shd w:val="clear" w:color="auto" w:fill="auto"/>
            <w:noWrap/>
            <w:hideMark/>
          </w:tcPr>
          <w:p w14:paraId="2E268824" w14:textId="77777777" w:rsidR="00E0636F" w:rsidRPr="00B95C7E" w:rsidRDefault="00E0636F" w:rsidP="00E0636F">
            <w:pPr>
              <w:spacing w:after="0"/>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 </w:t>
            </w:r>
          </w:p>
        </w:tc>
      </w:tr>
      <w:tr w:rsidR="002D6B6A" w:rsidRPr="00B95C7E" w14:paraId="6F040668" w14:textId="77777777" w:rsidTr="00A23161">
        <w:trPr>
          <w:trHeight w:val="243"/>
        </w:trPr>
        <w:tc>
          <w:tcPr>
            <w:tcW w:w="709" w:type="dxa"/>
            <w:tcBorders>
              <w:top w:val="nil"/>
              <w:left w:val="nil"/>
              <w:bottom w:val="single" w:sz="4" w:space="0" w:color="auto"/>
              <w:right w:val="nil"/>
            </w:tcBorders>
            <w:shd w:val="clear" w:color="auto" w:fill="auto"/>
            <w:noWrap/>
            <w:hideMark/>
          </w:tcPr>
          <w:p w14:paraId="4B31E81D" w14:textId="77777777" w:rsidR="002D6B6A" w:rsidRPr="00B95C7E" w:rsidRDefault="002D6B6A" w:rsidP="00E0636F">
            <w:pPr>
              <w:spacing w:after="0"/>
              <w:jc w:val="center"/>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Top 20</w:t>
            </w:r>
          </w:p>
        </w:tc>
        <w:tc>
          <w:tcPr>
            <w:tcW w:w="5387" w:type="dxa"/>
            <w:gridSpan w:val="5"/>
            <w:tcBorders>
              <w:top w:val="nil"/>
              <w:left w:val="nil"/>
              <w:bottom w:val="single" w:sz="4" w:space="0" w:color="auto"/>
              <w:right w:val="nil"/>
            </w:tcBorders>
            <w:shd w:val="clear" w:color="auto" w:fill="auto"/>
            <w:noWrap/>
            <w:hideMark/>
          </w:tcPr>
          <w:p w14:paraId="54A280D1" w14:textId="77777777" w:rsidR="002D6B6A" w:rsidRPr="00B95C7E" w:rsidRDefault="002D6B6A" w:rsidP="00E0636F">
            <w:pPr>
              <w:spacing w:after="0"/>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Top 20 cost-weighted separations, % of all DRGs</w:t>
            </w:r>
          </w:p>
        </w:tc>
        <w:tc>
          <w:tcPr>
            <w:tcW w:w="567" w:type="dxa"/>
            <w:gridSpan w:val="2"/>
            <w:tcBorders>
              <w:top w:val="nil"/>
              <w:left w:val="nil"/>
              <w:bottom w:val="single" w:sz="4" w:space="0" w:color="auto"/>
              <w:right w:val="nil"/>
            </w:tcBorders>
            <w:shd w:val="clear" w:color="auto" w:fill="auto"/>
            <w:noWrap/>
            <w:hideMark/>
          </w:tcPr>
          <w:p w14:paraId="7934BB6C" w14:textId="77777777" w:rsidR="002D6B6A" w:rsidRPr="00B95C7E" w:rsidRDefault="002D6B6A" w:rsidP="00E0636F">
            <w:pPr>
              <w:spacing w:after="0"/>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 </w:t>
            </w:r>
          </w:p>
        </w:tc>
        <w:tc>
          <w:tcPr>
            <w:tcW w:w="709" w:type="dxa"/>
            <w:tcBorders>
              <w:top w:val="nil"/>
              <w:left w:val="nil"/>
              <w:bottom w:val="single" w:sz="4" w:space="0" w:color="auto"/>
              <w:right w:val="nil"/>
            </w:tcBorders>
            <w:shd w:val="clear" w:color="auto" w:fill="auto"/>
            <w:noWrap/>
            <w:hideMark/>
          </w:tcPr>
          <w:p w14:paraId="770714D8" w14:textId="77777777" w:rsidR="002D6B6A" w:rsidRPr="00B95C7E" w:rsidRDefault="002D6B6A" w:rsidP="00E0636F">
            <w:pPr>
              <w:spacing w:after="0"/>
              <w:jc w:val="right"/>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28%</w:t>
            </w:r>
          </w:p>
        </w:tc>
        <w:tc>
          <w:tcPr>
            <w:tcW w:w="781" w:type="dxa"/>
            <w:tcBorders>
              <w:top w:val="nil"/>
              <w:left w:val="nil"/>
              <w:bottom w:val="single" w:sz="4" w:space="0" w:color="auto"/>
              <w:right w:val="nil"/>
            </w:tcBorders>
            <w:shd w:val="clear" w:color="auto" w:fill="auto"/>
            <w:noWrap/>
            <w:hideMark/>
          </w:tcPr>
          <w:p w14:paraId="65B790FC" w14:textId="7392BBF2" w:rsidR="002D6B6A" w:rsidRPr="00B95C7E" w:rsidRDefault="002D6B6A" w:rsidP="00E0636F">
            <w:pPr>
              <w:spacing w:after="0"/>
              <w:jc w:val="right"/>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30%</w:t>
            </w:r>
          </w:p>
        </w:tc>
        <w:tc>
          <w:tcPr>
            <w:tcW w:w="839" w:type="dxa"/>
            <w:gridSpan w:val="2"/>
            <w:tcBorders>
              <w:top w:val="nil"/>
              <w:left w:val="nil"/>
              <w:bottom w:val="single" w:sz="4" w:space="0" w:color="auto"/>
              <w:right w:val="nil"/>
            </w:tcBorders>
            <w:shd w:val="clear" w:color="auto" w:fill="auto"/>
            <w:noWrap/>
            <w:hideMark/>
          </w:tcPr>
          <w:p w14:paraId="4E4210C0" w14:textId="4E22E20E" w:rsidR="002D6B6A" w:rsidRPr="00B95C7E" w:rsidRDefault="002D6B6A" w:rsidP="00E0636F">
            <w:pPr>
              <w:spacing w:after="0"/>
              <w:jc w:val="right"/>
              <w:rPr>
                <w:rFonts w:asciiTheme="minorHAnsi" w:hAnsiTheme="minorHAnsi" w:cstheme="minorHAnsi"/>
                <w:b/>
                <w:bCs/>
                <w:sz w:val="14"/>
                <w:szCs w:val="14"/>
                <w:lang w:val="en-US" w:eastAsia="en-US"/>
              </w:rPr>
            </w:pPr>
            <w:r w:rsidRPr="00B95C7E">
              <w:rPr>
                <w:rFonts w:asciiTheme="minorHAnsi" w:hAnsiTheme="minorHAnsi" w:cstheme="minorHAnsi"/>
                <w:b/>
                <w:bCs/>
                <w:sz w:val="14"/>
                <w:szCs w:val="14"/>
                <w:lang w:val="en-US" w:eastAsia="en-US"/>
              </w:rPr>
              <w:t>23%</w:t>
            </w:r>
          </w:p>
        </w:tc>
        <w:tc>
          <w:tcPr>
            <w:tcW w:w="1073" w:type="dxa"/>
            <w:tcBorders>
              <w:top w:val="nil"/>
              <w:left w:val="nil"/>
              <w:bottom w:val="single" w:sz="4" w:space="0" w:color="auto"/>
              <w:right w:val="nil"/>
            </w:tcBorders>
            <w:shd w:val="clear" w:color="auto" w:fill="auto"/>
            <w:noWrap/>
            <w:hideMark/>
          </w:tcPr>
          <w:p w14:paraId="57898398" w14:textId="77777777" w:rsidR="002D6B6A" w:rsidRPr="00B95C7E" w:rsidRDefault="002D6B6A" w:rsidP="00E0636F">
            <w:pPr>
              <w:spacing w:after="0"/>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w:t>
            </w:r>
          </w:p>
        </w:tc>
        <w:tc>
          <w:tcPr>
            <w:tcW w:w="567" w:type="dxa"/>
            <w:tcBorders>
              <w:top w:val="nil"/>
              <w:left w:val="nil"/>
              <w:bottom w:val="single" w:sz="4" w:space="0" w:color="auto"/>
              <w:right w:val="nil"/>
            </w:tcBorders>
            <w:shd w:val="clear" w:color="auto" w:fill="auto"/>
            <w:noWrap/>
            <w:hideMark/>
          </w:tcPr>
          <w:p w14:paraId="518A42FF" w14:textId="1DFCE29E" w:rsidR="002D6B6A" w:rsidRPr="00B95C7E" w:rsidRDefault="002D6B6A" w:rsidP="00E0636F">
            <w:pPr>
              <w:spacing w:after="0"/>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w:t>
            </w:r>
          </w:p>
        </w:tc>
        <w:tc>
          <w:tcPr>
            <w:tcW w:w="575" w:type="dxa"/>
            <w:tcBorders>
              <w:top w:val="nil"/>
              <w:left w:val="nil"/>
              <w:bottom w:val="single" w:sz="4" w:space="0" w:color="auto"/>
              <w:right w:val="nil"/>
            </w:tcBorders>
            <w:shd w:val="clear" w:color="auto" w:fill="auto"/>
            <w:noWrap/>
            <w:hideMark/>
          </w:tcPr>
          <w:p w14:paraId="4039163D" w14:textId="77777777" w:rsidR="002D6B6A" w:rsidRPr="00B95C7E" w:rsidRDefault="002D6B6A" w:rsidP="00E0636F">
            <w:pPr>
              <w:spacing w:after="0"/>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w:t>
            </w:r>
          </w:p>
        </w:tc>
        <w:tc>
          <w:tcPr>
            <w:tcW w:w="575" w:type="dxa"/>
            <w:tcBorders>
              <w:top w:val="nil"/>
              <w:left w:val="nil"/>
              <w:bottom w:val="single" w:sz="4" w:space="0" w:color="auto"/>
              <w:right w:val="nil"/>
            </w:tcBorders>
            <w:shd w:val="clear" w:color="auto" w:fill="auto"/>
            <w:noWrap/>
            <w:hideMark/>
          </w:tcPr>
          <w:p w14:paraId="691707B0" w14:textId="77777777" w:rsidR="002D6B6A" w:rsidRPr="00B95C7E" w:rsidRDefault="002D6B6A" w:rsidP="00E0636F">
            <w:pPr>
              <w:spacing w:after="0"/>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w:t>
            </w:r>
          </w:p>
        </w:tc>
        <w:tc>
          <w:tcPr>
            <w:tcW w:w="851" w:type="dxa"/>
            <w:tcBorders>
              <w:top w:val="nil"/>
              <w:left w:val="nil"/>
              <w:bottom w:val="single" w:sz="4" w:space="0" w:color="auto"/>
              <w:right w:val="nil"/>
            </w:tcBorders>
            <w:shd w:val="clear" w:color="auto" w:fill="auto"/>
            <w:noWrap/>
            <w:hideMark/>
          </w:tcPr>
          <w:p w14:paraId="338EC980" w14:textId="77777777" w:rsidR="002D6B6A" w:rsidRPr="00B95C7E" w:rsidRDefault="002D6B6A" w:rsidP="00E0636F">
            <w:pPr>
              <w:spacing w:after="0"/>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w:t>
            </w:r>
          </w:p>
        </w:tc>
        <w:tc>
          <w:tcPr>
            <w:tcW w:w="708" w:type="dxa"/>
            <w:tcBorders>
              <w:top w:val="nil"/>
              <w:left w:val="nil"/>
              <w:bottom w:val="single" w:sz="4" w:space="0" w:color="auto"/>
              <w:right w:val="nil"/>
            </w:tcBorders>
            <w:shd w:val="clear" w:color="auto" w:fill="auto"/>
            <w:noWrap/>
            <w:hideMark/>
          </w:tcPr>
          <w:p w14:paraId="07D4EFD2" w14:textId="77777777" w:rsidR="002D6B6A" w:rsidRPr="00B95C7E" w:rsidRDefault="002D6B6A" w:rsidP="00E0636F">
            <w:pPr>
              <w:spacing w:after="0"/>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w:t>
            </w:r>
          </w:p>
        </w:tc>
        <w:tc>
          <w:tcPr>
            <w:tcW w:w="851" w:type="dxa"/>
            <w:tcBorders>
              <w:top w:val="nil"/>
              <w:left w:val="nil"/>
              <w:bottom w:val="single" w:sz="4" w:space="0" w:color="auto"/>
              <w:right w:val="nil"/>
            </w:tcBorders>
            <w:shd w:val="clear" w:color="auto" w:fill="auto"/>
            <w:noWrap/>
            <w:hideMark/>
          </w:tcPr>
          <w:p w14:paraId="0F01073C" w14:textId="77777777" w:rsidR="002D6B6A" w:rsidRPr="00B95C7E" w:rsidRDefault="002D6B6A" w:rsidP="00E0636F">
            <w:pPr>
              <w:spacing w:after="0"/>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w:t>
            </w:r>
          </w:p>
        </w:tc>
        <w:tc>
          <w:tcPr>
            <w:tcW w:w="662" w:type="dxa"/>
            <w:tcBorders>
              <w:top w:val="nil"/>
              <w:left w:val="nil"/>
              <w:bottom w:val="single" w:sz="4" w:space="0" w:color="auto"/>
              <w:right w:val="nil"/>
            </w:tcBorders>
            <w:shd w:val="clear" w:color="auto" w:fill="auto"/>
            <w:noWrap/>
            <w:hideMark/>
          </w:tcPr>
          <w:p w14:paraId="357F4843" w14:textId="77777777" w:rsidR="002D6B6A" w:rsidRPr="00B95C7E" w:rsidRDefault="002D6B6A" w:rsidP="00E0636F">
            <w:pPr>
              <w:spacing w:after="0"/>
              <w:rPr>
                <w:rFonts w:asciiTheme="minorHAnsi" w:hAnsiTheme="minorHAnsi" w:cstheme="minorHAnsi"/>
                <w:sz w:val="14"/>
                <w:szCs w:val="14"/>
                <w:lang w:val="en-US" w:eastAsia="en-US"/>
              </w:rPr>
            </w:pPr>
            <w:r w:rsidRPr="00B95C7E">
              <w:rPr>
                <w:rFonts w:asciiTheme="minorHAnsi" w:hAnsiTheme="minorHAnsi" w:cstheme="minorHAnsi"/>
                <w:sz w:val="14"/>
                <w:szCs w:val="14"/>
                <w:lang w:val="en-US" w:eastAsia="en-US"/>
              </w:rPr>
              <w:t> </w:t>
            </w:r>
          </w:p>
        </w:tc>
      </w:tr>
    </w:tbl>
    <w:p w14:paraId="6D0C0523" w14:textId="6CB44085" w:rsidR="00B95C7E" w:rsidRPr="00B95C7E" w:rsidRDefault="00B95C7E" w:rsidP="00A23161">
      <w:pPr>
        <w:spacing w:after="0"/>
        <w:rPr>
          <w:rFonts w:asciiTheme="minorHAnsi" w:hAnsiTheme="minorHAnsi" w:cstheme="minorHAnsi"/>
          <w:sz w:val="16"/>
        </w:rPr>
      </w:pPr>
      <w:r w:rsidRPr="00B95C7E">
        <w:rPr>
          <w:rFonts w:asciiTheme="minorHAnsi" w:hAnsiTheme="minorHAnsi" w:cstheme="minorHAnsi"/>
          <w:color w:val="008A00" w:themeColor="accent2"/>
          <w:sz w:val="16"/>
        </w:rPr>
        <w:t>Notes</w:t>
      </w:r>
      <w:r w:rsidRPr="00B95C7E">
        <w:rPr>
          <w:rFonts w:asciiTheme="minorHAnsi" w:hAnsiTheme="minorHAnsi" w:cstheme="minorHAnsi"/>
          <w:sz w:val="16"/>
        </w:rPr>
        <w:tab/>
      </w:r>
      <w:r w:rsidRPr="00B95C7E">
        <w:rPr>
          <w:rFonts w:asciiTheme="minorHAnsi" w:hAnsiTheme="minorHAnsi" w:cstheme="minorHAnsi"/>
          <w:sz w:val="16"/>
        </w:rPr>
        <w:tab/>
      </w:r>
    </w:p>
    <w:p w14:paraId="012DEF1A" w14:textId="4F73F6BD" w:rsidR="00B95C7E" w:rsidRPr="00B95C7E" w:rsidRDefault="00B95C7E" w:rsidP="00A23161">
      <w:pPr>
        <w:spacing w:after="0"/>
        <w:rPr>
          <w:rFonts w:asciiTheme="minorHAnsi" w:hAnsiTheme="minorHAnsi" w:cstheme="minorHAnsi"/>
          <w:sz w:val="16"/>
        </w:rPr>
      </w:pPr>
      <w:r w:rsidRPr="00B95C7E">
        <w:rPr>
          <w:rFonts w:asciiTheme="minorHAnsi" w:hAnsiTheme="minorHAnsi" w:cstheme="minorHAnsi"/>
          <w:sz w:val="16"/>
        </w:rPr>
        <w:t>(a) For cost weight (cost bucket specific) calculations please refer to</w:t>
      </w:r>
      <w:r w:rsidR="00544B40">
        <w:rPr>
          <w:rFonts w:asciiTheme="minorHAnsi" w:hAnsiTheme="minorHAnsi" w:cstheme="minorHAnsi"/>
          <w:sz w:val="16"/>
        </w:rPr>
        <w:t xml:space="preserve"> </w:t>
      </w:r>
      <w:r w:rsidR="00544B40">
        <w:rPr>
          <w:rFonts w:asciiTheme="minorHAnsi" w:hAnsiTheme="minorHAnsi" w:cstheme="minorHAnsi"/>
          <w:sz w:val="16"/>
        </w:rPr>
        <w:fldChar w:fldCharType="begin"/>
      </w:r>
      <w:r w:rsidR="00544B40">
        <w:rPr>
          <w:rFonts w:asciiTheme="minorHAnsi" w:hAnsiTheme="minorHAnsi" w:cstheme="minorHAnsi"/>
          <w:sz w:val="16"/>
        </w:rPr>
        <w:instrText xml:space="preserve"> REF _Ref497335615 \h  \* MERGEFORMAT </w:instrText>
      </w:r>
      <w:r w:rsidR="00544B40">
        <w:rPr>
          <w:rFonts w:asciiTheme="minorHAnsi" w:hAnsiTheme="minorHAnsi" w:cstheme="minorHAnsi"/>
          <w:sz w:val="16"/>
        </w:rPr>
      </w:r>
      <w:r w:rsidR="00544B40">
        <w:rPr>
          <w:rFonts w:asciiTheme="minorHAnsi" w:hAnsiTheme="minorHAnsi" w:cstheme="minorHAnsi"/>
          <w:sz w:val="16"/>
        </w:rPr>
        <w:fldChar w:fldCharType="separate"/>
      </w:r>
      <w:r w:rsidR="00681CD9" w:rsidRPr="00681CD9">
        <w:rPr>
          <w:rFonts w:asciiTheme="minorHAnsi" w:hAnsiTheme="minorHAnsi" w:cstheme="minorHAnsi"/>
          <w:sz w:val="16"/>
        </w:rPr>
        <w:t>Appendix D: Cost weight tables by AR-DRG Version 8.0</w:t>
      </w:r>
      <w:r w:rsidR="00544B40">
        <w:rPr>
          <w:rFonts w:asciiTheme="minorHAnsi" w:hAnsiTheme="minorHAnsi" w:cstheme="minorHAnsi"/>
          <w:sz w:val="16"/>
        </w:rPr>
        <w:fldChar w:fldCharType="end"/>
      </w:r>
      <w:r w:rsidR="00544B40">
        <w:rPr>
          <w:rFonts w:asciiTheme="minorHAnsi" w:hAnsiTheme="minorHAnsi" w:cstheme="minorHAnsi"/>
          <w:sz w:val="16"/>
        </w:rPr>
        <w:tab/>
      </w:r>
      <w:r w:rsidRPr="00B95C7E">
        <w:rPr>
          <w:rFonts w:asciiTheme="minorHAnsi" w:hAnsiTheme="minorHAnsi" w:cstheme="minorHAnsi"/>
          <w:sz w:val="16"/>
        </w:rPr>
        <w:tab/>
      </w:r>
    </w:p>
    <w:p w14:paraId="5A3A74C3" w14:textId="77777777" w:rsidR="00B95C7E" w:rsidRPr="00B95C7E" w:rsidRDefault="00B95C7E" w:rsidP="00A23161">
      <w:pPr>
        <w:spacing w:after="0"/>
        <w:rPr>
          <w:rFonts w:asciiTheme="minorHAnsi" w:hAnsiTheme="minorHAnsi" w:cstheme="minorHAnsi"/>
          <w:sz w:val="16"/>
        </w:rPr>
      </w:pPr>
      <w:r w:rsidRPr="00B95C7E">
        <w:rPr>
          <w:rFonts w:asciiTheme="minorHAnsi" w:hAnsiTheme="minorHAnsi" w:cstheme="minorHAnsi"/>
          <w:sz w:val="16"/>
        </w:rPr>
        <w:t>(b) Separations shown are strata weighted</w:t>
      </w:r>
      <w:r w:rsidRPr="00B95C7E">
        <w:rPr>
          <w:rFonts w:asciiTheme="minorHAnsi" w:hAnsiTheme="minorHAnsi" w:cstheme="minorHAnsi"/>
          <w:sz w:val="16"/>
        </w:rPr>
        <w:tab/>
      </w:r>
    </w:p>
    <w:p w14:paraId="70D5AB1B" w14:textId="7AA1F69B" w:rsidR="005D7320" w:rsidRDefault="00B95C7E" w:rsidP="00A23161">
      <w:pPr>
        <w:spacing w:after="0"/>
        <w:rPr>
          <w:rFonts w:asciiTheme="majorHAnsi" w:hAnsiTheme="majorHAnsi"/>
          <w:b/>
          <w:bCs/>
          <w:color w:val="333132" w:themeColor="text2"/>
          <w:sz w:val="20"/>
          <w:lang w:val="en-GB" w:eastAsia="en-US"/>
        </w:rPr>
      </w:pPr>
      <w:r w:rsidRPr="00B95C7E">
        <w:rPr>
          <w:rFonts w:asciiTheme="minorHAnsi" w:hAnsiTheme="minorHAnsi" w:cstheme="minorHAnsi"/>
          <w:sz w:val="16"/>
        </w:rPr>
        <w:t xml:space="preserve">(e) </w:t>
      </w:r>
      <w:proofErr w:type="spellStart"/>
      <w:r w:rsidRPr="00B95C7E">
        <w:rPr>
          <w:rFonts w:asciiTheme="minorHAnsi" w:hAnsiTheme="minorHAnsi" w:cstheme="minorHAnsi"/>
          <w:sz w:val="16"/>
        </w:rPr>
        <w:t>ALoS</w:t>
      </w:r>
      <w:proofErr w:type="spellEnd"/>
      <w:r w:rsidRPr="00B95C7E">
        <w:rPr>
          <w:rFonts w:asciiTheme="minorHAnsi" w:hAnsiTheme="minorHAnsi" w:cstheme="minorHAnsi"/>
          <w:sz w:val="16"/>
        </w:rPr>
        <w:t xml:space="preserve"> means average length of stay</w:t>
      </w:r>
      <w:r w:rsidRPr="00B95C7E">
        <w:rPr>
          <w:rFonts w:asciiTheme="minorHAnsi" w:hAnsiTheme="minorHAnsi" w:cstheme="minorHAnsi"/>
          <w:sz w:val="16"/>
        </w:rPr>
        <w:tab/>
      </w:r>
      <w:r w:rsidR="005D7320">
        <w:br w:type="page"/>
      </w:r>
    </w:p>
    <w:p w14:paraId="73DD3DB1" w14:textId="77777777" w:rsidR="002D6B6A" w:rsidRDefault="002D6B6A" w:rsidP="005D7320">
      <w:pPr>
        <w:pStyle w:val="Figureheadings"/>
        <w:sectPr w:rsidR="002D6B6A" w:rsidSect="00A23161">
          <w:pgSz w:w="16840" w:h="11907" w:orient="landscape" w:code="9"/>
          <w:pgMar w:top="1702" w:right="2041" w:bottom="851" w:left="851" w:header="680" w:footer="510" w:gutter="0"/>
          <w:cols w:space="708"/>
          <w:docGrid w:linePitch="360"/>
        </w:sectPr>
      </w:pPr>
    </w:p>
    <w:p w14:paraId="6DF17748" w14:textId="6FCDEC5F" w:rsidR="005D7320" w:rsidRDefault="005D7320" w:rsidP="00823FE0">
      <w:pPr>
        <w:pStyle w:val="Heading3"/>
        <w:rPr>
          <w:rFonts w:ascii="Georgia" w:hAnsi="Georgia"/>
          <w:sz w:val="20"/>
          <w:szCs w:val="20"/>
        </w:rPr>
      </w:pPr>
      <w:bookmarkStart w:id="185" w:name="_Ref433278909"/>
      <w:bookmarkStart w:id="186" w:name="_Toc496857581"/>
      <w:r>
        <w:lastRenderedPageBreak/>
        <w:t xml:space="preserve">Top 20 DRGs ranked by </w:t>
      </w:r>
      <w:proofErr w:type="spellStart"/>
      <w:r>
        <w:t>ALoS</w:t>
      </w:r>
      <w:bookmarkEnd w:id="185"/>
      <w:bookmarkEnd w:id="186"/>
      <w:proofErr w:type="spellEnd"/>
    </w:p>
    <w:p w14:paraId="637A03A2" w14:textId="354C347A" w:rsidR="005D7320" w:rsidRPr="00D60A39" w:rsidRDefault="005D7320" w:rsidP="005D7320">
      <w:pPr>
        <w:pStyle w:val="Intro"/>
      </w:pPr>
      <w:r w:rsidRPr="00D60A39">
        <w:t>Key findings</w:t>
      </w:r>
    </w:p>
    <w:p w14:paraId="0E4463FC" w14:textId="5B1D4A45" w:rsidR="00E7439E" w:rsidRDefault="006654BA" w:rsidP="005D7320">
      <w:pPr>
        <w:rPr>
          <w:highlight w:val="yellow"/>
        </w:rPr>
      </w:pPr>
      <w:r>
        <w:t>Table 8</w:t>
      </w:r>
      <w:r w:rsidR="005D7320" w:rsidRPr="00685F64">
        <w:t xml:space="preserve"> shows that the DRG with the highest </w:t>
      </w:r>
      <w:proofErr w:type="spellStart"/>
      <w:r w:rsidR="005D7320" w:rsidRPr="00685F64">
        <w:t>ALoS</w:t>
      </w:r>
      <w:proofErr w:type="spellEnd"/>
      <w:r w:rsidR="005D7320" w:rsidRPr="00685F64">
        <w:t xml:space="preserve"> </w:t>
      </w:r>
      <w:r w:rsidR="00685F64">
        <w:t xml:space="preserve">is I02A </w:t>
      </w:r>
      <w:r w:rsidR="00685F64" w:rsidRPr="00685F64">
        <w:t>Microvascular Tissue Transfers or Skin Grafts, Excluding Hand, Major Complexity</w:t>
      </w:r>
      <w:r w:rsidR="00161056">
        <w:t xml:space="preserve"> with a </w:t>
      </w:r>
      <w:proofErr w:type="spellStart"/>
      <w:r w:rsidR="00161056">
        <w:t>ALoS</w:t>
      </w:r>
      <w:proofErr w:type="spellEnd"/>
      <w:r w:rsidR="00161056">
        <w:t xml:space="preserve"> of 50.6 days</w:t>
      </w:r>
      <w:r w:rsidR="00281672">
        <w:t xml:space="preserve">, </w:t>
      </w:r>
      <w:r w:rsidR="005D7320" w:rsidRPr="00685F64">
        <w:t xml:space="preserve">which was ranked number two </w:t>
      </w:r>
      <w:r w:rsidR="00A45C4C">
        <w:t>in Round 18</w:t>
      </w:r>
      <w:r w:rsidR="005D7320" w:rsidRPr="00685F64">
        <w:t xml:space="preserve"> and is customary to be ranked number one or two given the fact these are highly complex and resource intense patients.</w:t>
      </w:r>
    </w:p>
    <w:p w14:paraId="70BC7D15" w14:textId="75516D3B" w:rsidR="00E7439E" w:rsidRDefault="00AA16B4" w:rsidP="005D7320">
      <w:pPr>
        <w:rPr>
          <w:highlight w:val="yellow"/>
        </w:rPr>
      </w:pPr>
      <w:r>
        <w:t xml:space="preserve">As demonstrated in </w:t>
      </w:r>
      <w:r w:rsidR="006654BA">
        <w:t>Table 8</w:t>
      </w:r>
      <w:r w:rsidR="005D7320" w:rsidRPr="00161056">
        <w:t xml:space="preserve"> the DRGs listed in the top 20 are expected to be within this ranking given that they all are complex patient</w:t>
      </w:r>
      <w:r w:rsidR="00D61C39">
        <w:t xml:space="preserve">s as they have been coded to </w:t>
      </w:r>
      <w:r w:rsidR="005D7320" w:rsidRPr="00161056">
        <w:t xml:space="preserve">DRGs ending in A or B which indicates complexity and comorbidities which typically leads to a long </w:t>
      </w:r>
      <w:proofErr w:type="spellStart"/>
      <w:r w:rsidR="00D81F1E">
        <w:t>LoS</w:t>
      </w:r>
      <w:proofErr w:type="spellEnd"/>
      <w:r w:rsidR="005D7320" w:rsidRPr="00161056">
        <w:t xml:space="preserve">. </w:t>
      </w:r>
    </w:p>
    <w:p w14:paraId="0A1773DC" w14:textId="4FD877E7" w:rsidR="00E7439E" w:rsidRDefault="00281672" w:rsidP="005D7320">
      <w:r>
        <w:t xml:space="preserve">In </w:t>
      </w:r>
      <w:r w:rsidR="006654BA">
        <w:t>Table 8</w:t>
      </w:r>
      <w:r w:rsidR="005D7320" w:rsidRPr="00161056">
        <w:t xml:space="preserve"> these DRGs as we would anticipate represent the minority of separation</w:t>
      </w:r>
      <w:r w:rsidR="00D61C39">
        <w:t>s given that they represent 0.1 per cent</w:t>
      </w:r>
      <w:r w:rsidR="005D7320" w:rsidRPr="00161056">
        <w:t xml:space="preserve"> (3,</w:t>
      </w:r>
      <w:r w:rsidR="00161056">
        <w:t>816</w:t>
      </w:r>
      <w:r w:rsidR="005D7320" w:rsidRPr="00161056">
        <w:t xml:space="preserve"> population-adjusted separations) of the total population-adjusted separations (</w:t>
      </w:r>
      <w:r w:rsidR="00161056">
        <w:t>3.05m</w:t>
      </w:r>
      <w:r w:rsidR="005D7320" w:rsidRPr="00161056">
        <w:t xml:space="preserve"> population-adjusted separations). </w:t>
      </w:r>
      <w:r>
        <w:t xml:space="preserve">In </w:t>
      </w:r>
      <w:r w:rsidR="006654BA">
        <w:t>Table 8</w:t>
      </w:r>
      <w:r w:rsidR="00D61C39">
        <w:t xml:space="preserve"> these </w:t>
      </w:r>
      <w:r w:rsidR="005D7320" w:rsidRPr="00161056">
        <w:t>DRGs represent 1.</w:t>
      </w:r>
      <w:r w:rsidR="00161056">
        <w:t>5</w:t>
      </w:r>
      <w:r w:rsidR="00D61C39">
        <w:t xml:space="preserve"> per cent</w:t>
      </w:r>
      <w:r w:rsidR="005D7320" w:rsidRPr="00161056">
        <w:t xml:space="preserve"> (</w:t>
      </w:r>
      <w:r w:rsidR="00161056">
        <w:t>46,80</w:t>
      </w:r>
      <w:r w:rsidR="00FA0F21">
        <w:t>8</w:t>
      </w:r>
      <w:r w:rsidR="005D7320" w:rsidRPr="00161056">
        <w:t xml:space="preserve"> cost weighted separations) of the total population cost weighted separations.</w:t>
      </w:r>
    </w:p>
    <w:p w14:paraId="563178B8" w14:textId="77777777" w:rsidR="005D7320" w:rsidRPr="00D60A39" w:rsidRDefault="005D7320" w:rsidP="005D7320">
      <w:pPr>
        <w:pStyle w:val="Intro"/>
      </w:pPr>
      <w:r w:rsidRPr="00D60A39">
        <w:t>Consistencies between Round 18 and Round 20</w:t>
      </w:r>
    </w:p>
    <w:p w14:paraId="40C481AF" w14:textId="03BEC057" w:rsidR="00E7439E" w:rsidRDefault="00D61C39" w:rsidP="005D7320">
      <w:r>
        <w:t>70 per cent</w:t>
      </w:r>
      <w:r w:rsidR="005D7320" w:rsidRPr="00161056">
        <w:t xml:space="preserve"> (14 out of 20) of this Rounds top 20 </w:t>
      </w:r>
      <w:r w:rsidR="00161056">
        <w:t>DRGs were included in Round 18</w:t>
      </w:r>
      <w:r w:rsidR="005D7320" w:rsidRPr="00161056">
        <w:t xml:space="preserve">’s.  </w:t>
      </w:r>
      <w:r w:rsidR="00161056">
        <w:t xml:space="preserve">The top two DRGs </w:t>
      </w:r>
      <w:r w:rsidR="00FE4117">
        <w:t xml:space="preserve">in Round 20 </w:t>
      </w:r>
      <w:r w:rsidR="00161056">
        <w:t xml:space="preserve">were in the </w:t>
      </w:r>
      <w:r w:rsidR="00FE4117">
        <w:t xml:space="preserve">top </w:t>
      </w:r>
      <w:r w:rsidR="00161056">
        <w:t>two</w:t>
      </w:r>
      <w:r w:rsidR="00FE4117">
        <w:t xml:space="preserve"> DRGs</w:t>
      </w:r>
      <w:r w:rsidR="00161056">
        <w:t xml:space="preserve"> in Round 18</w:t>
      </w:r>
      <w:r w:rsidR="00FE4117">
        <w:t>,</w:t>
      </w:r>
      <w:r w:rsidR="00161056">
        <w:t xml:space="preserve"> however the</w:t>
      </w:r>
      <w:r w:rsidR="009B37DF">
        <w:t>y</w:t>
      </w:r>
      <w:r w:rsidR="00161056">
        <w:t xml:space="preserve"> have switched ranking.  A06A </w:t>
      </w:r>
      <w:r w:rsidR="00161056" w:rsidRPr="00161056">
        <w:t>Tracheostomy and/or Ventilation &gt;=96hours, Major Complexity</w:t>
      </w:r>
      <w:r w:rsidR="00161056">
        <w:t xml:space="preserve"> </w:t>
      </w:r>
      <w:r w:rsidR="00112027">
        <w:t xml:space="preserve">was ranked number one in Round 18 the reduction in ranking is due to </w:t>
      </w:r>
      <w:r w:rsidR="00161056">
        <w:t xml:space="preserve">a significant reduction in </w:t>
      </w:r>
      <w:proofErr w:type="spellStart"/>
      <w:r w:rsidR="00161056">
        <w:t>ALoS</w:t>
      </w:r>
      <w:proofErr w:type="spellEnd"/>
      <w:r w:rsidR="00161056">
        <w:t xml:space="preserve"> of 10.8 days.</w:t>
      </w:r>
      <w:r w:rsidR="00112027">
        <w:t xml:space="preserve">  The reason for this change is due to</w:t>
      </w:r>
      <w:r w:rsidR="005F7730">
        <w:t xml:space="preserve"> the loss in separations when regrouping the original Round 18 data from AR-DRG version </w:t>
      </w:r>
      <w:proofErr w:type="gramStart"/>
      <w:r w:rsidR="005F7730">
        <w:t>6.0x</w:t>
      </w:r>
      <w:proofErr w:type="gramEnd"/>
      <w:r w:rsidR="005F7730">
        <w:t xml:space="preserve"> to AR-DRG version 8.0. </w:t>
      </w:r>
    </w:p>
    <w:p w14:paraId="03BF1EE1" w14:textId="77777777" w:rsidR="00BF794D" w:rsidRPr="0012767B" w:rsidRDefault="00BF794D" w:rsidP="00BF794D">
      <w:pPr>
        <w:pStyle w:val="Intro"/>
      </w:pPr>
      <w:r>
        <w:t>Differences</w:t>
      </w:r>
      <w:r w:rsidRPr="0012767B">
        <w:t xml:space="preserve"> between Round 18 and Round 20</w:t>
      </w:r>
    </w:p>
    <w:p w14:paraId="4DAFEA58" w14:textId="47645E2D" w:rsidR="00E7439E" w:rsidRDefault="00161056" w:rsidP="005D7320">
      <w:r w:rsidRPr="00161056">
        <w:t xml:space="preserve">There </w:t>
      </w:r>
      <w:r>
        <w:t xml:space="preserve">are two new neonatal DRGs entering the top 20 for </w:t>
      </w:r>
      <w:r w:rsidR="00D61C39">
        <w:t>Round 20. T</w:t>
      </w:r>
      <w:r>
        <w:t>hese were previous</w:t>
      </w:r>
      <w:r w:rsidR="00D61C39">
        <w:t>ly</w:t>
      </w:r>
      <w:r>
        <w:t xml:space="preserve"> masked in Round 18</w:t>
      </w:r>
      <w:r w:rsidR="00281672">
        <w:t xml:space="preserve"> (see </w:t>
      </w:r>
      <w:r w:rsidR="006654BA">
        <w:t>Table 8</w:t>
      </w:r>
      <w:r w:rsidR="002C2096">
        <w:t>)</w:t>
      </w:r>
      <w:r>
        <w:t xml:space="preserve">. P03B </w:t>
      </w:r>
      <w:r w:rsidRPr="00161056">
        <w:t xml:space="preserve">Neonate, </w:t>
      </w:r>
      <w:proofErr w:type="spellStart"/>
      <w:r w:rsidRPr="00161056">
        <w:t>AdmWt</w:t>
      </w:r>
      <w:proofErr w:type="spellEnd"/>
      <w:r w:rsidRPr="00161056">
        <w:t xml:space="preserve"> 1000-1499g W Significant OR Proc/Vent&gt;=96hrs, Minor Complexity</w:t>
      </w:r>
      <w:r>
        <w:t xml:space="preserve"> ranked </w:t>
      </w:r>
      <w:r w:rsidR="005F7730">
        <w:t xml:space="preserve">seven </w:t>
      </w:r>
      <w:r>
        <w:t xml:space="preserve">compared to Round 18 where the data was masked due to having less than 5 separations.  P04B </w:t>
      </w:r>
      <w:r w:rsidR="002C2096" w:rsidRPr="002C2096">
        <w:t xml:space="preserve">Neonate, </w:t>
      </w:r>
      <w:proofErr w:type="spellStart"/>
      <w:r w:rsidR="002C2096" w:rsidRPr="002C2096">
        <w:t>AdmWt</w:t>
      </w:r>
      <w:proofErr w:type="spellEnd"/>
      <w:r w:rsidR="002C2096" w:rsidRPr="002C2096">
        <w:t xml:space="preserve"> 1500-1999g W Significant OR Proc/Vent&gt;=96hrs, Minor Complexity</w:t>
      </w:r>
      <w:r w:rsidR="002C2096">
        <w:t xml:space="preserve"> ranked 11 compared to Round 18 where the data was masked due to there being less than three hospitals.</w:t>
      </w:r>
    </w:p>
    <w:p w14:paraId="7735F374" w14:textId="4104322B" w:rsidR="005F7730" w:rsidRPr="005F7730" w:rsidRDefault="005D7320" w:rsidP="005F7730">
      <w:pPr>
        <w:pStyle w:val="CommentText"/>
        <w:rPr>
          <w:sz w:val="22"/>
          <w:szCs w:val="24"/>
        </w:rPr>
      </w:pPr>
      <w:r w:rsidRPr="00626321">
        <w:rPr>
          <w:sz w:val="22"/>
          <w:szCs w:val="24"/>
        </w:rPr>
        <w:t xml:space="preserve">B60A </w:t>
      </w:r>
      <w:r w:rsidR="002C2096" w:rsidRPr="00626321">
        <w:rPr>
          <w:sz w:val="22"/>
          <w:szCs w:val="24"/>
        </w:rPr>
        <w:t xml:space="preserve">Acute Paraplegia and Quadriplegia W or W/O OR Procedures, Major Complexity </w:t>
      </w:r>
      <w:r w:rsidRPr="00626321">
        <w:rPr>
          <w:sz w:val="22"/>
          <w:szCs w:val="24"/>
        </w:rPr>
        <w:t>(</w:t>
      </w:r>
      <w:r w:rsidR="00281672">
        <w:rPr>
          <w:sz w:val="22"/>
          <w:szCs w:val="24"/>
        </w:rPr>
        <w:t>see</w:t>
      </w:r>
      <w:r w:rsidR="00626321">
        <w:rPr>
          <w:sz w:val="22"/>
          <w:szCs w:val="24"/>
        </w:rPr>
        <w:t xml:space="preserve"> </w:t>
      </w:r>
      <w:r w:rsidR="006654BA">
        <w:rPr>
          <w:sz w:val="22"/>
          <w:szCs w:val="24"/>
        </w:rPr>
        <w:t>Figure 4</w:t>
      </w:r>
      <w:r w:rsidRPr="00626321">
        <w:rPr>
          <w:sz w:val="22"/>
          <w:szCs w:val="24"/>
        </w:rPr>
        <w:t xml:space="preserve">) has moved between Rounds from ranking </w:t>
      </w:r>
      <w:r w:rsidR="002C2096" w:rsidRPr="00626321">
        <w:rPr>
          <w:sz w:val="22"/>
          <w:szCs w:val="24"/>
        </w:rPr>
        <w:t>9</w:t>
      </w:r>
      <w:r w:rsidRPr="00626321">
        <w:rPr>
          <w:sz w:val="22"/>
          <w:szCs w:val="24"/>
        </w:rPr>
        <w:t xml:space="preserve"> (Round 1</w:t>
      </w:r>
      <w:r w:rsidR="002C2096" w:rsidRPr="00626321">
        <w:rPr>
          <w:sz w:val="22"/>
          <w:szCs w:val="24"/>
        </w:rPr>
        <w:t>8</w:t>
      </w:r>
      <w:r w:rsidRPr="00626321">
        <w:rPr>
          <w:sz w:val="22"/>
          <w:szCs w:val="24"/>
        </w:rPr>
        <w:t xml:space="preserve">) to ranking </w:t>
      </w:r>
      <w:r w:rsidR="002C2096" w:rsidRPr="00626321">
        <w:rPr>
          <w:sz w:val="22"/>
          <w:szCs w:val="24"/>
        </w:rPr>
        <w:t>3</w:t>
      </w:r>
      <w:r w:rsidRPr="00626321">
        <w:rPr>
          <w:sz w:val="22"/>
          <w:szCs w:val="24"/>
        </w:rPr>
        <w:t xml:space="preserve"> for this Round, driven by  </w:t>
      </w:r>
      <w:proofErr w:type="spellStart"/>
      <w:r w:rsidR="002C2096" w:rsidRPr="00626321">
        <w:rPr>
          <w:sz w:val="22"/>
          <w:szCs w:val="24"/>
        </w:rPr>
        <w:t>ALoS</w:t>
      </w:r>
      <w:proofErr w:type="spellEnd"/>
      <w:r w:rsidR="002C2096" w:rsidRPr="00626321">
        <w:rPr>
          <w:sz w:val="22"/>
          <w:szCs w:val="24"/>
        </w:rPr>
        <w:t xml:space="preserve"> increasing by 17.</w:t>
      </w:r>
      <w:r w:rsidR="00FE4117">
        <w:rPr>
          <w:sz w:val="22"/>
          <w:szCs w:val="24"/>
        </w:rPr>
        <w:t>2</w:t>
      </w:r>
      <w:r w:rsidR="002C2096" w:rsidRPr="00626321">
        <w:rPr>
          <w:sz w:val="22"/>
          <w:szCs w:val="24"/>
        </w:rPr>
        <w:t xml:space="preserve"> days </w:t>
      </w:r>
      <w:r w:rsidRPr="00626321">
        <w:rPr>
          <w:sz w:val="22"/>
          <w:szCs w:val="24"/>
        </w:rPr>
        <w:t xml:space="preserve">between Rounds as </w:t>
      </w:r>
      <w:r w:rsidR="00281672">
        <w:rPr>
          <w:sz w:val="22"/>
          <w:szCs w:val="24"/>
        </w:rPr>
        <w:t>seen</w:t>
      </w:r>
      <w:r w:rsidRPr="00626321">
        <w:rPr>
          <w:sz w:val="22"/>
          <w:szCs w:val="24"/>
        </w:rPr>
        <w:t xml:space="preserve"> in </w:t>
      </w:r>
      <w:r w:rsidR="006654BA">
        <w:rPr>
          <w:sz w:val="22"/>
          <w:szCs w:val="24"/>
        </w:rPr>
        <w:t>Figure 4</w:t>
      </w:r>
      <w:r w:rsidRPr="00626321">
        <w:rPr>
          <w:sz w:val="22"/>
          <w:szCs w:val="24"/>
        </w:rPr>
        <w:t>.</w:t>
      </w:r>
      <w:r w:rsidR="005F7730" w:rsidRPr="00626321">
        <w:rPr>
          <w:sz w:val="22"/>
          <w:szCs w:val="24"/>
        </w:rPr>
        <w:t xml:space="preserve">  </w:t>
      </w:r>
      <w:r w:rsidR="005F7730" w:rsidRPr="005F7730">
        <w:rPr>
          <w:sz w:val="22"/>
          <w:szCs w:val="24"/>
        </w:rPr>
        <w:t>This is due to the low number of weighted separations which appear in this DRG. The low number of separations leads to more volatile results.</w:t>
      </w:r>
    </w:p>
    <w:p w14:paraId="5CDD7813" w14:textId="0EE43D52" w:rsidR="00A23161" w:rsidRDefault="00317D28" w:rsidP="005D7320">
      <w:r>
        <w:rPr>
          <w:szCs w:val="24"/>
        </w:rPr>
        <w:t>I02A</w:t>
      </w:r>
      <w:r w:rsidR="002C2096" w:rsidRPr="00317D28">
        <w:rPr>
          <w:szCs w:val="24"/>
        </w:rPr>
        <w:t xml:space="preserve"> </w:t>
      </w:r>
      <w:r w:rsidRPr="00317D28">
        <w:rPr>
          <w:szCs w:val="24"/>
        </w:rPr>
        <w:t>Microvascular Tissue Transfers or Skin Grafts, Excluding Hand, Major Complexity</w:t>
      </w:r>
      <w:r w:rsidRPr="00317D28" w:rsidDel="00317D28">
        <w:rPr>
          <w:szCs w:val="24"/>
        </w:rPr>
        <w:t xml:space="preserve"> </w:t>
      </w:r>
      <w:r w:rsidR="002B4B8D" w:rsidRPr="00317D28">
        <w:rPr>
          <w:szCs w:val="24"/>
        </w:rPr>
        <w:t>h</w:t>
      </w:r>
      <w:r w:rsidR="002B4B8D">
        <w:t xml:space="preserve">as the greatest </w:t>
      </w:r>
      <w:r w:rsidR="002C2096">
        <w:t xml:space="preserve">range in </w:t>
      </w:r>
      <w:proofErr w:type="spellStart"/>
      <w:r w:rsidR="002C2096">
        <w:t>LoS</w:t>
      </w:r>
      <w:proofErr w:type="spellEnd"/>
      <w:r>
        <w:t>, from a minimum of 5 days to a maximum of 290 days</w:t>
      </w:r>
      <w:r w:rsidR="002B4B8D">
        <w:t xml:space="preserve"> (</w:t>
      </w:r>
      <w:r w:rsidR="00281672">
        <w:t xml:space="preserve">see </w:t>
      </w:r>
      <w:r w:rsidR="006654BA">
        <w:t>Table 8</w:t>
      </w:r>
      <w:r w:rsidR="002B4B8D">
        <w:t>).</w:t>
      </w:r>
      <w:r w:rsidR="002C2096">
        <w:t xml:space="preserve"> </w:t>
      </w:r>
    </w:p>
    <w:p w14:paraId="61C48FF0" w14:textId="56ABD5BB" w:rsidR="00A23161" w:rsidRDefault="006654BA" w:rsidP="00A23161">
      <w:pPr>
        <w:pStyle w:val="Tableoffigures3"/>
      </w:pPr>
      <w:bookmarkStart w:id="187" w:name="_Toc497750036"/>
      <w:r>
        <w:lastRenderedPageBreak/>
        <w:t>Figure 4</w:t>
      </w:r>
      <w:r w:rsidR="00A23161">
        <w:t xml:space="preserve"> Comparison of top 20 DRGs by </w:t>
      </w:r>
      <w:proofErr w:type="spellStart"/>
      <w:r w:rsidR="00A23161">
        <w:t>ALoS</w:t>
      </w:r>
      <w:bookmarkEnd w:id="187"/>
      <w:proofErr w:type="spellEnd"/>
    </w:p>
    <w:p w14:paraId="4CD2E093" w14:textId="77777777" w:rsidR="00A23161" w:rsidRDefault="00A23161" w:rsidP="00A23161">
      <w:r>
        <w:rPr>
          <w:noProof/>
        </w:rPr>
        <w:drawing>
          <wp:inline distT="0" distB="0" distL="0" distR="0" wp14:anchorId="450E39B6" wp14:editId="309BF13E">
            <wp:extent cx="5998210" cy="3083442"/>
            <wp:effectExtent l="0" t="0" r="21590" b="22225"/>
            <wp:docPr id="15" name="Chart 15" descr="This figure shows the 20 diagnosis related groups that have the highest average length of stay in Round 20 with associated Round 18 valu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0FE40F1" w14:textId="77777777" w:rsidR="00A23161" w:rsidRDefault="00A23161" w:rsidP="00A23161">
      <w:pPr>
        <w:rPr>
          <w:snapToGrid w:val="0"/>
        </w:rPr>
      </w:pPr>
      <w:r w:rsidRPr="00B95C7E">
        <w:rPr>
          <w:b/>
          <w:snapToGrid w:val="0"/>
        </w:rPr>
        <w:t>Note:</w:t>
      </w:r>
      <w:r w:rsidRPr="00B95C7E">
        <w:rPr>
          <w:snapToGrid w:val="0"/>
        </w:rPr>
        <w:t xml:space="preserve"> when a Round 18 bar is missing from the chart, this is because that DRG was masked in Round 18 due to having less than 5 separations or having less than 3 hospitals with that DRG.</w:t>
      </w:r>
    </w:p>
    <w:p w14:paraId="3B450459" w14:textId="77777777" w:rsidR="00A23161" w:rsidRDefault="00A23161" w:rsidP="005D7320"/>
    <w:p w14:paraId="427DE27D" w14:textId="3754621F" w:rsidR="005D7320" w:rsidRPr="00202113" w:rsidRDefault="005D7320" w:rsidP="005D7320">
      <w:pPr>
        <w:rPr>
          <w:highlight w:val="yellow"/>
          <w:lang w:eastAsia="en-US"/>
        </w:rPr>
      </w:pPr>
      <w:r>
        <w:rPr>
          <w:highlight w:val="yellow"/>
        </w:rPr>
        <w:br w:type="page"/>
      </w:r>
    </w:p>
    <w:p w14:paraId="7E5BB92D" w14:textId="77777777" w:rsidR="00B95C7E" w:rsidRDefault="00B95C7E" w:rsidP="005D7320">
      <w:pPr>
        <w:pStyle w:val="Tablesheadings"/>
        <w:sectPr w:rsidR="00B95C7E" w:rsidSect="001070A4">
          <w:pgSz w:w="11907" w:h="16840" w:code="9"/>
          <w:pgMar w:top="1843" w:right="1021" w:bottom="2041" w:left="1440" w:header="680" w:footer="510" w:gutter="0"/>
          <w:cols w:space="708"/>
          <w:docGrid w:linePitch="360"/>
        </w:sectPr>
      </w:pPr>
    </w:p>
    <w:p w14:paraId="4224D817" w14:textId="70798A63" w:rsidR="00B95C7E" w:rsidRDefault="006654BA" w:rsidP="00A23161">
      <w:pPr>
        <w:pStyle w:val="TableHeadings3"/>
      </w:pPr>
      <w:bookmarkStart w:id="188" w:name="_Toc497488034"/>
      <w:bookmarkStart w:id="189" w:name="_Toc497750022"/>
      <w:proofErr w:type="gramStart"/>
      <w:r>
        <w:lastRenderedPageBreak/>
        <w:t>Table 8</w:t>
      </w:r>
      <w:r w:rsidR="00A23161">
        <w:t>.</w:t>
      </w:r>
      <w:proofErr w:type="gramEnd"/>
      <w:r w:rsidR="005D7320">
        <w:t xml:space="preserve"> Top 20 DRGs ranked by </w:t>
      </w:r>
      <w:proofErr w:type="spellStart"/>
      <w:r w:rsidR="005D7320">
        <w:t>ALoS</w:t>
      </w:r>
      <w:bookmarkEnd w:id="188"/>
      <w:bookmarkEnd w:id="189"/>
      <w:proofErr w:type="spellEnd"/>
    </w:p>
    <w:tbl>
      <w:tblPr>
        <w:tblW w:w="15380" w:type="dxa"/>
        <w:tblInd w:w="134" w:type="dxa"/>
        <w:tblLook w:val="04A0" w:firstRow="1" w:lastRow="0" w:firstColumn="1" w:lastColumn="0" w:noHBand="0" w:noVBand="1"/>
      </w:tblPr>
      <w:tblGrid>
        <w:gridCol w:w="709"/>
        <w:gridCol w:w="691"/>
        <w:gridCol w:w="600"/>
        <w:gridCol w:w="4637"/>
        <w:gridCol w:w="349"/>
        <w:gridCol w:w="489"/>
        <w:gridCol w:w="124"/>
        <w:gridCol w:w="500"/>
        <w:gridCol w:w="34"/>
        <w:gridCol w:w="619"/>
        <w:gridCol w:w="34"/>
        <w:gridCol w:w="657"/>
        <w:gridCol w:w="34"/>
        <w:gridCol w:w="805"/>
        <w:gridCol w:w="34"/>
        <w:gridCol w:w="850"/>
        <w:gridCol w:w="34"/>
        <w:gridCol w:w="619"/>
        <w:gridCol w:w="34"/>
        <w:gridCol w:w="619"/>
        <w:gridCol w:w="34"/>
        <w:gridCol w:w="619"/>
        <w:gridCol w:w="34"/>
        <w:gridCol w:w="657"/>
        <w:gridCol w:w="34"/>
        <w:gridCol w:w="657"/>
        <w:gridCol w:w="34"/>
        <w:gridCol w:w="805"/>
        <w:gridCol w:w="34"/>
      </w:tblGrid>
      <w:tr w:rsidR="00B95C7E" w:rsidRPr="00965341" w14:paraId="1FC08547" w14:textId="77777777" w:rsidTr="00A23161">
        <w:trPr>
          <w:gridAfter w:val="1"/>
          <w:wAfter w:w="34" w:type="dxa"/>
          <w:trHeight w:val="172"/>
        </w:trPr>
        <w:tc>
          <w:tcPr>
            <w:tcW w:w="709" w:type="dxa"/>
            <w:vMerge w:val="restart"/>
            <w:tcBorders>
              <w:top w:val="single" w:sz="4" w:space="0" w:color="auto"/>
              <w:left w:val="nil"/>
              <w:bottom w:val="single" w:sz="4" w:space="0" w:color="000000"/>
              <w:right w:val="nil"/>
            </w:tcBorders>
            <w:shd w:val="clear" w:color="auto" w:fill="auto"/>
            <w:hideMark/>
          </w:tcPr>
          <w:p w14:paraId="4FD250CF" w14:textId="6DDED722" w:rsidR="00B95C7E" w:rsidRPr="00965341" w:rsidRDefault="00B95C7E" w:rsidP="005C22AC">
            <w:pPr>
              <w:spacing w:after="0"/>
              <w:jc w:val="center"/>
              <w:rPr>
                <w:b/>
                <w:bCs/>
                <w:sz w:val="14"/>
                <w:szCs w:val="14"/>
                <w:lang w:val="en-US" w:eastAsia="en-US"/>
              </w:rPr>
            </w:pPr>
            <w:r w:rsidRPr="00965341">
              <w:rPr>
                <w:b/>
                <w:bCs/>
                <w:sz w:val="14"/>
                <w:szCs w:val="14"/>
                <w:lang w:val="en-US" w:eastAsia="en-US"/>
              </w:rPr>
              <w:t>Top 20 Round 18</w:t>
            </w:r>
          </w:p>
        </w:tc>
        <w:tc>
          <w:tcPr>
            <w:tcW w:w="691" w:type="dxa"/>
            <w:vMerge w:val="restart"/>
            <w:tcBorders>
              <w:top w:val="single" w:sz="4" w:space="0" w:color="auto"/>
              <w:left w:val="nil"/>
              <w:bottom w:val="single" w:sz="4" w:space="0" w:color="000000"/>
              <w:right w:val="nil"/>
            </w:tcBorders>
            <w:shd w:val="clear" w:color="auto" w:fill="auto"/>
            <w:hideMark/>
          </w:tcPr>
          <w:p w14:paraId="5272EA78" w14:textId="77777777" w:rsidR="00B95C7E" w:rsidRPr="00965341" w:rsidRDefault="00B95C7E" w:rsidP="005C22AC">
            <w:pPr>
              <w:spacing w:after="0"/>
              <w:jc w:val="center"/>
              <w:rPr>
                <w:b/>
                <w:bCs/>
                <w:sz w:val="14"/>
                <w:szCs w:val="14"/>
                <w:lang w:val="en-US" w:eastAsia="en-US"/>
              </w:rPr>
            </w:pPr>
            <w:r w:rsidRPr="00965341">
              <w:rPr>
                <w:b/>
                <w:bCs/>
                <w:sz w:val="14"/>
                <w:szCs w:val="14"/>
                <w:lang w:val="en-US" w:eastAsia="en-US"/>
              </w:rPr>
              <w:t>Rank Round 20</w:t>
            </w:r>
          </w:p>
        </w:tc>
        <w:tc>
          <w:tcPr>
            <w:tcW w:w="600" w:type="dxa"/>
            <w:vMerge w:val="restart"/>
            <w:tcBorders>
              <w:top w:val="single" w:sz="4" w:space="0" w:color="auto"/>
              <w:left w:val="nil"/>
              <w:bottom w:val="single" w:sz="4" w:space="0" w:color="000000"/>
              <w:right w:val="nil"/>
            </w:tcBorders>
            <w:shd w:val="clear" w:color="auto" w:fill="auto"/>
            <w:hideMark/>
          </w:tcPr>
          <w:p w14:paraId="1D99CC32" w14:textId="167D8848" w:rsidR="00B95C7E" w:rsidRPr="00965341" w:rsidRDefault="00B95C7E" w:rsidP="005C22AC">
            <w:pPr>
              <w:spacing w:after="0"/>
              <w:rPr>
                <w:b/>
                <w:bCs/>
                <w:sz w:val="14"/>
                <w:szCs w:val="14"/>
                <w:lang w:val="en-US" w:eastAsia="en-US"/>
              </w:rPr>
            </w:pPr>
            <w:r w:rsidRPr="00965341">
              <w:rPr>
                <w:b/>
                <w:bCs/>
                <w:sz w:val="14"/>
                <w:szCs w:val="14"/>
                <w:lang w:val="en-US" w:eastAsia="en-US"/>
              </w:rPr>
              <w:t>DRG</w:t>
            </w:r>
          </w:p>
        </w:tc>
        <w:tc>
          <w:tcPr>
            <w:tcW w:w="4637" w:type="dxa"/>
            <w:vMerge w:val="restart"/>
            <w:tcBorders>
              <w:top w:val="single" w:sz="4" w:space="0" w:color="auto"/>
              <w:left w:val="nil"/>
              <w:bottom w:val="single" w:sz="4" w:space="0" w:color="000000"/>
              <w:right w:val="nil"/>
            </w:tcBorders>
            <w:shd w:val="clear" w:color="auto" w:fill="auto"/>
            <w:noWrap/>
            <w:hideMark/>
          </w:tcPr>
          <w:p w14:paraId="303B6265" w14:textId="68E1F810" w:rsidR="00B95C7E" w:rsidRPr="00965341" w:rsidRDefault="00B95C7E" w:rsidP="005C22AC">
            <w:pPr>
              <w:spacing w:after="0"/>
              <w:jc w:val="center"/>
              <w:rPr>
                <w:b/>
                <w:bCs/>
                <w:sz w:val="14"/>
                <w:szCs w:val="14"/>
                <w:lang w:val="en-US" w:eastAsia="en-US"/>
              </w:rPr>
            </w:pPr>
            <w:r w:rsidRPr="00965341">
              <w:rPr>
                <w:b/>
                <w:bCs/>
                <w:sz w:val="14"/>
                <w:szCs w:val="14"/>
                <w:lang w:val="en-US" w:eastAsia="en-US"/>
              </w:rPr>
              <w:t>DRG Description</w:t>
            </w:r>
          </w:p>
        </w:tc>
        <w:tc>
          <w:tcPr>
            <w:tcW w:w="962" w:type="dxa"/>
            <w:gridSpan w:val="3"/>
            <w:vMerge w:val="restart"/>
            <w:tcBorders>
              <w:top w:val="single" w:sz="4" w:space="0" w:color="auto"/>
              <w:left w:val="nil"/>
              <w:bottom w:val="single" w:sz="4" w:space="0" w:color="000000"/>
              <w:right w:val="nil"/>
            </w:tcBorders>
            <w:shd w:val="clear" w:color="auto" w:fill="auto"/>
            <w:hideMark/>
          </w:tcPr>
          <w:p w14:paraId="713A9A6D" w14:textId="3DFDD996" w:rsidR="00B95C7E" w:rsidRPr="00965341" w:rsidRDefault="00B95C7E" w:rsidP="005C22AC">
            <w:pPr>
              <w:spacing w:after="0"/>
              <w:jc w:val="center"/>
              <w:rPr>
                <w:b/>
                <w:bCs/>
                <w:sz w:val="14"/>
                <w:szCs w:val="14"/>
                <w:lang w:val="en-US" w:eastAsia="en-US"/>
              </w:rPr>
            </w:pPr>
            <w:proofErr w:type="spellStart"/>
            <w:r w:rsidRPr="00965341">
              <w:rPr>
                <w:b/>
                <w:bCs/>
                <w:sz w:val="14"/>
                <w:szCs w:val="14"/>
                <w:lang w:val="en-US" w:eastAsia="en-US"/>
              </w:rPr>
              <w:t>ALoS</w:t>
            </w:r>
            <w:proofErr w:type="spellEnd"/>
            <w:r w:rsidRPr="00965341">
              <w:rPr>
                <w:b/>
                <w:bCs/>
                <w:sz w:val="14"/>
                <w:szCs w:val="14"/>
                <w:lang w:val="en-US" w:eastAsia="en-US"/>
              </w:rPr>
              <w:t xml:space="preserve"> (days)</w:t>
            </w:r>
            <w:r w:rsidRPr="00965341">
              <w:rPr>
                <w:b/>
                <w:bCs/>
                <w:sz w:val="14"/>
                <w:szCs w:val="14"/>
                <w:lang w:val="en-US" w:eastAsia="en-US"/>
              </w:rPr>
              <w:br/>
              <w:t>(a)</w:t>
            </w:r>
          </w:p>
        </w:tc>
        <w:tc>
          <w:tcPr>
            <w:tcW w:w="500" w:type="dxa"/>
            <w:vMerge w:val="restart"/>
            <w:tcBorders>
              <w:top w:val="single" w:sz="4" w:space="0" w:color="auto"/>
              <w:left w:val="nil"/>
              <w:bottom w:val="single" w:sz="4" w:space="0" w:color="000000"/>
              <w:right w:val="nil"/>
            </w:tcBorders>
            <w:shd w:val="clear" w:color="auto" w:fill="auto"/>
            <w:hideMark/>
          </w:tcPr>
          <w:p w14:paraId="70432A5A" w14:textId="77777777" w:rsidR="00B95C7E" w:rsidRPr="00965341" w:rsidRDefault="00B95C7E" w:rsidP="005C22AC">
            <w:pPr>
              <w:spacing w:after="0"/>
              <w:jc w:val="center"/>
              <w:rPr>
                <w:b/>
                <w:bCs/>
                <w:sz w:val="14"/>
                <w:szCs w:val="14"/>
                <w:lang w:val="en-US" w:eastAsia="en-US"/>
              </w:rPr>
            </w:pPr>
            <w:r w:rsidRPr="00965341">
              <w:rPr>
                <w:b/>
                <w:bCs/>
                <w:sz w:val="14"/>
                <w:szCs w:val="14"/>
                <w:lang w:val="en-US" w:eastAsia="en-US"/>
              </w:rPr>
              <w:t xml:space="preserve">Min </w:t>
            </w:r>
            <w:proofErr w:type="spellStart"/>
            <w:r w:rsidRPr="00965341">
              <w:rPr>
                <w:b/>
                <w:bCs/>
                <w:sz w:val="14"/>
                <w:szCs w:val="14"/>
                <w:lang w:val="en-US" w:eastAsia="en-US"/>
              </w:rPr>
              <w:t>LoS</w:t>
            </w:r>
            <w:proofErr w:type="spellEnd"/>
          </w:p>
        </w:tc>
        <w:tc>
          <w:tcPr>
            <w:tcW w:w="653" w:type="dxa"/>
            <w:gridSpan w:val="2"/>
            <w:vMerge w:val="restart"/>
            <w:tcBorders>
              <w:top w:val="single" w:sz="4" w:space="0" w:color="auto"/>
              <w:left w:val="nil"/>
              <w:bottom w:val="single" w:sz="4" w:space="0" w:color="000000"/>
              <w:right w:val="nil"/>
            </w:tcBorders>
            <w:shd w:val="clear" w:color="auto" w:fill="auto"/>
            <w:hideMark/>
          </w:tcPr>
          <w:p w14:paraId="5BBCA81E" w14:textId="77777777" w:rsidR="00B95C7E" w:rsidRPr="00965341" w:rsidRDefault="00B95C7E" w:rsidP="005C22AC">
            <w:pPr>
              <w:spacing w:after="0"/>
              <w:jc w:val="center"/>
              <w:rPr>
                <w:b/>
                <w:bCs/>
                <w:sz w:val="14"/>
                <w:szCs w:val="14"/>
                <w:lang w:val="en-US" w:eastAsia="en-US"/>
              </w:rPr>
            </w:pPr>
            <w:r w:rsidRPr="00965341">
              <w:rPr>
                <w:b/>
                <w:bCs/>
                <w:sz w:val="14"/>
                <w:szCs w:val="14"/>
                <w:lang w:val="en-US" w:eastAsia="en-US"/>
              </w:rPr>
              <w:t xml:space="preserve">Max </w:t>
            </w:r>
            <w:proofErr w:type="spellStart"/>
            <w:r w:rsidRPr="00965341">
              <w:rPr>
                <w:b/>
                <w:bCs/>
                <w:sz w:val="14"/>
                <w:szCs w:val="14"/>
                <w:lang w:val="en-US" w:eastAsia="en-US"/>
              </w:rPr>
              <w:t>LoS</w:t>
            </w:r>
            <w:proofErr w:type="spellEnd"/>
          </w:p>
        </w:tc>
        <w:tc>
          <w:tcPr>
            <w:tcW w:w="691" w:type="dxa"/>
            <w:gridSpan w:val="2"/>
            <w:vMerge w:val="restart"/>
            <w:tcBorders>
              <w:top w:val="single" w:sz="4" w:space="0" w:color="auto"/>
              <w:left w:val="nil"/>
              <w:bottom w:val="single" w:sz="4" w:space="0" w:color="000000"/>
              <w:right w:val="nil"/>
            </w:tcBorders>
            <w:shd w:val="clear" w:color="auto" w:fill="auto"/>
            <w:hideMark/>
          </w:tcPr>
          <w:p w14:paraId="6F8A769D" w14:textId="77777777" w:rsidR="00B95C7E" w:rsidRPr="00965341" w:rsidRDefault="00B95C7E" w:rsidP="005C22AC">
            <w:pPr>
              <w:spacing w:after="0"/>
              <w:jc w:val="center"/>
              <w:rPr>
                <w:b/>
                <w:bCs/>
                <w:sz w:val="14"/>
                <w:szCs w:val="14"/>
                <w:lang w:val="en-US" w:eastAsia="en-US"/>
              </w:rPr>
            </w:pPr>
            <w:r w:rsidRPr="00965341">
              <w:rPr>
                <w:b/>
                <w:bCs/>
                <w:sz w:val="14"/>
                <w:szCs w:val="14"/>
                <w:lang w:val="en-US" w:eastAsia="en-US"/>
              </w:rPr>
              <w:t>Cost weight</w:t>
            </w:r>
          </w:p>
        </w:tc>
        <w:tc>
          <w:tcPr>
            <w:tcW w:w="839" w:type="dxa"/>
            <w:gridSpan w:val="2"/>
            <w:vMerge w:val="restart"/>
            <w:tcBorders>
              <w:top w:val="single" w:sz="4" w:space="0" w:color="auto"/>
              <w:left w:val="nil"/>
              <w:bottom w:val="single" w:sz="4" w:space="0" w:color="000000"/>
              <w:right w:val="nil"/>
            </w:tcBorders>
            <w:shd w:val="clear" w:color="auto" w:fill="auto"/>
            <w:hideMark/>
          </w:tcPr>
          <w:p w14:paraId="2DF55E92" w14:textId="414BEAE3" w:rsidR="00B95C7E" w:rsidRPr="00965341" w:rsidRDefault="00B95C7E" w:rsidP="00965341">
            <w:pPr>
              <w:spacing w:after="0"/>
              <w:jc w:val="center"/>
              <w:rPr>
                <w:b/>
                <w:bCs/>
                <w:sz w:val="14"/>
                <w:szCs w:val="14"/>
                <w:lang w:val="en-US" w:eastAsia="en-US"/>
              </w:rPr>
            </w:pPr>
            <w:r w:rsidRPr="00965341">
              <w:rPr>
                <w:b/>
                <w:bCs/>
                <w:sz w:val="14"/>
                <w:szCs w:val="14"/>
                <w:lang w:val="en-US" w:eastAsia="en-US"/>
              </w:rPr>
              <w:t xml:space="preserve">No. of weighted </w:t>
            </w:r>
            <w:proofErr w:type="spellStart"/>
            <w:r w:rsidRPr="00965341">
              <w:rPr>
                <w:b/>
                <w:bCs/>
                <w:sz w:val="14"/>
                <w:szCs w:val="14"/>
                <w:lang w:val="en-US" w:eastAsia="en-US"/>
              </w:rPr>
              <w:t>seps</w:t>
            </w:r>
            <w:proofErr w:type="spellEnd"/>
            <w:r w:rsidR="00965341" w:rsidRPr="00965341">
              <w:rPr>
                <w:b/>
                <w:bCs/>
                <w:sz w:val="14"/>
                <w:szCs w:val="14"/>
                <w:lang w:val="en-US" w:eastAsia="en-US"/>
              </w:rPr>
              <w:t xml:space="preserve"> </w:t>
            </w:r>
            <w:r w:rsidRPr="00965341">
              <w:rPr>
                <w:b/>
                <w:bCs/>
                <w:sz w:val="14"/>
                <w:szCs w:val="14"/>
                <w:lang w:val="en-US" w:eastAsia="en-US"/>
              </w:rPr>
              <w:t>(b)</w:t>
            </w:r>
          </w:p>
        </w:tc>
        <w:tc>
          <w:tcPr>
            <w:tcW w:w="884" w:type="dxa"/>
            <w:gridSpan w:val="2"/>
            <w:vMerge w:val="restart"/>
            <w:tcBorders>
              <w:top w:val="single" w:sz="4" w:space="0" w:color="auto"/>
              <w:left w:val="nil"/>
              <w:bottom w:val="single" w:sz="4" w:space="0" w:color="000000"/>
              <w:right w:val="nil"/>
            </w:tcBorders>
            <w:shd w:val="clear" w:color="auto" w:fill="auto"/>
            <w:hideMark/>
          </w:tcPr>
          <w:p w14:paraId="3939D27E" w14:textId="77777777" w:rsidR="00B95C7E" w:rsidRPr="00965341" w:rsidRDefault="00B95C7E" w:rsidP="005C22AC">
            <w:pPr>
              <w:spacing w:after="0"/>
              <w:jc w:val="center"/>
              <w:rPr>
                <w:b/>
                <w:bCs/>
                <w:sz w:val="14"/>
                <w:szCs w:val="14"/>
                <w:lang w:val="en-US" w:eastAsia="en-US"/>
              </w:rPr>
            </w:pPr>
            <w:r w:rsidRPr="00965341">
              <w:rPr>
                <w:b/>
                <w:bCs/>
                <w:sz w:val="14"/>
                <w:szCs w:val="14"/>
                <w:lang w:val="en-US" w:eastAsia="en-US"/>
              </w:rPr>
              <w:t xml:space="preserve">Cost weighted </w:t>
            </w:r>
            <w:proofErr w:type="spellStart"/>
            <w:r w:rsidRPr="00965341">
              <w:rPr>
                <w:b/>
                <w:bCs/>
                <w:sz w:val="14"/>
                <w:szCs w:val="14"/>
                <w:lang w:val="en-US" w:eastAsia="en-US"/>
              </w:rPr>
              <w:t>seps</w:t>
            </w:r>
            <w:proofErr w:type="spellEnd"/>
          </w:p>
        </w:tc>
        <w:tc>
          <w:tcPr>
            <w:tcW w:w="653" w:type="dxa"/>
            <w:gridSpan w:val="2"/>
            <w:vMerge w:val="restart"/>
            <w:tcBorders>
              <w:top w:val="single" w:sz="4" w:space="0" w:color="auto"/>
              <w:left w:val="nil"/>
              <w:bottom w:val="single" w:sz="4" w:space="0" w:color="000000"/>
              <w:right w:val="nil"/>
            </w:tcBorders>
            <w:shd w:val="clear" w:color="auto" w:fill="auto"/>
            <w:hideMark/>
          </w:tcPr>
          <w:p w14:paraId="7A4D023D" w14:textId="77777777" w:rsidR="00B95C7E" w:rsidRPr="00965341" w:rsidRDefault="00B95C7E" w:rsidP="005C22AC">
            <w:pPr>
              <w:spacing w:after="0"/>
              <w:jc w:val="center"/>
              <w:rPr>
                <w:b/>
                <w:bCs/>
                <w:sz w:val="14"/>
                <w:szCs w:val="14"/>
                <w:lang w:val="en-US" w:eastAsia="en-US"/>
              </w:rPr>
            </w:pPr>
            <w:proofErr w:type="spellStart"/>
            <w:r w:rsidRPr="00965341">
              <w:rPr>
                <w:b/>
                <w:bCs/>
                <w:sz w:val="14"/>
                <w:szCs w:val="14"/>
                <w:lang w:val="en-US" w:eastAsia="en-US"/>
              </w:rPr>
              <w:t>Std</w:t>
            </w:r>
            <w:proofErr w:type="spellEnd"/>
            <w:r w:rsidRPr="00965341">
              <w:rPr>
                <w:b/>
                <w:bCs/>
                <w:sz w:val="14"/>
                <w:szCs w:val="14"/>
                <w:lang w:val="en-US" w:eastAsia="en-US"/>
              </w:rPr>
              <w:t xml:space="preserve"> error</w:t>
            </w:r>
          </w:p>
        </w:tc>
        <w:tc>
          <w:tcPr>
            <w:tcW w:w="653" w:type="dxa"/>
            <w:gridSpan w:val="2"/>
            <w:vMerge w:val="restart"/>
            <w:tcBorders>
              <w:top w:val="single" w:sz="4" w:space="0" w:color="auto"/>
              <w:left w:val="nil"/>
              <w:bottom w:val="single" w:sz="4" w:space="0" w:color="000000"/>
              <w:right w:val="nil"/>
            </w:tcBorders>
            <w:shd w:val="clear" w:color="auto" w:fill="auto"/>
            <w:hideMark/>
          </w:tcPr>
          <w:p w14:paraId="775BCF86" w14:textId="77777777" w:rsidR="00B95C7E" w:rsidRPr="00965341" w:rsidRDefault="00B95C7E" w:rsidP="005C22AC">
            <w:pPr>
              <w:spacing w:after="0"/>
              <w:jc w:val="center"/>
              <w:rPr>
                <w:b/>
                <w:bCs/>
                <w:sz w:val="14"/>
                <w:szCs w:val="14"/>
                <w:lang w:val="en-US" w:eastAsia="en-US"/>
              </w:rPr>
            </w:pPr>
            <w:r w:rsidRPr="00965341">
              <w:rPr>
                <w:b/>
                <w:bCs/>
                <w:sz w:val="14"/>
                <w:szCs w:val="14"/>
                <w:lang w:val="en-US" w:eastAsia="en-US"/>
              </w:rPr>
              <w:t xml:space="preserve">% of total </w:t>
            </w:r>
            <w:proofErr w:type="spellStart"/>
            <w:r w:rsidRPr="00965341">
              <w:rPr>
                <w:b/>
                <w:bCs/>
                <w:sz w:val="14"/>
                <w:szCs w:val="14"/>
                <w:lang w:val="en-US" w:eastAsia="en-US"/>
              </w:rPr>
              <w:t>seps</w:t>
            </w:r>
            <w:proofErr w:type="spellEnd"/>
          </w:p>
        </w:tc>
        <w:tc>
          <w:tcPr>
            <w:tcW w:w="653" w:type="dxa"/>
            <w:gridSpan w:val="2"/>
            <w:vMerge w:val="restart"/>
            <w:tcBorders>
              <w:top w:val="single" w:sz="4" w:space="0" w:color="auto"/>
              <w:left w:val="nil"/>
              <w:bottom w:val="single" w:sz="4" w:space="0" w:color="000000"/>
              <w:right w:val="nil"/>
            </w:tcBorders>
            <w:shd w:val="clear" w:color="auto" w:fill="auto"/>
            <w:hideMark/>
          </w:tcPr>
          <w:p w14:paraId="18354124" w14:textId="77777777" w:rsidR="00B95C7E" w:rsidRPr="00965341" w:rsidRDefault="00B95C7E" w:rsidP="005C22AC">
            <w:pPr>
              <w:spacing w:after="0"/>
              <w:jc w:val="center"/>
              <w:rPr>
                <w:b/>
                <w:bCs/>
                <w:sz w:val="14"/>
                <w:szCs w:val="14"/>
                <w:lang w:val="en-US" w:eastAsia="en-US"/>
              </w:rPr>
            </w:pPr>
            <w:r w:rsidRPr="00965341">
              <w:rPr>
                <w:b/>
                <w:bCs/>
                <w:sz w:val="14"/>
                <w:szCs w:val="14"/>
                <w:lang w:val="en-US" w:eastAsia="en-US"/>
              </w:rPr>
              <w:t xml:space="preserve">% of CW </w:t>
            </w:r>
            <w:proofErr w:type="spellStart"/>
            <w:r w:rsidRPr="00965341">
              <w:rPr>
                <w:b/>
                <w:bCs/>
                <w:sz w:val="14"/>
                <w:szCs w:val="14"/>
                <w:lang w:val="en-US" w:eastAsia="en-US"/>
              </w:rPr>
              <w:t>seps</w:t>
            </w:r>
            <w:proofErr w:type="spellEnd"/>
          </w:p>
        </w:tc>
        <w:tc>
          <w:tcPr>
            <w:tcW w:w="691" w:type="dxa"/>
            <w:gridSpan w:val="2"/>
            <w:vMerge w:val="restart"/>
            <w:tcBorders>
              <w:top w:val="single" w:sz="4" w:space="0" w:color="auto"/>
              <w:left w:val="nil"/>
              <w:bottom w:val="single" w:sz="4" w:space="0" w:color="000000"/>
              <w:right w:val="nil"/>
            </w:tcBorders>
            <w:shd w:val="clear" w:color="auto" w:fill="auto"/>
            <w:hideMark/>
          </w:tcPr>
          <w:p w14:paraId="4E10C67D" w14:textId="77777777" w:rsidR="00B95C7E" w:rsidRPr="00965341" w:rsidRDefault="00B95C7E" w:rsidP="005C22AC">
            <w:pPr>
              <w:spacing w:after="0"/>
              <w:jc w:val="center"/>
              <w:rPr>
                <w:b/>
                <w:bCs/>
                <w:sz w:val="14"/>
                <w:szCs w:val="14"/>
                <w:lang w:val="en-US" w:eastAsia="en-US"/>
              </w:rPr>
            </w:pPr>
            <w:r w:rsidRPr="00965341">
              <w:rPr>
                <w:b/>
                <w:bCs/>
                <w:sz w:val="14"/>
                <w:szCs w:val="14"/>
                <w:lang w:val="en-US" w:eastAsia="en-US"/>
              </w:rPr>
              <w:t xml:space="preserve">Round 18 </w:t>
            </w:r>
            <w:proofErr w:type="spellStart"/>
            <w:r w:rsidRPr="00965341">
              <w:rPr>
                <w:b/>
                <w:bCs/>
                <w:sz w:val="14"/>
                <w:szCs w:val="14"/>
                <w:lang w:val="en-US" w:eastAsia="en-US"/>
              </w:rPr>
              <w:t>ALoS</w:t>
            </w:r>
            <w:proofErr w:type="spellEnd"/>
          </w:p>
        </w:tc>
        <w:tc>
          <w:tcPr>
            <w:tcW w:w="691" w:type="dxa"/>
            <w:gridSpan w:val="2"/>
            <w:vMerge w:val="restart"/>
            <w:tcBorders>
              <w:top w:val="single" w:sz="4" w:space="0" w:color="auto"/>
              <w:left w:val="nil"/>
              <w:bottom w:val="single" w:sz="4" w:space="0" w:color="000000"/>
              <w:right w:val="nil"/>
            </w:tcBorders>
            <w:shd w:val="clear" w:color="auto" w:fill="auto"/>
            <w:hideMark/>
          </w:tcPr>
          <w:p w14:paraId="749B7D07" w14:textId="77777777" w:rsidR="00B95C7E" w:rsidRPr="00965341" w:rsidRDefault="00B95C7E" w:rsidP="005C22AC">
            <w:pPr>
              <w:spacing w:after="0"/>
              <w:jc w:val="center"/>
              <w:rPr>
                <w:b/>
                <w:bCs/>
                <w:sz w:val="14"/>
                <w:szCs w:val="14"/>
                <w:lang w:val="en-US" w:eastAsia="en-US"/>
              </w:rPr>
            </w:pPr>
            <w:r w:rsidRPr="00965341">
              <w:rPr>
                <w:b/>
                <w:bCs/>
                <w:sz w:val="14"/>
                <w:szCs w:val="14"/>
                <w:lang w:val="en-US" w:eastAsia="en-US"/>
              </w:rPr>
              <w:t>Rank Round 18</w:t>
            </w:r>
          </w:p>
        </w:tc>
        <w:tc>
          <w:tcPr>
            <w:tcW w:w="839" w:type="dxa"/>
            <w:gridSpan w:val="2"/>
            <w:vMerge w:val="restart"/>
            <w:tcBorders>
              <w:top w:val="single" w:sz="4" w:space="0" w:color="auto"/>
              <w:left w:val="nil"/>
              <w:bottom w:val="single" w:sz="4" w:space="0" w:color="000000"/>
              <w:right w:val="nil"/>
            </w:tcBorders>
            <w:shd w:val="clear" w:color="auto" w:fill="auto"/>
            <w:hideMark/>
          </w:tcPr>
          <w:p w14:paraId="0C186AA9" w14:textId="77777777" w:rsidR="00B95C7E" w:rsidRPr="00965341" w:rsidRDefault="00B95C7E" w:rsidP="005C22AC">
            <w:pPr>
              <w:spacing w:after="0"/>
              <w:jc w:val="center"/>
              <w:rPr>
                <w:b/>
                <w:bCs/>
                <w:sz w:val="14"/>
                <w:szCs w:val="14"/>
                <w:lang w:val="en-US" w:eastAsia="en-US"/>
              </w:rPr>
            </w:pPr>
            <w:r w:rsidRPr="00965341">
              <w:rPr>
                <w:b/>
                <w:bCs/>
                <w:sz w:val="14"/>
                <w:szCs w:val="14"/>
                <w:lang w:val="en-US" w:eastAsia="en-US"/>
              </w:rPr>
              <w:t>Number of days</w:t>
            </w:r>
          </w:p>
        </w:tc>
      </w:tr>
      <w:tr w:rsidR="00B95C7E" w:rsidRPr="00965341" w14:paraId="1EF0CA3F" w14:textId="77777777" w:rsidTr="00A23161">
        <w:trPr>
          <w:gridAfter w:val="1"/>
          <w:wAfter w:w="34" w:type="dxa"/>
          <w:trHeight w:val="324"/>
        </w:trPr>
        <w:tc>
          <w:tcPr>
            <w:tcW w:w="709" w:type="dxa"/>
            <w:vMerge/>
            <w:tcBorders>
              <w:top w:val="single" w:sz="4" w:space="0" w:color="auto"/>
              <w:left w:val="nil"/>
              <w:bottom w:val="single" w:sz="4" w:space="0" w:color="000000"/>
              <w:right w:val="nil"/>
            </w:tcBorders>
            <w:vAlign w:val="center"/>
            <w:hideMark/>
          </w:tcPr>
          <w:p w14:paraId="37C5AAE4" w14:textId="77777777" w:rsidR="00B95C7E" w:rsidRPr="00965341" w:rsidRDefault="00B95C7E" w:rsidP="00B95C7E">
            <w:pPr>
              <w:rPr>
                <w:b/>
                <w:bCs/>
                <w:sz w:val="14"/>
                <w:szCs w:val="14"/>
                <w:lang w:val="en-US" w:eastAsia="en-US"/>
              </w:rPr>
            </w:pPr>
          </w:p>
        </w:tc>
        <w:tc>
          <w:tcPr>
            <w:tcW w:w="691" w:type="dxa"/>
            <w:vMerge/>
            <w:tcBorders>
              <w:top w:val="single" w:sz="4" w:space="0" w:color="auto"/>
              <w:left w:val="nil"/>
              <w:bottom w:val="single" w:sz="4" w:space="0" w:color="000000"/>
              <w:right w:val="nil"/>
            </w:tcBorders>
            <w:vAlign w:val="center"/>
            <w:hideMark/>
          </w:tcPr>
          <w:p w14:paraId="3539CC36" w14:textId="77777777" w:rsidR="00B95C7E" w:rsidRPr="00965341" w:rsidRDefault="00B95C7E" w:rsidP="00B95C7E">
            <w:pPr>
              <w:rPr>
                <w:b/>
                <w:bCs/>
                <w:sz w:val="14"/>
                <w:szCs w:val="14"/>
                <w:lang w:val="en-US" w:eastAsia="en-US"/>
              </w:rPr>
            </w:pPr>
          </w:p>
        </w:tc>
        <w:tc>
          <w:tcPr>
            <w:tcW w:w="600" w:type="dxa"/>
            <w:vMerge/>
            <w:tcBorders>
              <w:top w:val="single" w:sz="4" w:space="0" w:color="auto"/>
              <w:left w:val="nil"/>
              <w:bottom w:val="single" w:sz="4" w:space="0" w:color="000000"/>
              <w:right w:val="nil"/>
            </w:tcBorders>
            <w:vAlign w:val="center"/>
            <w:hideMark/>
          </w:tcPr>
          <w:p w14:paraId="055C163A" w14:textId="77777777" w:rsidR="00B95C7E" w:rsidRPr="00965341" w:rsidRDefault="00B95C7E" w:rsidP="00B95C7E">
            <w:pPr>
              <w:rPr>
                <w:b/>
                <w:bCs/>
                <w:sz w:val="14"/>
                <w:szCs w:val="14"/>
                <w:lang w:val="en-US" w:eastAsia="en-US"/>
              </w:rPr>
            </w:pPr>
          </w:p>
        </w:tc>
        <w:tc>
          <w:tcPr>
            <w:tcW w:w="4637" w:type="dxa"/>
            <w:vMerge/>
            <w:tcBorders>
              <w:top w:val="single" w:sz="4" w:space="0" w:color="auto"/>
              <w:left w:val="nil"/>
              <w:bottom w:val="single" w:sz="4" w:space="0" w:color="000000"/>
              <w:right w:val="nil"/>
            </w:tcBorders>
            <w:vAlign w:val="center"/>
            <w:hideMark/>
          </w:tcPr>
          <w:p w14:paraId="38CD640C" w14:textId="77777777" w:rsidR="00B95C7E" w:rsidRPr="00965341" w:rsidRDefault="00B95C7E" w:rsidP="00B95C7E">
            <w:pPr>
              <w:rPr>
                <w:b/>
                <w:bCs/>
                <w:sz w:val="14"/>
                <w:szCs w:val="14"/>
                <w:lang w:val="en-US" w:eastAsia="en-US"/>
              </w:rPr>
            </w:pPr>
          </w:p>
        </w:tc>
        <w:tc>
          <w:tcPr>
            <w:tcW w:w="962" w:type="dxa"/>
            <w:gridSpan w:val="3"/>
            <w:vMerge/>
            <w:tcBorders>
              <w:top w:val="single" w:sz="4" w:space="0" w:color="auto"/>
              <w:left w:val="nil"/>
              <w:bottom w:val="single" w:sz="4" w:space="0" w:color="000000"/>
              <w:right w:val="nil"/>
            </w:tcBorders>
            <w:shd w:val="clear" w:color="auto" w:fill="auto"/>
            <w:vAlign w:val="center"/>
            <w:hideMark/>
          </w:tcPr>
          <w:p w14:paraId="3A83E3F2" w14:textId="77777777" w:rsidR="00B95C7E" w:rsidRPr="00965341" w:rsidRDefault="00B95C7E" w:rsidP="00B95C7E">
            <w:pPr>
              <w:rPr>
                <w:b/>
                <w:bCs/>
                <w:sz w:val="14"/>
                <w:szCs w:val="14"/>
                <w:lang w:val="en-US" w:eastAsia="en-US"/>
              </w:rPr>
            </w:pPr>
          </w:p>
        </w:tc>
        <w:tc>
          <w:tcPr>
            <w:tcW w:w="500" w:type="dxa"/>
            <w:vMerge/>
            <w:tcBorders>
              <w:top w:val="single" w:sz="4" w:space="0" w:color="auto"/>
              <w:left w:val="nil"/>
              <w:bottom w:val="single" w:sz="4" w:space="0" w:color="000000"/>
              <w:right w:val="nil"/>
            </w:tcBorders>
            <w:shd w:val="clear" w:color="auto" w:fill="auto"/>
            <w:vAlign w:val="center"/>
            <w:hideMark/>
          </w:tcPr>
          <w:p w14:paraId="70CC8E9B" w14:textId="77777777" w:rsidR="00B95C7E" w:rsidRPr="00965341" w:rsidRDefault="00B95C7E" w:rsidP="00B95C7E">
            <w:pPr>
              <w:rPr>
                <w:b/>
                <w:bCs/>
                <w:sz w:val="14"/>
                <w:szCs w:val="14"/>
                <w:lang w:val="en-US" w:eastAsia="en-US"/>
              </w:rPr>
            </w:pPr>
          </w:p>
        </w:tc>
        <w:tc>
          <w:tcPr>
            <w:tcW w:w="653" w:type="dxa"/>
            <w:gridSpan w:val="2"/>
            <w:vMerge/>
            <w:tcBorders>
              <w:top w:val="single" w:sz="4" w:space="0" w:color="auto"/>
              <w:left w:val="nil"/>
              <w:bottom w:val="single" w:sz="4" w:space="0" w:color="000000"/>
              <w:right w:val="nil"/>
            </w:tcBorders>
            <w:shd w:val="clear" w:color="auto" w:fill="auto"/>
            <w:vAlign w:val="center"/>
            <w:hideMark/>
          </w:tcPr>
          <w:p w14:paraId="7287CC63" w14:textId="77777777" w:rsidR="00B95C7E" w:rsidRPr="00965341" w:rsidRDefault="00B95C7E" w:rsidP="00B95C7E">
            <w:pPr>
              <w:rPr>
                <w:b/>
                <w:bCs/>
                <w:sz w:val="14"/>
                <w:szCs w:val="14"/>
                <w:lang w:val="en-US" w:eastAsia="en-US"/>
              </w:rPr>
            </w:pPr>
          </w:p>
        </w:tc>
        <w:tc>
          <w:tcPr>
            <w:tcW w:w="691" w:type="dxa"/>
            <w:gridSpan w:val="2"/>
            <w:vMerge/>
            <w:tcBorders>
              <w:top w:val="single" w:sz="4" w:space="0" w:color="auto"/>
              <w:left w:val="nil"/>
              <w:bottom w:val="single" w:sz="4" w:space="0" w:color="000000"/>
              <w:right w:val="nil"/>
            </w:tcBorders>
            <w:vAlign w:val="center"/>
            <w:hideMark/>
          </w:tcPr>
          <w:p w14:paraId="5EB8EA60" w14:textId="77777777" w:rsidR="00B95C7E" w:rsidRPr="00965341" w:rsidRDefault="00B95C7E" w:rsidP="00B95C7E">
            <w:pPr>
              <w:rPr>
                <w:b/>
                <w:bCs/>
                <w:sz w:val="14"/>
                <w:szCs w:val="14"/>
                <w:lang w:val="en-US" w:eastAsia="en-US"/>
              </w:rPr>
            </w:pPr>
          </w:p>
        </w:tc>
        <w:tc>
          <w:tcPr>
            <w:tcW w:w="839" w:type="dxa"/>
            <w:gridSpan w:val="2"/>
            <w:vMerge/>
            <w:tcBorders>
              <w:top w:val="single" w:sz="4" w:space="0" w:color="auto"/>
              <w:left w:val="nil"/>
              <w:bottom w:val="single" w:sz="4" w:space="0" w:color="000000"/>
              <w:right w:val="nil"/>
            </w:tcBorders>
            <w:vAlign w:val="center"/>
            <w:hideMark/>
          </w:tcPr>
          <w:p w14:paraId="77043AD1" w14:textId="77777777" w:rsidR="00B95C7E" w:rsidRPr="00965341" w:rsidRDefault="00B95C7E" w:rsidP="00B95C7E">
            <w:pPr>
              <w:rPr>
                <w:b/>
                <w:bCs/>
                <w:sz w:val="14"/>
                <w:szCs w:val="14"/>
                <w:lang w:val="en-US" w:eastAsia="en-US"/>
              </w:rPr>
            </w:pPr>
          </w:p>
        </w:tc>
        <w:tc>
          <w:tcPr>
            <w:tcW w:w="884" w:type="dxa"/>
            <w:gridSpan w:val="2"/>
            <w:vMerge/>
            <w:tcBorders>
              <w:top w:val="single" w:sz="4" w:space="0" w:color="auto"/>
              <w:left w:val="nil"/>
              <w:bottom w:val="single" w:sz="4" w:space="0" w:color="000000"/>
              <w:right w:val="nil"/>
            </w:tcBorders>
            <w:vAlign w:val="center"/>
            <w:hideMark/>
          </w:tcPr>
          <w:p w14:paraId="78514AE0" w14:textId="77777777" w:rsidR="00B95C7E" w:rsidRPr="00965341" w:rsidRDefault="00B95C7E" w:rsidP="00B95C7E">
            <w:pPr>
              <w:rPr>
                <w:b/>
                <w:bCs/>
                <w:sz w:val="14"/>
                <w:szCs w:val="14"/>
                <w:lang w:val="en-US" w:eastAsia="en-US"/>
              </w:rPr>
            </w:pPr>
          </w:p>
        </w:tc>
        <w:tc>
          <w:tcPr>
            <w:tcW w:w="653" w:type="dxa"/>
            <w:gridSpan w:val="2"/>
            <w:vMerge/>
            <w:tcBorders>
              <w:top w:val="single" w:sz="4" w:space="0" w:color="auto"/>
              <w:left w:val="nil"/>
              <w:bottom w:val="single" w:sz="4" w:space="0" w:color="000000"/>
              <w:right w:val="nil"/>
            </w:tcBorders>
            <w:vAlign w:val="center"/>
            <w:hideMark/>
          </w:tcPr>
          <w:p w14:paraId="61B26364" w14:textId="77777777" w:rsidR="00B95C7E" w:rsidRPr="00965341" w:rsidRDefault="00B95C7E" w:rsidP="00B95C7E">
            <w:pPr>
              <w:rPr>
                <w:b/>
                <w:bCs/>
                <w:sz w:val="14"/>
                <w:szCs w:val="14"/>
                <w:lang w:val="en-US" w:eastAsia="en-US"/>
              </w:rPr>
            </w:pPr>
          </w:p>
        </w:tc>
        <w:tc>
          <w:tcPr>
            <w:tcW w:w="653" w:type="dxa"/>
            <w:gridSpan w:val="2"/>
            <w:vMerge/>
            <w:tcBorders>
              <w:top w:val="single" w:sz="4" w:space="0" w:color="auto"/>
              <w:left w:val="nil"/>
              <w:bottom w:val="single" w:sz="4" w:space="0" w:color="000000"/>
              <w:right w:val="nil"/>
            </w:tcBorders>
            <w:vAlign w:val="center"/>
            <w:hideMark/>
          </w:tcPr>
          <w:p w14:paraId="139BE273" w14:textId="77777777" w:rsidR="00B95C7E" w:rsidRPr="00965341" w:rsidRDefault="00B95C7E" w:rsidP="00B95C7E">
            <w:pPr>
              <w:rPr>
                <w:b/>
                <w:bCs/>
                <w:sz w:val="14"/>
                <w:szCs w:val="14"/>
                <w:lang w:val="en-US" w:eastAsia="en-US"/>
              </w:rPr>
            </w:pPr>
          </w:p>
        </w:tc>
        <w:tc>
          <w:tcPr>
            <w:tcW w:w="653" w:type="dxa"/>
            <w:gridSpan w:val="2"/>
            <w:vMerge/>
            <w:tcBorders>
              <w:top w:val="single" w:sz="4" w:space="0" w:color="auto"/>
              <w:left w:val="nil"/>
              <w:bottom w:val="single" w:sz="4" w:space="0" w:color="000000"/>
              <w:right w:val="nil"/>
            </w:tcBorders>
            <w:vAlign w:val="center"/>
            <w:hideMark/>
          </w:tcPr>
          <w:p w14:paraId="5E4B1790" w14:textId="77777777" w:rsidR="00B95C7E" w:rsidRPr="00965341" w:rsidRDefault="00B95C7E" w:rsidP="00B95C7E">
            <w:pPr>
              <w:rPr>
                <w:b/>
                <w:bCs/>
                <w:sz w:val="14"/>
                <w:szCs w:val="14"/>
                <w:lang w:val="en-US" w:eastAsia="en-US"/>
              </w:rPr>
            </w:pPr>
          </w:p>
        </w:tc>
        <w:tc>
          <w:tcPr>
            <w:tcW w:w="691" w:type="dxa"/>
            <w:gridSpan w:val="2"/>
            <w:vMerge/>
            <w:tcBorders>
              <w:top w:val="single" w:sz="4" w:space="0" w:color="auto"/>
              <w:left w:val="nil"/>
              <w:bottom w:val="single" w:sz="4" w:space="0" w:color="000000"/>
              <w:right w:val="nil"/>
            </w:tcBorders>
            <w:vAlign w:val="center"/>
            <w:hideMark/>
          </w:tcPr>
          <w:p w14:paraId="01D3DB97" w14:textId="77777777" w:rsidR="00B95C7E" w:rsidRPr="00965341" w:rsidRDefault="00B95C7E" w:rsidP="00B95C7E">
            <w:pPr>
              <w:rPr>
                <w:b/>
                <w:bCs/>
                <w:sz w:val="14"/>
                <w:szCs w:val="14"/>
                <w:lang w:val="en-US" w:eastAsia="en-US"/>
              </w:rPr>
            </w:pPr>
          </w:p>
        </w:tc>
        <w:tc>
          <w:tcPr>
            <w:tcW w:w="691" w:type="dxa"/>
            <w:gridSpan w:val="2"/>
            <w:vMerge/>
            <w:tcBorders>
              <w:top w:val="single" w:sz="4" w:space="0" w:color="auto"/>
              <w:left w:val="nil"/>
              <w:bottom w:val="single" w:sz="4" w:space="0" w:color="000000"/>
              <w:right w:val="nil"/>
            </w:tcBorders>
            <w:vAlign w:val="center"/>
            <w:hideMark/>
          </w:tcPr>
          <w:p w14:paraId="379BCF07" w14:textId="77777777" w:rsidR="00B95C7E" w:rsidRPr="00965341" w:rsidRDefault="00B95C7E" w:rsidP="00B95C7E">
            <w:pPr>
              <w:rPr>
                <w:b/>
                <w:bCs/>
                <w:sz w:val="14"/>
                <w:szCs w:val="14"/>
                <w:lang w:val="en-US" w:eastAsia="en-US"/>
              </w:rPr>
            </w:pPr>
          </w:p>
        </w:tc>
        <w:tc>
          <w:tcPr>
            <w:tcW w:w="839" w:type="dxa"/>
            <w:gridSpan w:val="2"/>
            <w:vMerge/>
            <w:tcBorders>
              <w:top w:val="single" w:sz="4" w:space="0" w:color="auto"/>
              <w:left w:val="nil"/>
              <w:bottom w:val="single" w:sz="4" w:space="0" w:color="000000"/>
              <w:right w:val="nil"/>
            </w:tcBorders>
            <w:shd w:val="clear" w:color="auto" w:fill="auto"/>
            <w:vAlign w:val="center"/>
            <w:hideMark/>
          </w:tcPr>
          <w:p w14:paraId="6F620899" w14:textId="77777777" w:rsidR="00B95C7E" w:rsidRPr="00965341" w:rsidRDefault="00B95C7E" w:rsidP="00B95C7E">
            <w:pPr>
              <w:rPr>
                <w:b/>
                <w:bCs/>
                <w:sz w:val="14"/>
                <w:szCs w:val="14"/>
                <w:lang w:val="en-US" w:eastAsia="en-US"/>
              </w:rPr>
            </w:pPr>
          </w:p>
        </w:tc>
      </w:tr>
      <w:tr w:rsidR="00B95C7E" w:rsidRPr="00965341" w14:paraId="49395628" w14:textId="77777777" w:rsidTr="00A23161">
        <w:trPr>
          <w:gridAfter w:val="1"/>
          <w:wAfter w:w="34" w:type="dxa"/>
          <w:trHeight w:val="292"/>
        </w:trPr>
        <w:tc>
          <w:tcPr>
            <w:tcW w:w="709" w:type="dxa"/>
            <w:vMerge/>
            <w:tcBorders>
              <w:top w:val="single" w:sz="4" w:space="0" w:color="auto"/>
              <w:left w:val="nil"/>
              <w:bottom w:val="single" w:sz="4" w:space="0" w:color="000000"/>
              <w:right w:val="nil"/>
            </w:tcBorders>
            <w:vAlign w:val="center"/>
            <w:hideMark/>
          </w:tcPr>
          <w:p w14:paraId="168BA5AF" w14:textId="77777777" w:rsidR="00B95C7E" w:rsidRPr="00965341" w:rsidRDefault="00B95C7E" w:rsidP="00B95C7E">
            <w:pPr>
              <w:rPr>
                <w:b/>
                <w:bCs/>
                <w:sz w:val="14"/>
                <w:szCs w:val="14"/>
                <w:lang w:val="en-US" w:eastAsia="en-US"/>
              </w:rPr>
            </w:pPr>
          </w:p>
        </w:tc>
        <w:tc>
          <w:tcPr>
            <w:tcW w:w="691" w:type="dxa"/>
            <w:vMerge/>
            <w:tcBorders>
              <w:top w:val="single" w:sz="4" w:space="0" w:color="auto"/>
              <w:left w:val="nil"/>
              <w:bottom w:val="single" w:sz="4" w:space="0" w:color="000000"/>
              <w:right w:val="nil"/>
            </w:tcBorders>
            <w:vAlign w:val="center"/>
            <w:hideMark/>
          </w:tcPr>
          <w:p w14:paraId="065FF967" w14:textId="77777777" w:rsidR="00B95C7E" w:rsidRPr="00965341" w:rsidRDefault="00B95C7E" w:rsidP="00B95C7E">
            <w:pPr>
              <w:rPr>
                <w:b/>
                <w:bCs/>
                <w:sz w:val="14"/>
                <w:szCs w:val="14"/>
                <w:lang w:val="en-US" w:eastAsia="en-US"/>
              </w:rPr>
            </w:pPr>
          </w:p>
        </w:tc>
        <w:tc>
          <w:tcPr>
            <w:tcW w:w="600" w:type="dxa"/>
            <w:vMerge/>
            <w:tcBorders>
              <w:top w:val="single" w:sz="4" w:space="0" w:color="auto"/>
              <w:left w:val="nil"/>
              <w:bottom w:val="single" w:sz="4" w:space="0" w:color="000000"/>
              <w:right w:val="nil"/>
            </w:tcBorders>
            <w:vAlign w:val="center"/>
            <w:hideMark/>
          </w:tcPr>
          <w:p w14:paraId="2AEF9B31" w14:textId="77777777" w:rsidR="00B95C7E" w:rsidRPr="00965341" w:rsidRDefault="00B95C7E" w:rsidP="00B95C7E">
            <w:pPr>
              <w:rPr>
                <w:b/>
                <w:bCs/>
                <w:sz w:val="14"/>
                <w:szCs w:val="14"/>
                <w:lang w:val="en-US" w:eastAsia="en-US"/>
              </w:rPr>
            </w:pPr>
          </w:p>
        </w:tc>
        <w:tc>
          <w:tcPr>
            <w:tcW w:w="4637" w:type="dxa"/>
            <w:vMerge/>
            <w:tcBorders>
              <w:top w:val="single" w:sz="4" w:space="0" w:color="auto"/>
              <w:left w:val="nil"/>
              <w:bottom w:val="single" w:sz="4" w:space="0" w:color="000000"/>
              <w:right w:val="nil"/>
            </w:tcBorders>
            <w:vAlign w:val="center"/>
            <w:hideMark/>
          </w:tcPr>
          <w:p w14:paraId="4521782C" w14:textId="77777777" w:rsidR="00B95C7E" w:rsidRPr="00965341" w:rsidRDefault="00B95C7E" w:rsidP="00B95C7E">
            <w:pPr>
              <w:rPr>
                <w:b/>
                <w:bCs/>
                <w:sz w:val="14"/>
                <w:szCs w:val="14"/>
                <w:lang w:val="en-US" w:eastAsia="en-US"/>
              </w:rPr>
            </w:pPr>
          </w:p>
        </w:tc>
        <w:tc>
          <w:tcPr>
            <w:tcW w:w="962" w:type="dxa"/>
            <w:gridSpan w:val="3"/>
            <w:vMerge/>
            <w:tcBorders>
              <w:top w:val="single" w:sz="4" w:space="0" w:color="auto"/>
              <w:left w:val="nil"/>
              <w:bottom w:val="single" w:sz="4" w:space="0" w:color="000000"/>
              <w:right w:val="nil"/>
            </w:tcBorders>
            <w:shd w:val="clear" w:color="auto" w:fill="auto"/>
            <w:vAlign w:val="center"/>
            <w:hideMark/>
          </w:tcPr>
          <w:p w14:paraId="300C13DD" w14:textId="77777777" w:rsidR="00B95C7E" w:rsidRPr="00965341" w:rsidRDefault="00B95C7E" w:rsidP="00B95C7E">
            <w:pPr>
              <w:rPr>
                <w:b/>
                <w:bCs/>
                <w:sz w:val="14"/>
                <w:szCs w:val="14"/>
                <w:lang w:val="en-US" w:eastAsia="en-US"/>
              </w:rPr>
            </w:pPr>
          </w:p>
        </w:tc>
        <w:tc>
          <w:tcPr>
            <w:tcW w:w="500" w:type="dxa"/>
            <w:vMerge/>
            <w:tcBorders>
              <w:top w:val="single" w:sz="4" w:space="0" w:color="auto"/>
              <w:left w:val="nil"/>
              <w:bottom w:val="single" w:sz="4" w:space="0" w:color="000000"/>
              <w:right w:val="nil"/>
            </w:tcBorders>
            <w:shd w:val="clear" w:color="auto" w:fill="auto"/>
            <w:vAlign w:val="center"/>
            <w:hideMark/>
          </w:tcPr>
          <w:p w14:paraId="5A62E3FE" w14:textId="77777777" w:rsidR="00B95C7E" w:rsidRPr="00965341" w:rsidRDefault="00B95C7E" w:rsidP="00B95C7E">
            <w:pPr>
              <w:rPr>
                <w:b/>
                <w:bCs/>
                <w:sz w:val="14"/>
                <w:szCs w:val="14"/>
                <w:lang w:val="en-US" w:eastAsia="en-US"/>
              </w:rPr>
            </w:pPr>
          </w:p>
        </w:tc>
        <w:tc>
          <w:tcPr>
            <w:tcW w:w="653" w:type="dxa"/>
            <w:gridSpan w:val="2"/>
            <w:vMerge/>
            <w:tcBorders>
              <w:top w:val="single" w:sz="4" w:space="0" w:color="auto"/>
              <w:left w:val="nil"/>
              <w:bottom w:val="single" w:sz="4" w:space="0" w:color="000000"/>
              <w:right w:val="nil"/>
            </w:tcBorders>
            <w:shd w:val="clear" w:color="auto" w:fill="auto"/>
            <w:vAlign w:val="center"/>
            <w:hideMark/>
          </w:tcPr>
          <w:p w14:paraId="1ED177E5" w14:textId="77777777" w:rsidR="00B95C7E" w:rsidRPr="00965341" w:rsidRDefault="00B95C7E" w:rsidP="00B95C7E">
            <w:pPr>
              <w:rPr>
                <w:b/>
                <w:bCs/>
                <w:sz w:val="14"/>
                <w:szCs w:val="14"/>
                <w:lang w:val="en-US" w:eastAsia="en-US"/>
              </w:rPr>
            </w:pPr>
          </w:p>
        </w:tc>
        <w:tc>
          <w:tcPr>
            <w:tcW w:w="691" w:type="dxa"/>
            <w:gridSpan w:val="2"/>
            <w:vMerge/>
            <w:tcBorders>
              <w:top w:val="single" w:sz="4" w:space="0" w:color="auto"/>
              <w:left w:val="nil"/>
              <w:bottom w:val="single" w:sz="4" w:space="0" w:color="000000"/>
              <w:right w:val="nil"/>
            </w:tcBorders>
            <w:vAlign w:val="center"/>
            <w:hideMark/>
          </w:tcPr>
          <w:p w14:paraId="64F13FE4" w14:textId="77777777" w:rsidR="00B95C7E" w:rsidRPr="00965341" w:rsidRDefault="00B95C7E" w:rsidP="00B95C7E">
            <w:pPr>
              <w:rPr>
                <w:b/>
                <w:bCs/>
                <w:sz w:val="14"/>
                <w:szCs w:val="14"/>
                <w:lang w:val="en-US" w:eastAsia="en-US"/>
              </w:rPr>
            </w:pPr>
          </w:p>
        </w:tc>
        <w:tc>
          <w:tcPr>
            <w:tcW w:w="839" w:type="dxa"/>
            <w:gridSpan w:val="2"/>
            <w:vMerge/>
            <w:tcBorders>
              <w:top w:val="single" w:sz="4" w:space="0" w:color="auto"/>
              <w:left w:val="nil"/>
              <w:bottom w:val="single" w:sz="4" w:space="0" w:color="000000"/>
              <w:right w:val="nil"/>
            </w:tcBorders>
            <w:vAlign w:val="center"/>
            <w:hideMark/>
          </w:tcPr>
          <w:p w14:paraId="162CF468" w14:textId="77777777" w:rsidR="00B95C7E" w:rsidRPr="00965341" w:rsidRDefault="00B95C7E" w:rsidP="00B95C7E">
            <w:pPr>
              <w:rPr>
                <w:b/>
                <w:bCs/>
                <w:sz w:val="14"/>
                <w:szCs w:val="14"/>
                <w:lang w:val="en-US" w:eastAsia="en-US"/>
              </w:rPr>
            </w:pPr>
          </w:p>
        </w:tc>
        <w:tc>
          <w:tcPr>
            <w:tcW w:w="884" w:type="dxa"/>
            <w:gridSpan w:val="2"/>
            <w:vMerge/>
            <w:tcBorders>
              <w:top w:val="single" w:sz="4" w:space="0" w:color="auto"/>
              <w:left w:val="nil"/>
              <w:bottom w:val="single" w:sz="4" w:space="0" w:color="000000"/>
              <w:right w:val="nil"/>
            </w:tcBorders>
            <w:vAlign w:val="center"/>
            <w:hideMark/>
          </w:tcPr>
          <w:p w14:paraId="55A906CE" w14:textId="77777777" w:rsidR="00B95C7E" w:rsidRPr="00965341" w:rsidRDefault="00B95C7E" w:rsidP="00B95C7E">
            <w:pPr>
              <w:rPr>
                <w:b/>
                <w:bCs/>
                <w:sz w:val="14"/>
                <w:szCs w:val="14"/>
                <w:lang w:val="en-US" w:eastAsia="en-US"/>
              </w:rPr>
            </w:pPr>
          </w:p>
        </w:tc>
        <w:tc>
          <w:tcPr>
            <w:tcW w:w="653" w:type="dxa"/>
            <w:gridSpan w:val="2"/>
            <w:vMerge/>
            <w:tcBorders>
              <w:top w:val="single" w:sz="4" w:space="0" w:color="auto"/>
              <w:left w:val="nil"/>
              <w:bottom w:val="single" w:sz="4" w:space="0" w:color="000000"/>
              <w:right w:val="nil"/>
            </w:tcBorders>
            <w:vAlign w:val="center"/>
            <w:hideMark/>
          </w:tcPr>
          <w:p w14:paraId="5077028C" w14:textId="77777777" w:rsidR="00B95C7E" w:rsidRPr="00965341" w:rsidRDefault="00B95C7E" w:rsidP="00B95C7E">
            <w:pPr>
              <w:rPr>
                <w:b/>
                <w:bCs/>
                <w:sz w:val="14"/>
                <w:szCs w:val="14"/>
                <w:lang w:val="en-US" w:eastAsia="en-US"/>
              </w:rPr>
            </w:pPr>
          </w:p>
        </w:tc>
        <w:tc>
          <w:tcPr>
            <w:tcW w:w="653" w:type="dxa"/>
            <w:gridSpan w:val="2"/>
            <w:vMerge/>
            <w:tcBorders>
              <w:top w:val="single" w:sz="4" w:space="0" w:color="auto"/>
              <w:left w:val="nil"/>
              <w:bottom w:val="single" w:sz="4" w:space="0" w:color="000000"/>
              <w:right w:val="nil"/>
            </w:tcBorders>
            <w:vAlign w:val="center"/>
            <w:hideMark/>
          </w:tcPr>
          <w:p w14:paraId="00A99C6A" w14:textId="77777777" w:rsidR="00B95C7E" w:rsidRPr="00965341" w:rsidRDefault="00B95C7E" w:rsidP="00B95C7E">
            <w:pPr>
              <w:rPr>
                <w:b/>
                <w:bCs/>
                <w:sz w:val="14"/>
                <w:szCs w:val="14"/>
                <w:lang w:val="en-US" w:eastAsia="en-US"/>
              </w:rPr>
            </w:pPr>
          </w:p>
        </w:tc>
        <w:tc>
          <w:tcPr>
            <w:tcW w:w="653" w:type="dxa"/>
            <w:gridSpan w:val="2"/>
            <w:vMerge/>
            <w:tcBorders>
              <w:top w:val="single" w:sz="4" w:space="0" w:color="auto"/>
              <w:left w:val="nil"/>
              <w:bottom w:val="single" w:sz="4" w:space="0" w:color="000000"/>
              <w:right w:val="nil"/>
            </w:tcBorders>
            <w:vAlign w:val="center"/>
            <w:hideMark/>
          </w:tcPr>
          <w:p w14:paraId="05E24309" w14:textId="77777777" w:rsidR="00B95C7E" w:rsidRPr="00965341" w:rsidRDefault="00B95C7E" w:rsidP="00B95C7E">
            <w:pPr>
              <w:rPr>
                <w:b/>
                <w:bCs/>
                <w:sz w:val="14"/>
                <w:szCs w:val="14"/>
                <w:lang w:val="en-US" w:eastAsia="en-US"/>
              </w:rPr>
            </w:pPr>
          </w:p>
        </w:tc>
        <w:tc>
          <w:tcPr>
            <w:tcW w:w="691" w:type="dxa"/>
            <w:gridSpan w:val="2"/>
            <w:vMerge/>
            <w:tcBorders>
              <w:top w:val="single" w:sz="4" w:space="0" w:color="auto"/>
              <w:left w:val="nil"/>
              <w:bottom w:val="single" w:sz="4" w:space="0" w:color="000000"/>
              <w:right w:val="nil"/>
            </w:tcBorders>
            <w:vAlign w:val="center"/>
            <w:hideMark/>
          </w:tcPr>
          <w:p w14:paraId="54327069" w14:textId="77777777" w:rsidR="00B95C7E" w:rsidRPr="00965341" w:rsidRDefault="00B95C7E" w:rsidP="00B95C7E">
            <w:pPr>
              <w:rPr>
                <w:b/>
                <w:bCs/>
                <w:sz w:val="14"/>
                <w:szCs w:val="14"/>
                <w:lang w:val="en-US" w:eastAsia="en-US"/>
              </w:rPr>
            </w:pPr>
          </w:p>
        </w:tc>
        <w:tc>
          <w:tcPr>
            <w:tcW w:w="691" w:type="dxa"/>
            <w:gridSpan w:val="2"/>
            <w:vMerge/>
            <w:tcBorders>
              <w:top w:val="single" w:sz="4" w:space="0" w:color="auto"/>
              <w:left w:val="nil"/>
              <w:bottom w:val="single" w:sz="4" w:space="0" w:color="000000"/>
              <w:right w:val="nil"/>
            </w:tcBorders>
            <w:vAlign w:val="center"/>
            <w:hideMark/>
          </w:tcPr>
          <w:p w14:paraId="2E0F3DB3" w14:textId="77777777" w:rsidR="00B95C7E" w:rsidRPr="00965341" w:rsidRDefault="00B95C7E" w:rsidP="00B95C7E">
            <w:pPr>
              <w:rPr>
                <w:b/>
                <w:bCs/>
                <w:sz w:val="14"/>
                <w:szCs w:val="14"/>
                <w:lang w:val="en-US" w:eastAsia="en-US"/>
              </w:rPr>
            </w:pPr>
          </w:p>
        </w:tc>
        <w:tc>
          <w:tcPr>
            <w:tcW w:w="839" w:type="dxa"/>
            <w:gridSpan w:val="2"/>
            <w:vMerge/>
            <w:tcBorders>
              <w:top w:val="single" w:sz="4" w:space="0" w:color="auto"/>
              <w:left w:val="nil"/>
              <w:bottom w:val="single" w:sz="4" w:space="0" w:color="000000"/>
              <w:right w:val="nil"/>
            </w:tcBorders>
            <w:shd w:val="clear" w:color="auto" w:fill="auto"/>
            <w:vAlign w:val="center"/>
            <w:hideMark/>
          </w:tcPr>
          <w:p w14:paraId="19BED68B" w14:textId="77777777" w:rsidR="00B95C7E" w:rsidRPr="00965341" w:rsidRDefault="00B95C7E" w:rsidP="00B95C7E">
            <w:pPr>
              <w:rPr>
                <w:b/>
                <w:bCs/>
                <w:sz w:val="14"/>
                <w:szCs w:val="14"/>
                <w:lang w:val="en-US" w:eastAsia="en-US"/>
              </w:rPr>
            </w:pPr>
          </w:p>
        </w:tc>
      </w:tr>
      <w:tr w:rsidR="006278AE" w:rsidRPr="00965341" w14:paraId="5C8C57F7" w14:textId="77777777" w:rsidTr="00A23161">
        <w:trPr>
          <w:gridAfter w:val="1"/>
          <w:wAfter w:w="34" w:type="dxa"/>
          <w:trHeight w:hRule="exact" w:val="284"/>
        </w:trPr>
        <w:tc>
          <w:tcPr>
            <w:tcW w:w="709" w:type="dxa"/>
            <w:tcBorders>
              <w:top w:val="nil"/>
              <w:left w:val="nil"/>
              <w:bottom w:val="nil"/>
              <w:right w:val="nil"/>
            </w:tcBorders>
            <w:shd w:val="clear" w:color="auto" w:fill="auto"/>
            <w:noWrap/>
            <w:hideMark/>
          </w:tcPr>
          <w:p w14:paraId="37AB1732" w14:textId="77EF09B5" w:rsidR="006278AE" w:rsidRPr="00965341" w:rsidRDefault="006278AE" w:rsidP="006278AE">
            <w:pPr>
              <w:jc w:val="center"/>
              <w:rPr>
                <w:sz w:val="14"/>
                <w:szCs w:val="14"/>
                <w:lang w:val="en-US" w:eastAsia="en-US"/>
              </w:rPr>
            </w:pPr>
            <w:r w:rsidRPr="00965341">
              <w:rPr>
                <w:sz w:val="14"/>
                <w:szCs w:val="14"/>
                <w:lang w:val="en-US" w:eastAsia="en-US"/>
              </w:rPr>
              <w:t>Yes</w:t>
            </w:r>
          </w:p>
        </w:tc>
        <w:tc>
          <w:tcPr>
            <w:tcW w:w="691" w:type="dxa"/>
            <w:tcBorders>
              <w:top w:val="nil"/>
              <w:left w:val="nil"/>
              <w:bottom w:val="nil"/>
              <w:right w:val="nil"/>
            </w:tcBorders>
            <w:shd w:val="clear" w:color="auto" w:fill="auto"/>
            <w:noWrap/>
            <w:hideMark/>
          </w:tcPr>
          <w:p w14:paraId="39A5AAC3" w14:textId="77777777" w:rsidR="006278AE" w:rsidRPr="00965341" w:rsidRDefault="006278AE" w:rsidP="006278AE">
            <w:pPr>
              <w:jc w:val="center"/>
              <w:rPr>
                <w:sz w:val="14"/>
                <w:szCs w:val="14"/>
                <w:lang w:val="en-US" w:eastAsia="en-US"/>
              </w:rPr>
            </w:pPr>
            <w:r w:rsidRPr="00965341">
              <w:rPr>
                <w:sz w:val="14"/>
                <w:szCs w:val="14"/>
                <w:lang w:val="en-US" w:eastAsia="en-US"/>
              </w:rPr>
              <w:t>1</w:t>
            </w:r>
          </w:p>
        </w:tc>
        <w:tc>
          <w:tcPr>
            <w:tcW w:w="600" w:type="dxa"/>
            <w:tcBorders>
              <w:top w:val="nil"/>
              <w:left w:val="nil"/>
              <w:bottom w:val="nil"/>
              <w:right w:val="nil"/>
            </w:tcBorders>
            <w:shd w:val="clear" w:color="auto" w:fill="auto"/>
            <w:noWrap/>
            <w:hideMark/>
          </w:tcPr>
          <w:p w14:paraId="2394CD43" w14:textId="77777777" w:rsidR="006278AE" w:rsidRPr="00965341" w:rsidRDefault="006278AE" w:rsidP="006278AE">
            <w:pPr>
              <w:rPr>
                <w:sz w:val="14"/>
                <w:szCs w:val="14"/>
                <w:lang w:val="en-US" w:eastAsia="en-US"/>
              </w:rPr>
            </w:pPr>
            <w:r w:rsidRPr="00965341">
              <w:rPr>
                <w:sz w:val="14"/>
                <w:szCs w:val="14"/>
                <w:lang w:val="en-US" w:eastAsia="en-US"/>
              </w:rPr>
              <w:t>I02A</w:t>
            </w:r>
          </w:p>
        </w:tc>
        <w:tc>
          <w:tcPr>
            <w:tcW w:w="4637" w:type="dxa"/>
            <w:tcBorders>
              <w:top w:val="nil"/>
              <w:left w:val="nil"/>
              <w:bottom w:val="nil"/>
              <w:right w:val="nil"/>
            </w:tcBorders>
            <w:shd w:val="clear" w:color="auto" w:fill="auto"/>
            <w:noWrap/>
            <w:hideMark/>
          </w:tcPr>
          <w:p w14:paraId="1E9355B0" w14:textId="41D948FE" w:rsidR="006278AE" w:rsidRPr="00965341" w:rsidRDefault="006278AE" w:rsidP="006278AE">
            <w:pPr>
              <w:rPr>
                <w:sz w:val="14"/>
                <w:szCs w:val="14"/>
                <w:lang w:val="en-US" w:eastAsia="en-US"/>
              </w:rPr>
            </w:pPr>
            <w:r w:rsidRPr="00965341">
              <w:rPr>
                <w:sz w:val="14"/>
                <w:szCs w:val="14"/>
                <w:lang w:val="en-US" w:eastAsia="en-US"/>
              </w:rPr>
              <w:t>Microvascular Tissue Transfers or Skin Grafts, Excluding Hand, Major Complexity</w:t>
            </w:r>
          </w:p>
        </w:tc>
        <w:tc>
          <w:tcPr>
            <w:tcW w:w="962" w:type="dxa"/>
            <w:gridSpan w:val="3"/>
            <w:tcBorders>
              <w:top w:val="nil"/>
              <w:left w:val="nil"/>
              <w:bottom w:val="nil"/>
              <w:right w:val="nil"/>
            </w:tcBorders>
            <w:shd w:val="clear" w:color="auto" w:fill="auto"/>
            <w:noWrap/>
            <w:hideMark/>
          </w:tcPr>
          <w:p w14:paraId="154B0C51" w14:textId="768E1DF0" w:rsidR="006278AE" w:rsidRPr="00965341" w:rsidRDefault="006278AE" w:rsidP="006278AE">
            <w:pPr>
              <w:jc w:val="right"/>
              <w:rPr>
                <w:b/>
                <w:sz w:val="14"/>
                <w:szCs w:val="14"/>
                <w:lang w:val="en-US" w:eastAsia="en-US"/>
              </w:rPr>
            </w:pPr>
            <w:r w:rsidRPr="00965341">
              <w:rPr>
                <w:b/>
                <w:sz w:val="14"/>
                <w:szCs w:val="14"/>
                <w:lang w:val="en-US" w:eastAsia="en-US"/>
              </w:rPr>
              <w:t>50.6</w:t>
            </w:r>
          </w:p>
        </w:tc>
        <w:tc>
          <w:tcPr>
            <w:tcW w:w="500" w:type="dxa"/>
            <w:tcBorders>
              <w:top w:val="nil"/>
              <w:left w:val="nil"/>
              <w:bottom w:val="nil"/>
              <w:right w:val="nil"/>
            </w:tcBorders>
            <w:shd w:val="clear" w:color="auto" w:fill="auto"/>
            <w:noWrap/>
            <w:hideMark/>
          </w:tcPr>
          <w:p w14:paraId="7B244EEC" w14:textId="77777777" w:rsidR="006278AE" w:rsidRPr="00965341" w:rsidRDefault="006278AE" w:rsidP="006278AE">
            <w:pPr>
              <w:jc w:val="right"/>
              <w:rPr>
                <w:sz w:val="14"/>
                <w:szCs w:val="14"/>
                <w:lang w:val="en-US" w:eastAsia="en-US"/>
              </w:rPr>
            </w:pPr>
            <w:r w:rsidRPr="00965341">
              <w:rPr>
                <w:sz w:val="14"/>
                <w:szCs w:val="14"/>
                <w:lang w:val="en-US" w:eastAsia="en-US"/>
              </w:rPr>
              <w:t>5</w:t>
            </w:r>
          </w:p>
        </w:tc>
        <w:tc>
          <w:tcPr>
            <w:tcW w:w="653" w:type="dxa"/>
            <w:gridSpan w:val="2"/>
            <w:tcBorders>
              <w:top w:val="nil"/>
              <w:left w:val="nil"/>
              <w:bottom w:val="nil"/>
              <w:right w:val="nil"/>
            </w:tcBorders>
            <w:shd w:val="clear" w:color="auto" w:fill="auto"/>
            <w:noWrap/>
            <w:hideMark/>
          </w:tcPr>
          <w:p w14:paraId="3AF4A939" w14:textId="77777777" w:rsidR="006278AE" w:rsidRPr="00965341" w:rsidRDefault="006278AE" w:rsidP="006278AE">
            <w:pPr>
              <w:jc w:val="right"/>
              <w:rPr>
                <w:sz w:val="14"/>
                <w:szCs w:val="14"/>
                <w:lang w:val="en-US" w:eastAsia="en-US"/>
              </w:rPr>
            </w:pPr>
            <w:r w:rsidRPr="00965341">
              <w:rPr>
                <w:sz w:val="14"/>
                <w:szCs w:val="14"/>
                <w:lang w:val="en-US" w:eastAsia="en-US"/>
              </w:rPr>
              <w:t>290</w:t>
            </w:r>
          </w:p>
        </w:tc>
        <w:tc>
          <w:tcPr>
            <w:tcW w:w="691" w:type="dxa"/>
            <w:gridSpan w:val="2"/>
            <w:tcBorders>
              <w:top w:val="nil"/>
              <w:left w:val="nil"/>
              <w:bottom w:val="nil"/>
              <w:right w:val="nil"/>
            </w:tcBorders>
            <w:shd w:val="clear" w:color="auto" w:fill="auto"/>
            <w:noWrap/>
            <w:hideMark/>
          </w:tcPr>
          <w:p w14:paraId="570CC25A" w14:textId="09104D2D" w:rsidR="006278AE" w:rsidRPr="00965341" w:rsidRDefault="006278AE" w:rsidP="006278AE">
            <w:pPr>
              <w:jc w:val="right"/>
              <w:rPr>
                <w:sz w:val="14"/>
                <w:szCs w:val="14"/>
                <w:lang w:val="en-US" w:eastAsia="en-US"/>
              </w:rPr>
            </w:pPr>
            <w:r w:rsidRPr="00965341">
              <w:rPr>
                <w:sz w:val="14"/>
                <w:szCs w:val="14"/>
                <w:lang w:val="en-US" w:eastAsia="en-US"/>
              </w:rPr>
              <w:t>16.66</w:t>
            </w:r>
          </w:p>
        </w:tc>
        <w:tc>
          <w:tcPr>
            <w:tcW w:w="839" w:type="dxa"/>
            <w:gridSpan w:val="2"/>
            <w:tcBorders>
              <w:top w:val="nil"/>
              <w:left w:val="nil"/>
              <w:bottom w:val="nil"/>
              <w:right w:val="nil"/>
            </w:tcBorders>
            <w:shd w:val="clear" w:color="auto" w:fill="auto"/>
            <w:noWrap/>
            <w:hideMark/>
          </w:tcPr>
          <w:p w14:paraId="1F88DDF3" w14:textId="77777777" w:rsidR="006278AE" w:rsidRPr="00965341" w:rsidRDefault="006278AE" w:rsidP="006278AE">
            <w:pPr>
              <w:jc w:val="right"/>
              <w:rPr>
                <w:sz w:val="14"/>
                <w:szCs w:val="14"/>
                <w:lang w:val="en-US" w:eastAsia="en-US"/>
              </w:rPr>
            </w:pPr>
            <w:r w:rsidRPr="00965341">
              <w:rPr>
                <w:sz w:val="14"/>
                <w:szCs w:val="14"/>
                <w:lang w:val="en-US" w:eastAsia="en-US"/>
              </w:rPr>
              <w:t>103</w:t>
            </w:r>
          </w:p>
        </w:tc>
        <w:tc>
          <w:tcPr>
            <w:tcW w:w="884" w:type="dxa"/>
            <w:gridSpan w:val="2"/>
            <w:tcBorders>
              <w:top w:val="nil"/>
              <w:left w:val="nil"/>
              <w:bottom w:val="nil"/>
              <w:right w:val="nil"/>
            </w:tcBorders>
            <w:shd w:val="clear" w:color="auto" w:fill="auto"/>
            <w:noWrap/>
            <w:hideMark/>
          </w:tcPr>
          <w:p w14:paraId="60B7724A" w14:textId="65113553" w:rsidR="006278AE" w:rsidRPr="00965341" w:rsidRDefault="006278AE" w:rsidP="006278AE">
            <w:pPr>
              <w:jc w:val="right"/>
              <w:rPr>
                <w:sz w:val="14"/>
                <w:szCs w:val="14"/>
                <w:lang w:val="en-US" w:eastAsia="en-US"/>
              </w:rPr>
            </w:pPr>
            <w:r w:rsidRPr="006278AE">
              <w:rPr>
                <w:sz w:val="14"/>
                <w:szCs w:val="14"/>
                <w:lang w:val="en-US" w:eastAsia="en-US"/>
              </w:rPr>
              <w:t>1,716</w:t>
            </w:r>
          </w:p>
        </w:tc>
        <w:tc>
          <w:tcPr>
            <w:tcW w:w="653" w:type="dxa"/>
            <w:gridSpan w:val="2"/>
            <w:tcBorders>
              <w:top w:val="nil"/>
              <w:left w:val="nil"/>
              <w:bottom w:val="nil"/>
              <w:right w:val="nil"/>
            </w:tcBorders>
            <w:shd w:val="clear" w:color="auto" w:fill="auto"/>
            <w:noWrap/>
            <w:hideMark/>
          </w:tcPr>
          <w:p w14:paraId="78A877DE" w14:textId="77777777" w:rsidR="006278AE" w:rsidRPr="00965341" w:rsidRDefault="006278AE" w:rsidP="006278AE">
            <w:pPr>
              <w:jc w:val="right"/>
              <w:rPr>
                <w:sz w:val="14"/>
                <w:szCs w:val="14"/>
                <w:lang w:val="en-US" w:eastAsia="en-US"/>
              </w:rPr>
            </w:pPr>
            <w:r w:rsidRPr="00965341">
              <w:rPr>
                <w:sz w:val="14"/>
                <w:szCs w:val="14"/>
                <w:lang w:val="en-US" w:eastAsia="en-US"/>
              </w:rPr>
              <w:t>1.72</w:t>
            </w:r>
          </w:p>
        </w:tc>
        <w:tc>
          <w:tcPr>
            <w:tcW w:w="653" w:type="dxa"/>
            <w:gridSpan w:val="2"/>
            <w:tcBorders>
              <w:top w:val="nil"/>
              <w:left w:val="nil"/>
              <w:bottom w:val="nil"/>
              <w:right w:val="nil"/>
            </w:tcBorders>
            <w:shd w:val="clear" w:color="auto" w:fill="auto"/>
            <w:noWrap/>
            <w:hideMark/>
          </w:tcPr>
          <w:p w14:paraId="720B6A92"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53" w:type="dxa"/>
            <w:gridSpan w:val="2"/>
            <w:tcBorders>
              <w:top w:val="nil"/>
              <w:left w:val="nil"/>
              <w:bottom w:val="nil"/>
              <w:right w:val="nil"/>
            </w:tcBorders>
            <w:shd w:val="clear" w:color="auto" w:fill="auto"/>
            <w:noWrap/>
            <w:hideMark/>
          </w:tcPr>
          <w:p w14:paraId="3B0444AC" w14:textId="77777777" w:rsidR="006278AE" w:rsidRPr="00965341" w:rsidRDefault="006278AE" w:rsidP="006278AE">
            <w:pPr>
              <w:jc w:val="right"/>
              <w:rPr>
                <w:sz w:val="14"/>
                <w:szCs w:val="14"/>
                <w:lang w:val="en-US" w:eastAsia="en-US"/>
              </w:rPr>
            </w:pPr>
            <w:r w:rsidRPr="00965341">
              <w:rPr>
                <w:sz w:val="14"/>
                <w:szCs w:val="14"/>
                <w:lang w:val="en-US" w:eastAsia="en-US"/>
              </w:rPr>
              <w:t>0.1%</w:t>
            </w:r>
          </w:p>
        </w:tc>
        <w:tc>
          <w:tcPr>
            <w:tcW w:w="691" w:type="dxa"/>
            <w:gridSpan w:val="2"/>
            <w:tcBorders>
              <w:top w:val="nil"/>
              <w:left w:val="nil"/>
              <w:bottom w:val="nil"/>
              <w:right w:val="nil"/>
            </w:tcBorders>
            <w:shd w:val="clear" w:color="auto" w:fill="auto"/>
            <w:noWrap/>
            <w:hideMark/>
          </w:tcPr>
          <w:p w14:paraId="2DCB4809" w14:textId="77777777" w:rsidR="006278AE" w:rsidRPr="00965341" w:rsidRDefault="006278AE" w:rsidP="006278AE">
            <w:pPr>
              <w:jc w:val="right"/>
              <w:rPr>
                <w:sz w:val="14"/>
                <w:szCs w:val="14"/>
                <w:lang w:val="en-US" w:eastAsia="en-US"/>
              </w:rPr>
            </w:pPr>
            <w:r w:rsidRPr="00965341">
              <w:rPr>
                <w:sz w:val="14"/>
                <w:szCs w:val="14"/>
                <w:lang w:val="en-US" w:eastAsia="en-US"/>
              </w:rPr>
              <w:t>47.8</w:t>
            </w:r>
          </w:p>
        </w:tc>
        <w:tc>
          <w:tcPr>
            <w:tcW w:w="691" w:type="dxa"/>
            <w:gridSpan w:val="2"/>
            <w:tcBorders>
              <w:top w:val="nil"/>
              <w:left w:val="nil"/>
              <w:bottom w:val="nil"/>
              <w:right w:val="nil"/>
            </w:tcBorders>
            <w:shd w:val="clear" w:color="auto" w:fill="auto"/>
            <w:noWrap/>
            <w:hideMark/>
          </w:tcPr>
          <w:p w14:paraId="6A975B08" w14:textId="77777777" w:rsidR="006278AE" w:rsidRPr="00965341" w:rsidRDefault="006278AE" w:rsidP="006278AE">
            <w:pPr>
              <w:jc w:val="right"/>
              <w:rPr>
                <w:sz w:val="14"/>
                <w:szCs w:val="14"/>
                <w:lang w:val="en-US" w:eastAsia="en-US"/>
              </w:rPr>
            </w:pPr>
            <w:r w:rsidRPr="00965341">
              <w:rPr>
                <w:sz w:val="14"/>
                <w:szCs w:val="14"/>
                <w:lang w:val="en-US" w:eastAsia="en-US"/>
              </w:rPr>
              <w:t xml:space="preserve">2 </w:t>
            </w:r>
          </w:p>
        </w:tc>
        <w:tc>
          <w:tcPr>
            <w:tcW w:w="839" w:type="dxa"/>
            <w:gridSpan w:val="2"/>
            <w:tcBorders>
              <w:top w:val="nil"/>
              <w:left w:val="nil"/>
              <w:bottom w:val="nil"/>
              <w:right w:val="nil"/>
            </w:tcBorders>
            <w:shd w:val="clear" w:color="auto" w:fill="auto"/>
            <w:noWrap/>
            <w:hideMark/>
          </w:tcPr>
          <w:p w14:paraId="4B8C32F9" w14:textId="510F3341" w:rsidR="006278AE" w:rsidRPr="00965341" w:rsidRDefault="006278AE" w:rsidP="006278AE">
            <w:pPr>
              <w:jc w:val="right"/>
              <w:rPr>
                <w:sz w:val="14"/>
                <w:szCs w:val="14"/>
                <w:lang w:val="en-US" w:eastAsia="en-US"/>
              </w:rPr>
            </w:pPr>
            <w:r w:rsidRPr="00965341">
              <w:rPr>
                <w:sz w:val="14"/>
                <w:szCs w:val="14"/>
                <w:lang w:val="en-US" w:eastAsia="en-US"/>
              </w:rPr>
              <w:t>5,215</w:t>
            </w:r>
          </w:p>
        </w:tc>
      </w:tr>
      <w:tr w:rsidR="006278AE" w:rsidRPr="00965341" w14:paraId="3327DBDC" w14:textId="77777777" w:rsidTr="00A23161">
        <w:trPr>
          <w:gridAfter w:val="1"/>
          <w:wAfter w:w="34" w:type="dxa"/>
          <w:trHeight w:hRule="exact" w:val="284"/>
        </w:trPr>
        <w:tc>
          <w:tcPr>
            <w:tcW w:w="709" w:type="dxa"/>
            <w:tcBorders>
              <w:top w:val="nil"/>
              <w:left w:val="nil"/>
              <w:bottom w:val="nil"/>
              <w:right w:val="nil"/>
            </w:tcBorders>
            <w:shd w:val="clear" w:color="auto" w:fill="auto"/>
            <w:noWrap/>
            <w:hideMark/>
          </w:tcPr>
          <w:p w14:paraId="0F1792F3" w14:textId="77777777" w:rsidR="006278AE" w:rsidRPr="00965341" w:rsidRDefault="006278AE" w:rsidP="006278AE">
            <w:pPr>
              <w:jc w:val="center"/>
              <w:rPr>
                <w:sz w:val="14"/>
                <w:szCs w:val="14"/>
                <w:lang w:val="en-US" w:eastAsia="en-US"/>
              </w:rPr>
            </w:pPr>
            <w:r w:rsidRPr="00965341">
              <w:rPr>
                <w:sz w:val="14"/>
                <w:szCs w:val="14"/>
                <w:lang w:val="en-US" w:eastAsia="en-US"/>
              </w:rPr>
              <w:t>Yes</w:t>
            </w:r>
          </w:p>
        </w:tc>
        <w:tc>
          <w:tcPr>
            <w:tcW w:w="691" w:type="dxa"/>
            <w:tcBorders>
              <w:top w:val="nil"/>
              <w:left w:val="nil"/>
              <w:bottom w:val="nil"/>
              <w:right w:val="nil"/>
            </w:tcBorders>
            <w:shd w:val="clear" w:color="auto" w:fill="auto"/>
            <w:noWrap/>
            <w:hideMark/>
          </w:tcPr>
          <w:p w14:paraId="166D1D31" w14:textId="77777777" w:rsidR="006278AE" w:rsidRPr="00965341" w:rsidRDefault="006278AE" w:rsidP="006278AE">
            <w:pPr>
              <w:jc w:val="center"/>
              <w:rPr>
                <w:sz w:val="14"/>
                <w:szCs w:val="14"/>
                <w:lang w:val="en-US" w:eastAsia="en-US"/>
              </w:rPr>
            </w:pPr>
            <w:r w:rsidRPr="00965341">
              <w:rPr>
                <w:sz w:val="14"/>
                <w:szCs w:val="14"/>
                <w:lang w:val="en-US" w:eastAsia="en-US"/>
              </w:rPr>
              <w:t>2</w:t>
            </w:r>
          </w:p>
        </w:tc>
        <w:tc>
          <w:tcPr>
            <w:tcW w:w="600" w:type="dxa"/>
            <w:tcBorders>
              <w:top w:val="nil"/>
              <w:left w:val="nil"/>
              <w:bottom w:val="nil"/>
              <w:right w:val="nil"/>
            </w:tcBorders>
            <w:shd w:val="clear" w:color="auto" w:fill="auto"/>
            <w:noWrap/>
            <w:hideMark/>
          </w:tcPr>
          <w:p w14:paraId="73059B04" w14:textId="77777777" w:rsidR="006278AE" w:rsidRPr="00965341" w:rsidRDefault="006278AE" w:rsidP="006278AE">
            <w:pPr>
              <w:rPr>
                <w:sz w:val="14"/>
                <w:szCs w:val="14"/>
                <w:lang w:val="en-US" w:eastAsia="en-US"/>
              </w:rPr>
            </w:pPr>
            <w:r w:rsidRPr="00965341">
              <w:rPr>
                <w:sz w:val="14"/>
                <w:szCs w:val="14"/>
                <w:lang w:val="en-US" w:eastAsia="en-US"/>
              </w:rPr>
              <w:t>A06A</w:t>
            </w:r>
          </w:p>
        </w:tc>
        <w:tc>
          <w:tcPr>
            <w:tcW w:w="4637" w:type="dxa"/>
            <w:tcBorders>
              <w:top w:val="nil"/>
              <w:left w:val="nil"/>
              <w:bottom w:val="nil"/>
              <w:right w:val="nil"/>
            </w:tcBorders>
            <w:shd w:val="clear" w:color="auto" w:fill="auto"/>
            <w:noWrap/>
            <w:hideMark/>
          </w:tcPr>
          <w:p w14:paraId="3918EDD4" w14:textId="18FE2314" w:rsidR="006278AE" w:rsidRPr="00965341" w:rsidRDefault="006278AE" w:rsidP="006278AE">
            <w:pPr>
              <w:rPr>
                <w:sz w:val="14"/>
                <w:szCs w:val="14"/>
                <w:lang w:val="en-US" w:eastAsia="en-US"/>
              </w:rPr>
            </w:pPr>
            <w:r w:rsidRPr="00965341">
              <w:rPr>
                <w:sz w:val="14"/>
                <w:szCs w:val="14"/>
                <w:lang w:val="en-US" w:eastAsia="en-US"/>
              </w:rPr>
              <w:t>Tracheostomy and/or Ventilation &gt;=96hours, Major Complexity</w:t>
            </w:r>
          </w:p>
        </w:tc>
        <w:tc>
          <w:tcPr>
            <w:tcW w:w="962" w:type="dxa"/>
            <w:gridSpan w:val="3"/>
            <w:tcBorders>
              <w:top w:val="nil"/>
              <w:left w:val="nil"/>
              <w:bottom w:val="nil"/>
              <w:right w:val="nil"/>
            </w:tcBorders>
            <w:shd w:val="clear" w:color="auto" w:fill="auto"/>
            <w:noWrap/>
            <w:hideMark/>
          </w:tcPr>
          <w:p w14:paraId="0C689DC8" w14:textId="77777777" w:rsidR="006278AE" w:rsidRPr="00965341" w:rsidRDefault="006278AE" w:rsidP="006278AE">
            <w:pPr>
              <w:jc w:val="right"/>
              <w:rPr>
                <w:b/>
                <w:sz w:val="14"/>
                <w:szCs w:val="14"/>
                <w:lang w:val="en-US" w:eastAsia="en-US"/>
              </w:rPr>
            </w:pPr>
            <w:r w:rsidRPr="00965341">
              <w:rPr>
                <w:b/>
                <w:sz w:val="14"/>
                <w:szCs w:val="14"/>
                <w:lang w:val="en-US" w:eastAsia="en-US"/>
              </w:rPr>
              <w:t>49.8</w:t>
            </w:r>
          </w:p>
        </w:tc>
        <w:tc>
          <w:tcPr>
            <w:tcW w:w="500" w:type="dxa"/>
            <w:tcBorders>
              <w:top w:val="nil"/>
              <w:left w:val="nil"/>
              <w:bottom w:val="nil"/>
              <w:right w:val="nil"/>
            </w:tcBorders>
            <w:shd w:val="clear" w:color="auto" w:fill="auto"/>
            <w:noWrap/>
            <w:hideMark/>
          </w:tcPr>
          <w:p w14:paraId="2479CB3D" w14:textId="77777777" w:rsidR="006278AE" w:rsidRPr="00965341" w:rsidRDefault="006278AE" w:rsidP="006278AE">
            <w:pPr>
              <w:jc w:val="right"/>
              <w:rPr>
                <w:sz w:val="14"/>
                <w:szCs w:val="14"/>
                <w:lang w:val="en-US" w:eastAsia="en-US"/>
              </w:rPr>
            </w:pPr>
            <w:r w:rsidRPr="00965341">
              <w:rPr>
                <w:sz w:val="14"/>
                <w:szCs w:val="14"/>
                <w:lang w:val="en-US" w:eastAsia="en-US"/>
              </w:rPr>
              <w:t>6</w:t>
            </w:r>
          </w:p>
        </w:tc>
        <w:tc>
          <w:tcPr>
            <w:tcW w:w="653" w:type="dxa"/>
            <w:gridSpan w:val="2"/>
            <w:tcBorders>
              <w:top w:val="nil"/>
              <w:left w:val="nil"/>
              <w:bottom w:val="nil"/>
              <w:right w:val="nil"/>
            </w:tcBorders>
            <w:shd w:val="clear" w:color="auto" w:fill="auto"/>
            <w:noWrap/>
            <w:hideMark/>
          </w:tcPr>
          <w:p w14:paraId="6F76A4DF" w14:textId="77777777" w:rsidR="006278AE" w:rsidRPr="00965341" w:rsidRDefault="006278AE" w:rsidP="006278AE">
            <w:pPr>
              <w:jc w:val="right"/>
              <w:rPr>
                <w:sz w:val="14"/>
                <w:szCs w:val="14"/>
                <w:lang w:val="en-US" w:eastAsia="en-US"/>
              </w:rPr>
            </w:pPr>
            <w:r w:rsidRPr="00965341">
              <w:rPr>
                <w:sz w:val="14"/>
                <w:szCs w:val="14"/>
                <w:lang w:val="en-US" w:eastAsia="en-US"/>
              </w:rPr>
              <w:t>155</w:t>
            </w:r>
          </w:p>
        </w:tc>
        <w:tc>
          <w:tcPr>
            <w:tcW w:w="691" w:type="dxa"/>
            <w:gridSpan w:val="2"/>
            <w:tcBorders>
              <w:top w:val="nil"/>
              <w:left w:val="nil"/>
              <w:bottom w:val="nil"/>
              <w:right w:val="nil"/>
            </w:tcBorders>
            <w:shd w:val="clear" w:color="auto" w:fill="auto"/>
            <w:noWrap/>
            <w:hideMark/>
          </w:tcPr>
          <w:p w14:paraId="359FE451" w14:textId="77777777" w:rsidR="006278AE" w:rsidRPr="00965341" w:rsidRDefault="006278AE" w:rsidP="006278AE">
            <w:pPr>
              <w:jc w:val="right"/>
              <w:rPr>
                <w:sz w:val="14"/>
                <w:szCs w:val="14"/>
                <w:lang w:val="en-US" w:eastAsia="en-US"/>
              </w:rPr>
            </w:pPr>
            <w:r w:rsidRPr="00965341">
              <w:rPr>
                <w:sz w:val="14"/>
                <w:szCs w:val="14"/>
                <w:lang w:val="en-US" w:eastAsia="en-US"/>
              </w:rPr>
              <w:t>35.15</w:t>
            </w:r>
          </w:p>
        </w:tc>
        <w:tc>
          <w:tcPr>
            <w:tcW w:w="839" w:type="dxa"/>
            <w:gridSpan w:val="2"/>
            <w:tcBorders>
              <w:top w:val="nil"/>
              <w:left w:val="nil"/>
              <w:bottom w:val="nil"/>
              <w:right w:val="nil"/>
            </w:tcBorders>
            <w:shd w:val="clear" w:color="auto" w:fill="auto"/>
            <w:noWrap/>
            <w:hideMark/>
          </w:tcPr>
          <w:p w14:paraId="5206C114" w14:textId="77777777" w:rsidR="006278AE" w:rsidRPr="00965341" w:rsidRDefault="006278AE" w:rsidP="006278AE">
            <w:pPr>
              <w:jc w:val="right"/>
              <w:rPr>
                <w:sz w:val="14"/>
                <w:szCs w:val="14"/>
                <w:lang w:val="en-US" w:eastAsia="en-US"/>
              </w:rPr>
            </w:pPr>
            <w:r w:rsidRPr="00965341">
              <w:rPr>
                <w:sz w:val="14"/>
                <w:szCs w:val="14"/>
                <w:lang w:val="en-US" w:eastAsia="en-US"/>
              </w:rPr>
              <w:t>199</w:t>
            </w:r>
          </w:p>
        </w:tc>
        <w:tc>
          <w:tcPr>
            <w:tcW w:w="884" w:type="dxa"/>
            <w:gridSpan w:val="2"/>
            <w:tcBorders>
              <w:top w:val="nil"/>
              <w:left w:val="nil"/>
              <w:bottom w:val="nil"/>
              <w:right w:val="nil"/>
            </w:tcBorders>
            <w:shd w:val="clear" w:color="auto" w:fill="auto"/>
            <w:noWrap/>
            <w:hideMark/>
          </w:tcPr>
          <w:p w14:paraId="682A0B4F" w14:textId="60379661" w:rsidR="006278AE" w:rsidRPr="00965341" w:rsidRDefault="006278AE" w:rsidP="006278AE">
            <w:pPr>
              <w:jc w:val="right"/>
              <w:rPr>
                <w:sz w:val="14"/>
                <w:szCs w:val="14"/>
                <w:lang w:val="en-US" w:eastAsia="en-US"/>
              </w:rPr>
            </w:pPr>
            <w:r w:rsidRPr="006278AE">
              <w:rPr>
                <w:sz w:val="14"/>
                <w:szCs w:val="14"/>
                <w:lang w:val="en-US" w:eastAsia="en-US"/>
              </w:rPr>
              <w:t>6,995</w:t>
            </w:r>
          </w:p>
        </w:tc>
        <w:tc>
          <w:tcPr>
            <w:tcW w:w="653" w:type="dxa"/>
            <w:gridSpan w:val="2"/>
            <w:tcBorders>
              <w:top w:val="nil"/>
              <w:left w:val="nil"/>
              <w:bottom w:val="nil"/>
              <w:right w:val="nil"/>
            </w:tcBorders>
            <w:shd w:val="clear" w:color="auto" w:fill="auto"/>
            <w:noWrap/>
            <w:hideMark/>
          </w:tcPr>
          <w:p w14:paraId="3000B6E2" w14:textId="77777777" w:rsidR="006278AE" w:rsidRPr="00965341" w:rsidRDefault="006278AE" w:rsidP="006278AE">
            <w:pPr>
              <w:jc w:val="right"/>
              <w:rPr>
                <w:sz w:val="14"/>
                <w:szCs w:val="14"/>
                <w:lang w:val="en-US" w:eastAsia="en-US"/>
              </w:rPr>
            </w:pPr>
            <w:r w:rsidRPr="00965341">
              <w:rPr>
                <w:sz w:val="14"/>
                <w:szCs w:val="14"/>
                <w:lang w:val="en-US" w:eastAsia="en-US"/>
              </w:rPr>
              <w:t>1.82</w:t>
            </w:r>
          </w:p>
        </w:tc>
        <w:tc>
          <w:tcPr>
            <w:tcW w:w="653" w:type="dxa"/>
            <w:gridSpan w:val="2"/>
            <w:tcBorders>
              <w:top w:val="nil"/>
              <w:left w:val="nil"/>
              <w:bottom w:val="nil"/>
              <w:right w:val="nil"/>
            </w:tcBorders>
            <w:shd w:val="clear" w:color="auto" w:fill="auto"/>
            <w:noWrap/>
            <w:hideMark/>
          </w:tcPr>
          <w:p w14:paraId="2674C622"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53" w:type="dxa"/>
            <w:gridSpan w:val="2"/>
            <w:tcBorders>
              <w:top w:val="nil"/>
              <w:left w:val="nil"/>
              <w:bottom w:val="nil"/>
              <w:right w:val="nil"/>
            </w:tcBorders>
            <w:shd w:val="clear" w:color="auto" w:fill="auto"/>
            <w:noWrap/>
            <w:hideMark/>
          </w:tcPr>
          <w:p w14:paraId="68E1CB82" w14:textId="77777777" w:rsidR="006278AE" w:rsidRPr="00965341" w:rsidRDefault="006278AE" w:rsidP="006278AE">
            <w:pPr>
              <w:jc w:val="right"/>
              <w:rPr>
                <w:sz w:val="14"/>
                <w:szCs w:val="14"/>
                <w:lang w:val="en-US" w:eastAsia="en-US"/>
              </w:rPr>
            </w:pPr>
            <w:r w:rsidRPr="00965341">
              <w:rPr>
                <w:sz w:val="14"/>
                <w:szCs w:val="14"/>
                <w:lang w:val="en-US" w:eastAsia="en-US"/>
              </w:rPr>
              <w:t>0.2%</w:t>
            </w:r>
          </w:p>
        </w:tc>
        <w:tc>
          <w:tcPr>
            <w:tcW w:w="691" w:type="dxa"/>
            <w:gridSpan w:val="2"/>
            <w:tcBorders>
              <w:top w:val="nil"/>
              <w:left w:val="nil"/>
              <w:bottom w:val="nil"/>
              <w:right w:val="nil"/>
            </w:tcBorders>
            <w:shd w:val="clear" w:color="auto" w:fill="auto"/>
            <w:noWrap/>
            <w:hideMark/>
          </w:tcPr>
          <w:p w14:paraId="39492D2B" w14:textId="77777777" w:rsidR="006278AE" w:rsidRPr="00965341" w:rsidRDefault="006278AE" w:rsidP="006278AE">
            <w:pPr>
              <w:jc w:val="right"/>
              <w:rPr>
                <w:sz w:val="14"/>
                <w:szCs w:val="14"/>
                <w:lang w:val="en-US" w:eastAsia="en-US"/>
              </w:rPr>
            </w:pPr>
            <w:r w:rsidRPr="00965341">
              <w:rPr>
                <w:sz w:val="14"/>
                <w:szCs w:val="14"/>
                <w:lang w:val="en-US" w:eastAsia="en-US"/>
              </w:rPr>
              <w:t>60.6</w:t>
            </w:r>
          </w:p>
        </w:tc>
        <w:tc>
          <w:tcPr>
            <w:tcW w:w="691" w:type="dxa"/>
            <w:gridSpan w:val="2"/>
            <w:tcBorders>
              <w:top w:val="nil"/>
              <w:left w:val="nil"/>
              <w:bottom w:val="nil"/>
              <w:right w:val="nil"/>
            </w:tcBorders>
            <w:shd w:val="clear" w:color="auto" w:fill="auto"/>
            <w:noWrap/>
            <w:hideMark/>
          </w:tcPr>
          <w:p w14:paraId="47569686" w14:textId="77777777" w:rsidR="006278AE" w:rsidRPr="00965341" w:rsidRDefault="006278AE" w:rsidP="006278AE">
            <w:pPr>
              <w:jc w:val="right"/>
              <w:rPr>
                <w:sz w:val="14"/>
                <w:szCs w:val="14"/>
                <w:lang w:val="en-US" w:eastAsia="en-US"/>
              </w:rPr>
            </w:pPr>
            <w:r w:rsidRPr="00965341">
              <w:rPr>
                <w:sz w:val="14"/>
                <w:szCs w:val="14"/>
                <w:lang w:val="en-US" w:eastAsia="en-US"/>
              </w:rPr>
              <w:t xml:space="preserve">1 </w:t>
            </w:r>
          </w:p>
        </w:tc>
        <w:tc>
          <w:tcPr>
            <w:tcW w:w="839" w:type="dxa"/>
            <w:gridSpan w:val="2"/>
            <w:tcBorders>
              <w:top w:val="nil"/>
              <w:left w:val="nil"/>
              <w:bottom w:val="nil"/>
              <w:right w:val="nil"/>
            </w:tcBorders>
            <w:shd w:val="clear" w:color="auto" w:fill="auto"/>
            <w:noWrap/>
            <w:hideMark/>
          </w:tcPr>
          <w:p w14:paraId="5FD96C98" w14:textId="77777777" w:rsidR="006278AE" w:rsidRPr="00965341" w:rsidRDefault="006278AE" w:rsidP="006278AE">
            <w:pPr>
              <w:jc w:val="right"/>
              <w:rPr>
                <w:sz w:val="14"/>
                <w:szCs w:val="14"/>
                <w:lang w:val="en-US" w:eastAsia="en-US"/>
              </w:rPr>
            </w:pPr>
            <w:r w:rsidRPr="00965341">
              <w:rPr>
                <w:sz w:val="14"/>
                <w:szCs w:val="14"/>
                <w:lang w:val="en-US" w:eastAsia="en-US"/>
              </w:rPr>
              <w:t>9,912</w:t>
            </w:r>
          </w:p>
        </w:tc>
      </w:tr>
      <w:tr w:rsidR="006278AE" w:rsidRPr="00965341" w14:paraId="18AD767C" w14:textId="77777777" w:rsidTr="00A23161">
        <w:trPr>
          <w:gridAfter w:val="1"/>
          <w:wAfter w:w="34" w:type="dxa"/>
          <w:trHeight w:hRule="exact" w:val="284"/>
        </w:trPr>
        <w:tc>
          <w:tcPr>
            <w:tcW w:w="709" w:type="dxa"/>
            <w:tcBorders>
              <w:top w:val="nil"/>
              <w:left w:val="nil"/>
              <w:bottom w:val="nil"/>
              <w:right w:val="nil"/>
            </w:tcBorders>
            <w:shd w:val="clear" w:color="auto" w:fill="auto"/>
            <w:noWrap/>
            <w:hideMark/>
          </w:tcPr>
          <w:p w14:paraId="1B2A5C31" w14:textId="77777777" w:rsidR="006278AE" w:rsidRPr="00965341" w:rsidRDefault="006278AE" w:rsidP="006278AE">
            <w:pPr>
              <w:jc w:val="center"/>
              <w:rPr>
                <w:sz w:val="14"/>
                <w:szCs w:val="14"/>
                <w:lang w:val="en-US" w:eastAsia="en-US"/>
              </w:rPr>
            </w:pPr>
            <w:r w:rsidRPr="00965341">
              <w:rPr>
                <w:sz w:val="14"/>
                <w:szCs w:val="14"/>
                <w:lang w:val="en-US" w:eastAsia="en-US"/>
              </w:rPr>
              <w:t>Yes</w:t>
            </w:r>
          </w:p>
        </w:tc>
        <w:tc>
          <w:tcPr>
            <w:tcW w:w="691" w:type="dxa"/>
            <w:tcBorders>
              <w:top w:val="nil"/>
              <w:left w:val="nil"/>
              <w:bottom w:val="nil"/>
              <w:right w:val="nil"/>
            </w:tcBorders>
            <w:shd w:val="clear" w:color="auto" w:fill="auto"/>
            <w:noWrap/>
            <w:hideMark/>
          </w:tcPr>
          <w:p w14:paraId="431F9267" w14:textId="77777777" w:rsidR="006278AE" w:rsidRPr="00965341" w:rsidRDefault="006278AE" w:rsidP="006278AE">
            <w:pPr>
              <w:jc w:val="center"/>
              <w:rPr>
                <w:sz w:val="14"/>
                <w:szCs w:val="14"/>
                <w:lang w:val="en-US" w:eastAsia="en-US"/>
              </w:rPr>
            </w:pPr>
            <w:r w:rsidRPr="00965341">
              <w:rPr>
                <w:sz w:val="14"/>
                <w:szCs w:val="14"/>
                <w:lang w:val="en-US" w:eastAsia="en-US"/>
              </w:rPr>
              <w:t>3</w:t>
            </w:r>
          </w:p>
        </w:tc>
        <w:tc>
          <w:tcPr>
            <w:tcW w:w="600" w:type="dxa"/>
            <w:tcBorders>
              <w:top w:val="nil"/>
              <w:left w:val="nil"/>
              <w:bottom w:val="nil"/>
              <w:right w:val="nil"/>
            </w:tcBorders>
            <w:shd w:val="clear" w:color="auto" w:fill="auto"/>
            <w:noWrap/>
            <w:hideMark/>
          </w:tcPr>
          <w:p w14:paraId="2D4041A6" w14:textId="77777777" w:rsidR="006278AE" w:rsidRPr="00965341" w:rsidRDefault="006278AE" w:rsidP="006278AE">
            <w:pPr>
              <w:rPr>
                <w:sz w:val="14"/>
                <w:szCs w:val="14"/>
                <w:lang w:val="en-US" w:eastAsia="en-US"/>
              </w:rPr>
            </w:pPr>
            <w:r w:rsidRPr="00965341">
              <w:rPr>
                <w:sz w:val="14"/>
                <w:szCs w:val="14"/>
                <w:lang w:val="en-US" w:eastAsia="en-US"/>
              </w:rPr>
              <w:t>B60A</w:t>
            </w:r>
          </w:p>
        </w:tc>
        <w:tc>
          <w:tcPr>
            <w:tcW w:w="4637" w:type="dxa"/>
            <w:tcBorders>
              <w:top w:val="nil"/>
              <w:left w:val="nil"/>
              <w:bottom w:val="nil"/>
              <w:right w:val="nil"/>
            </w:tcBorders>
            <w:shd w:val="clear" w:color="auto" w:fill="auto"/>
            <w:noWrap/>
            <w:hideMark/>
          </w:tcPr>
          <w:p w14:paraId="15235B0B" w14:textId="309F987E" w:rsidR="006278AE" w:rsidRPr="00965341" w:rsidRDefault="006278AE" w:rsidP="006278AE">
            <w:pPr>
              <w:rPr>
                <w:sz w:val="14"/>
                <w:szCs w:val="14"/>
                <w:lang w:val="en-US" w:eastAsia="en-US"/>
              </w:rPr>
            </w:pPr>
            <w:r w:rsidRPr="00965341">
              <w:rPr>
                <w:sz w:val="14"/>
                <w:szCs w:val="14"/>
                <w:lang w:val="en-US" w:eastAsia="en-US"/>
              </w:rPr>
              <w:t>Acute Paraplegia and Quadriplegia W or W/O OR Procedures, Major Complexity</w:t>
            </w:r>
          </w:p>
        </w:tc>
        <w:tc>
          <w:tcPr>
            <w:tcW w:w="962" w:type="dxa"/>
            <w:gridSpan w:val="3"/>
            <w:tcBorders>
              <w:top w:val="nil"/>
              <w:left w:val="nil"/>
              <w:bottom w:val="nil"/>
              <w:right w:val="nil"/>
            </w:tcBorders>
            <w:shd w:val="clear" w:color="auto" w:fill="auto"/>
            <w:noWrap/>
            <w:hideMark/>
          </w:tcPr>
          <w:p w14:paraId="08687164" w14:textId="77777777" w:rsidR="006278AE" w:rsidRPr="00965341" w:rsidRDefault="006278AE" w:rsidP="006278AE">
            <w:pPr>
              <w:jc w:val="right"/>
              <w:rPr>
                <w:b/>
                <w:sz w:val="14"/>
                <w:szCs w:val="14"/>
                <w:lang w:val="en-US" w:eastAsia="en-US"/>
              </w:rPr>
            </w:pPr>
            <w:r w:rsidRPr="00965341">
              <w:rPr>
                <w:b/>
                <w:sz w:val="14"/>
                <w:szCs w:val="14"/>
                <w:lang w:val="en-US" w:eastAsia="en-US"/>
              </w:rPr>
              <w:t>49.5</w:t>
            </w:r>
          </w:p>
        </w:tc>
        <w:tc>
          <w:tcPr>
            <w:tcW w:w="500" w:type="dxa"/>
            <w:tcBorders>
              <w:top w:val="nil"/>
              <w:left w:val="nil"/>
              <w:bottom w:val="nil"/>
              <w:right w:val="nil"/>
            </w:tcBorders>
            <w:shd w:val="clear" w:color="auto" w:fill="auto"/>
            <w:noWrap/>
            <w:hideMark/>
          </w:tcPr>
          <w:p w14:paraId="29D2CC3E" w14:textId="77777777" w:rsidR="006278AE" w:rsidRPr="00965341" w:rsidRDefault="006278AE" w:rsidP="006278AE">
            <w:pPr>
              <w:jc w:val="right"/>
              <w:rPr>
                <w:sz w:val="14"/>
                <w:szCs w:val="14"/>
                <w:lang w:val="en-US" w:eastAsia="en-US"/>
              </w:rPr>
            </w:pPr>
            <w:r w:rsidRPr="00965341">
              <w:rPr>
                <w:sz w:val="14"/>
                <w:szCs w:val="14"/>
                <w:lang w:val="en-US" w:eastAsia="en-US"/>
              </w:rPr>
              <w:t>17</w:t>
            </w:r>
          </w:p>
        </w:tc>
        <w:tc>
          <w:tcPr>
            <w:tcW w:w="653" w:type="dxa"/>
            <w:gridSpan w:val="2"/>
            <w:tcBorders>
              <w:top w:val="nil"/>
              <w:left w:val="nil"/>
              <w:bottom w:val="nil"/>
              <w:right w:val="nil"/>
            </w:tcBorders>
            <w:shd w:val="clear" w:color="auto" w:fill="auto"/>
            <w:noWrap/>
            <w:hideMark/>
          </w:tcPr>
          <w:p w14:paraId="16F221DF" w14:textId="77777777" w:rsidR="006278AE" w:rsidRPr="00965341" w:rsidRDefault="006278AE" w:rsidP="006278AE">
            <w:pPr>
              <w:jc w:val="right"/>
              <w:rPr>
                <w:sz w:val="14"/>
                <w:szCs w:val="14"/>
                <w:lang w:val="en-US" w:eastAsia="en-US"/>
              </w:rPr>
            </w:pPr>
            <w:r w:rsidRPr="00965341">
              <w:rPr>
                <w:sz w:val="14"/>
                <w:szCs w:val="14"/>
                <w:lang w:val="en-US" w:eastAsia="en-US"/>
              </w:rPr>
              <w:t>69</w:t>
            </w:r>
          </w:p>
        </w:tc>
        <w:tc>
          <w:tcPr>
            <w:tcW w:w="691" w:type="dxa"/>
            <w:gridSpan w:val="2"/>
            <w:tcBorders>
              <w:top w:val="nil"/>
              <w:left w:val="nil"/>
              <w:bottom w:val="nil"/>
              <w:right w:val="nil"/>
            </w:tcBorders>
            <w:shd w:val="clear" w:color="auto" w:fill="auto"/>
            <w:noWrap/>
            <w:hideMark/>
          </w:tcPr>
          <w:p w14:paraId="620A1617" w14:textId="0F8E8165" w:rsidR="006278AE" w:rsidRPr="00965341" w:rsidRDefault="006278AE" w:rsidP="006278AE">
            <w:pPr>
              <w:jc w:val="right"/>
              <w:rPr>
                <w:sz w:val="14"/>
                <w:szCs w:val="14"/>
                <w:lang w:val="en-US" w:eastAsia="en-US"/>
              </w:rPr>
            </w:pPr>
            <w:r w:rsidRPr="00965341">
              <w:rPr>
                <w:sz w:val="14"/>
                <w:szCs w:val="14"/>
                <w:lang w:val="en-US" w:eastAsia="en-US"/>
              </w:rPr>
              <w:t>15.55</w:t>
            </w:r>
          </w:p>
        </w:tc>
        <w:tc>
          <w:tcPr>
            <w:tcW w:w="839" w:type="dxa"/>
            <w:gridSpan w:val="2"/>
            <w:tcBorders>
              <w:top w:val="nil"/>
              <w:left w:val="nil"/>
              <w:bottom w:val="nil"/>
              <w:right w:val="nil"/>
            </w:tcBorders>
            <w:shd w:val="clear" w:color="auto" w:fill="auto"/>
            <w:noWrap/>
            <w:hideMark/>
          </w:tcPr>
          <w:p w14:paraId="37FE6565" w14:textId="77777777" w:rsidR="006278AE" w:rsidRPr="00965341" w:rsidRDefault="006278AE" w:rsidP="006278AE">
            <w:pPr>
              <w:jc w:val="right"/>
              <w:rPr>
                <w:sz w:val="14"/>
                <w:szCs w:val="14"/>
                <w:lang w:val="en-US" w:eastAsia="en-US"/>
              </w:rPr>
            </w:pPr>
            <w:r w:rsidRPr="00965341">
              <w:rPr>
                <w:sz w:val="14"/>
                <w:szCs w:val="14"/>
                <w:lang w:val="en-US" w:eastAsia="en-US"/>
              </w:rPr>
              <w:t>10</w:t>
            </w:r>
          </w:p>
        </w:tc>
        <w:tc>
          <w:tcPr>
            <w:tcW w:w="884" w:type="dxa"/>
            <w:gridSpan w:val="2"/>
            <w:tcBorders>
              <w:top w:val="nil"/>
              <w:left w:val="nil"/>
              <w:bottom w:val="nil"/>
              <w:right w:val="nil"/>
            </w:tcBorders>
            <w:shd w:val="clear" w:color="auto" w:fill="auto"/>
            <w:noWrap/>
            <w:hideMark/>
          </w:tcPr>
          <w:p w14:paraId="3584A2E4" w14:textId="4F90F04A" w:rsidR="006278AE" w:rsidRPr="00965341" w:rsidRDefault="006278AE" w:rsidP="006278AE">
            <w:pPr>
              <w:jc w:val="right"/>
              <w:rPr>
                <w:sz w:val="14"/>
                <w:szCs w:val="14"/>
                <w:lang w:val="en-US" w:eastAsia="en-US"/>
              </w:rPr>
            </w:pPr>
            <w:r w:rsidRPr="006278AE">
              <w:rPr>
                <w:sz w:val="14"/>
                <w:szCs w:val="14"/>
                <w:lang w:val="en-US" w:eastAsia="en-US"/>
              </w:rPr>
              <w:t>156</w:t>
            </w:r>
          </w:p>
        </w:tc>
        <w:tc>
          <w:tcPr>
            <w:tcW w:w="653" w:type="dxa"/>
            <w:gridSpan w:val="2"/>
            <w:tcBorders>
              <w:top w:val="nil"/>
              <w:left w:val="nil"/>
              <w:bottom w:val="nil"/>
              <w:right w:val="nil"/>
            </w:tcBorders>
            <w:shd w:val="clear" w:color="auto" w:fill="auto"/>
            <w:noWrap/>
            <w:hideMark/>
          </w:tcPr>
          <w:p w14:paraId="3C69DE71" w14:textId="77777777" w:rsidR="006278AE" w:rsidRPr="00965341" w:rsidRDefault="006278AE" w:rsidP="006278AE">
            <w:pPr>
              <w:jc w:val="right"/>
              <w:rPr>
                <w:sz w:val="14"/>
                <w:szCs w:val="14"/>
                <w:lang w:val="en-US" w:eastAsia="en-US"/>
              </w:rPr>
            </w:pPr>
            <w:r w:rsidRPr="00965341">
              <w:rPr>
                <w:sz w:val="14"/>
                <w:szCs w:val="14"/>
                <w:lang w:val="en-US" w:eastAsia="en-US"/>
              </w:rPr>
              <w:t>1.86</w:t>
            </w:r>
          </w:p>
        </w:tc>
        <w:tc>
          <w:tcPr>
            <w:tcW w:w="653" w:type="dxa"/>
            <w:gridSpan w:val="2"/>
            <w:tcBorders>
              <w:top w:val="nil"/>
              <w:left w:val="nil"/>
              <w:bottom w:val="nil"/>
              <w:right w:val="nil"/>
            </w:tcBorders>
            <w:shd w:val="clear" w:color="auto" w:fill="auto"/>
            <w:noWrap/>
            <w:hideMark/>
          </w:tcPr>
          <w:p w14:paraId="4487782E"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53" w:type="dxa"/>
            <w:gridSpan w:val="2"/>
            <w:tcBorders>
              <w:top w:val="nil"/>
              <w:left w:val="nil"/>
              <w:bottom w:val="nil"/>
              <w:right w:val="nil"/>
            </w:tcBorders>
            <w:shd w:val="clear" w:color="auto" w:fill="auto"/>
            <w:noWrap/>
            <w:hideMark/>
          </w:tcPr>
          <w:p w14:paraId="1C1A6277"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91" w:type="dxa"/>
            <w:gridSpan w:val="2"/>
            <w:tcBorders>
              <w:top w:val="nil"/>
              <w:left w:val="nil"/>
              <w:bottom w:val="nil"/>
              <w:right w:val="nil"/>
            </w:tcBorders>
            <w:shd w:val="clear" w:color="auto" w:fill="auto"/>
            <w:noWrap/>
            <w:hideMark/>
          </w:tcPr>
          <w:p w14:paraId="3B403C55" w14:textId="77777777" w:rsidR="006278AE" w:rsidRPr="00965341" w:rsidRDefault="006278AE" w:rsidP="006278AE">
            <w:pPr>
              <w:jc w:val="right"/>
              <w:rPr>
                <w:sz w:val="14"/>
                <w:szCs w:val="14"/>
                <w:lang w:val="en-US" w:eastAsia="en-US"/>
              </w:rPr>
            </w:pPr>
            <w:r w:rsidRPr="00965341">
              <w:rPr>
                <w:sz w:val="14"/>
                <w:szCs w:val="14"/>
                <w:lang w:val="en-US" w:eastAsia="en-US"/>
              </w:rPr>
              <w:t>32.3</w:t>
            </w:r>
          </w:p>
        </w:tc>
        <w:tc>
          <w:tcPr>
            <w:tcW w:w="691" w:type="dxa"/>
            <w:gridSpan w:val="2"/>
            <w:tcBorders>
              <w:top w:val="nil"/>
              <w:left w:val="nil"/>
              <w:bottom w:val="nil"/>
              <w:right w:val="nil"/>
            </w:tcBorders>
            <w:shd w:val="clear" w:color="auto" w:fill="auto"/>
            <w:noWrap/>
            <w:hideMark/>
          </w:tcPr>
          <w:p w14:paraId="2A575F33" w14:textId="77777777" w:rsidR="006278AE" w:rsidRPr="00965341" w:rsidRDefault="006278AE" w:rsidP="006278AE">
            <w:pPr>
              <w:jc w:val="right"/>
              <w:rPr>
                <w:sz w:val="14"/>
                <w:szCs w:val="14"/>
                <w:lang w:val="en-US" w:eastAsia="en-US"/>
              </w:rPr>
            </w:pPr>
            <w:r w:rsidRPr="00965341">
              <w:rPr>
                <w:sz w:val="14"/>
                <w:szCs w:val="14"/>
                <w:lang w:val="en-US" w:eastAsia="en-US"/>
              </w:rPr>
              <w:t xml:space="preserve">9 </w:t>
            </w:r>
          </w:p>
        </w:tc>
        <w:tc>
          <w:tcPr>
            <w:tcW w:w="839" w:type="dxa"/>
            <w:gridSpan w:val="2"/>
            <w:tcBorders>
              <w:top w:val="nil"/>
              <w:left w:val="nil"/>
              <w:bottom w:val="nil"/>
              <w:right w:val="nil"/>
            </w:tcBorders>
            <w:shd w:val="clear" w:color="auto" w:fill="auto"/>
            <w:noWrap/>
            <w:hideMark/>
          </w:tcPr>
          <w:p w14:paraId="74EBE497" w14:textId="77777777" w:rsidR="006278AE" w:rsidRPr="00965341" w:rsidRDefault="006278AE" w:rsidP="006278AE">
            <w:pPr>
              <w:jc w:val="right"/>
              <w:rPr>
                <w:sz w:val="14"/>
                <w:szCs w:val="14"/>
                <w:lang w:val="en-US" w:eastAsia="en-US"/>
              </w:rPr>
            </w:pPr>
            <w:r w:rsidRPr="00965341">
              <w:rPr>
                <w:sz w:val="14"/>
                <w:szCs w:val="14"/>
                <w:lang w:val="en-US" w:eastAsia="en-US"/>
              </w:rPr>
              <w:t>472</w:t>
            </w:r>
          </w:p>
        </w:tc>
      </w:tr>
      <w:tr w:rsidR="006278AE" w:rsidRPr="00965341" w14:paraId="27EE9160" w14:textId="77777777" w:rsidTr="00A23161">
        <w:trPr>
          <w:gridAfter w:val="1"/>
          <w:wAfter w:w="34" w:type="dxa"/>
          <w:trHeight w:hRule="exact" w:val="284"/>
        </w:trPr>
        <w:tc>
          <w:tcPr>
            <w:tcW w:w="709" w:type="dxa"/>
            <w:tcBorders>
              <w:top w:val="nil"/>
              <w:left w:val="nil"/>
              <w:bottom w:val="nil"/>
              <w:right w:val="nil"/>
            </w:tcBorders>
            <w:shd w:val="clear" w:color="auto" w:fill="auto"/>
            <w:noWrap/>
            <w:hideMark/>
          </w:tcPr>
          <w:p w14:paraId="51A72FD0" w14:textId="77777777" w:rsidR="006278AE" w:rsidRPr="00965341" w:rsidRDefault="006278AE" w:rsidP="006278AE">
            <w:pPr>
              <w:jc w:val="center"/>
              <w:rPr>
                <w:sz w:val="14"/>
                <w:szCs w:val="14"/>
                <w:lang w:val="en-US" w:eastAsia="en-US"/>
              </w:rPr>
            </w:pPr>
            <w:r w:rsidRPr="00965341">
              <w:rPr>
                <w:sz w:val="14"/>
                <w:szCs w:val="14"/>
                <w:lang w:val="en-US" w:eastAsia="en-US"/>
              </w:rPr>
              <w:t>Yes</w:t>
            </w:r>
          </w:p>
        </w:tc>
        <w:tc>
          <w:tcPr>
            <w:tcW w:w="691" w:type="dxa"/>
            <w:tcBorders>
              <w:top w:val="nil"/>
              <w:left w:val="nil"/>
              <w:bottom w:val="nil"/>
              <w:right w:val="nil"/>
            </w:tcBorders>
            <w:shd w:val="clear" w:color="auto" w:fill="auto"/>
            <w:noWrap/>
            <w:hideMark/>
          </w:tcPr>
          <w:p w14:paraId="15E22451" w14:textId="77777777" w:rsidR="006278AE" w:rsidRPr="00965341" w:rsidRDefault="006278AE" w:rsidP="006278AE">
            <w:pPr>
              <w:jc w:val="center"/>
              <w:rPr>
                <w:sz w:val="14"/>
                <w:szCs w:val="14"/>
                <w:lang w:val="en-US" w:eastAsia="en-US"/>
              </w:rPr>
            </w:pPr>
            <w:r w:rsidRPr="00965341">
              <w:rPr>
                <w:sz w:val="14"/>
                <w:szCs w:val="14"/>
                <w:lang w:val="en-US" w:eastAsia="en-US"/>
              </w:rPr>
              <w:t>4</w:t>
            </w:r>
          </w:p>
        </w:tc>
        <w:tc>
          <w:tcPr>
            <w:tcW w:w="600" w:type="dxa"/>
            <w:tcBorders>
              <w:top w:val="nil"/>
              <w:left w:val="nil"/>
              <w:bottom w:val="nil"/>
              <w:right w:val="nil"/>
            </w:tcBorders>
            <w:shd w:val="clear" w:color="auto" w:fill="auto"/>
            <w:noWrap/>
            <w:hideMark/>
          </w:tcPr>
          <w:p w14:paraId="1F980488" w14:textId="77777777" w:rsidR="006278AE" w:rsidRPr="00965341" w:rsidRDefault="006278AE" w:rsidP="006278AE">
            <w:pPr>
              <w:rPr>
                <w:sz w:val="14"/>
                <w:szCs w:val="14"/>
                <w:lang w:val="en-US" w:eastAsia="en-US"/>
              </w:rPr>
            </w:pPr>
            <w:r w:rsidRPr="00965341">
              <w:rPr>
                <w:sz w:val="14"/>
                <w:szCs w:val="14"/>
                <w:lang w:val="en-US" w:eastAsia="en-US"/>
              </w:rPr>
              <w:t>K01A</w:t>
            </w:r>
          </w:p>
        </w:tc>
        <w:tc>
          <w:tcPr>
            <w:tcW w:w="4637" w:type="dxa"/>
            <w:tcBorders>
              <w:top w:val="nil"/>
              <w:left w:val="nil"/>
              <w:bottom w:val="nil"/>
              <w:right w:val="nil"/>
            </w:tcBorders>
            <w:shd w:val="clear" w:color="auto" w:fill="auto"/>
            <w:noWrap/>
            <w:hideMark/>
          </w:tcPr>
          <w:p w14:paraId="25F2855D" w14:textId="0EEB0A26" w:rsidR="006278AE" w:rsidRPr="00965341" w:rsidRDefault="006278AE" w:rsidP="006278AE">
            <w:pPr>
              <w:rPr>
                <w:sz w:val="14"/>
                <w:szCs w:val="14"/>
                <w:lang w:val="en-US" w:eastAsia="en-US"/>
              </w:rPr>
            </w:pPr>
            <w:r w:rsidRPr="00965341">
              <w:rPr>
                <w:sz w:val="14"/>
                <w:szCs w:val="14"/>
                <w:lang w:val="en-US" w:eastAsia="en-US"/>
              </w:rPr>
              <w:t>OR Procedures for Diabetic Complications, Major Complexity</w:t>
            </w:r>
          </w:p>
        </w:tc>
        <w:tc>
          <w:tcPr>
            <w:tcW w:w="962" w:type="dxa"/>
            <w:gridSpan w:val="3"/>
            <w:tcBorders>
              <w:top w:val="nil"/>
              <w:left w:val="nil"/>
              <w:bottom w:val="nil"/>
              <w:right w:val="nil"/>
            </w:tcBorders>
            <w:shd w:val="clear" w:color="auto" w:fill="auto"/>
            <w:noWrap/>
            <w:hideMark/>
          </w:tcPr>
          <w:p w14:paraId="63F2FDDA" w14:textId="77777777" w:rsidR="006278AE" w:rsidRPr="00965341" w:rsidRDefault="006278AE" w:rsidP="006278AE">
            <w:pPr>
              <w:jc w:val="right"/>
              <w:rPr>
                <w:b/>
                <w:sz w:val="14"/>
                <w:szCs w:val="14"/>
                <w:lang w:val="en-US" w:eastAsia="en-US"/>
              </w:rPr>
            </w:pPr>
            <w:r w:rsidRPr="00965341">
              <w:rPr>
                <w:b/>
                <w:sz w:val="14"/>
                <w:szCs w:val="14"/>
                <w:lang w:val="en-US" w:eastAsia="en-US"/>
              </w:rPr>
              <w:t>44.6</w:t>
            </w:r>
          </w:p>
        </w:tc>
        <w:tc>
          <w:tcPr>
            <w:tcW w:w="500" w:type="dxa"/>
            <w:tcBorders>
              <w:top w:val="nil"/>
              <w:left w:val="nil"/>
              <w:bottom w:val="nil"/>
              <w:right w:val="nil"/>
            </w:tcBorders>
            <w:shd w:val="clear" w:color="auto" w:fill="auto"/>
            <w:noWrap/>
            <w:hideMark/>
          </w:tcPr>
          <w:p w14:paraId="7C016F74" w14:textId="77777777" w:rsidR="006278AE" w:rsidRPr="00965341" w:rsidRDefault="006278AE" w:rsidP="006278AE">
            <w:pPr>
              <w:jc w:val="right"/>
              <w:rPr>
                <w:sz w:val="14"/>
                <w:szCs w:val="14"/>
                <w:lang w:val="en-US" w:eastAsia="en-US"/>
              </w:rPr>
            </w:pPr>
            <w:r w:rsidRPr="00965341">
              <w:rPr>
                <w:sz w:val="14"/>
                <w:szCs w:val="14"/>
                <w:lang w:val="en-US" w:eastAsia="en-US"/>
              </w:rPr>
              <w:t>9</w:t>
            </w:r>
          </w:p>
        </w:tc>
        <w:tc>
          <w:tcPr>
            <w:tcW w:w="653" w:type="dxa"/>
            <w:gridSpan w:val="2"/>
            <w:tcBorders>
              <w:top w:val="nil"/>
              <w:left w:val="nil"/>
              <w:bottom w:val="nil"/>
              <w:right w:val="nil"/>
            </w:tcBorders>
            <w:shd w:val="clear" w:color="auto" w:fill="auto"/>
            <w:noWrap/>
            <w:hideMark/>
          </w:tcPr>
          <w:p w14:paraId="5E1DBE7C" w14:textId="77777777" w:rsidR="006278AE" w:rsidRPr="00965341" w:rsidRDefault="006278AE" w:rsidP="006278AE">
            <w:pPr>
              <w:jc w:val="right"/>
              <w:rPr>
                <w:sz w:val="14"/>
                <w:szCs w:val="14"/>
                <w:lang w:val="en-US" w:eastAsia="en-US"/>
              </w:rPr>
            </w:pPr>
            <w:r w:rsidRPr="00965341">
              <w:rPr>
                <w:sz w:val="14"/>
                <w:szCs w:val="14"/>
                <w:lang w:val="en-US" w:eastAsia="en-US"/>
              </w:rPr>
              <w:t>98</w:t>
            </w:r>
          </w:p>
        </w:tc>
        <w:tc>
          <w:tcPr>
            <w:tcW w:w="691" w:type="dxa"/>
            <w:gridSpan w:val="2"/>
            <w:tcBorders>
              <w:top w:val="nil"/>
              <w:left w:val="nil"/>
              <w:bottom w:val="nil"/>
              <w:right w:val="nil"/>
            </w:tcBorders>
            <w:shd w:val="clear" w:color="auto" w:fill="auto"/>
            <w:noWrap/>
            <w:hideMark/>
          </w:tcPr>
          <w:p w14:paraId="362172F0" w14:textId="77777777" w:rsidR="006278AE" w:rsidRPr="00965341" w:rsidRDefault="006278AE" w:rsidP="006278AE">
            <w:pPr>
              <w:jc w:val="right"/>
              <w:rPr>
                <w:sz w:val="14"/>
                <w:szCs w:val="14"/>
                <w:lang w:val="en-US" w:eastAsia="en-US"/>
              </w:rPr>
            </w:pPr>
            <w:r w:rsidRPr="00965341">
              <w:rPr>
                <w:sz w:val="14"/>
                <w:szCs w:val="14"/>
                <w:lang w:val="en-US" w:eastAsia="en-US"/>
              </w:rPr>
              <w:t>12.44</w:t>
            </w:r>
          </w:p>
        </w:tc>
        <w:tc>
          <w:tcPr>
            <w:tcW w:w="839" w:type="dxa"/>
            <w:gridSpan w:val="2"/>
            <w:tcBorders>
              <w:top w:val="nil"/>
              <w:left w:val="nil"/>
              <w:bottom w:val="nil"/>
              <w:right w:val="nil"/>
            </w:tcBorders>
            <w:shd w:val="clear" w:color="auto" w:fill="auto"/>
            <w:noWrap/>
            <w:hideMark/>
          </w:tcPr>
          <w:p w14:paraId="3C433D80" w14:textId="77777777" w:rsidR="006278AE" w:rsidRPr="00965341" w:rsidRDefault="006278AE" w:rsidP="006278AE">
            <w:pPr>
              <w:jc w:val="right"/>
              <w:rPr>
                <w:sz w:val="14"/>
                <w:szCs w:val="14"/>
                <w:lang w:val="en-US" w:eastAsia="en-US"/>
              </w:rPr>
            </w:pPr>
            <w:r w:rsidRPr="00965341">
              <w:rPr>
                <w:sz w:val="14"/>
                <w:szCs w:val="14"/>
                <w:lang w:val="en-US" w:eastAsia="en-US"/>
              </w:rPr>
              <w:t>63</w:t>
            </w:r>
          </w:p>
        </w:tc>
        <w:tc>
          <w:tcPr>
            <w:tcW w:w="884" w:type="dxa"/>
            <w:gridSpan w:val="2"/>
            <w:tcBorders>
              <w:top w:val="nil"/>
              <w:left w:val="nil"/>
              <w:bottom w:val="nil"/>
              <w:right w:val="nil"/>
            </w:tcBorders>
            <w:shd w:val="clear" w:color="auto" w:fill="auto"/>
            <w:noWrap/>
            <w:hideMark/>
          </w:tcPr>
          <w:p w14:paraId="7A9B28F2" w14:textId="065F13B0" w:rsidR="006278AE" w:rsidRPr="00965341" w:rsidRDefault="006278AE" w:rsidP="006278AE">
            <w:pPr>
              <w:jc w:val="right"/>
              <w:rPr>
                <w:sz w:val="14"/>
                <w:szCs w:val="14"/>
                <w:lang w:val="en-US" w:eastAsia="en-US"/>
              </w:rPr>
            </w:pPr>
            <w:r w:rsidRPr="006278AE">
              <w:rPr>
                <w:sz w:val="14"/>
                <w:szCs w:val="14"/>
                <w:lang w:val="en-US" w:eastAsia="en-US"/>
              </w:rPr>
              <w:t>784</w:t>
            </w:r>
          </w:p>
        </w:tc>
        <w:tc>
          <w:tcPr>
            <w:tcW w:w="653" w:type="dxa"/>
            <w:gridSpan w:val="2"/>
            <w:tcBorders>
              <w:top w:val="nil"/>
              <w:left w:val="nil"/>
              <w:bottom w:val="nil"/>
              <w:right w:val="nil"/>
            </w:tcBorders>
            <w:shd w:val="clear" w:color="auto" w:fill="auto"/>
            <w:noWrap/>
            <w:hideMark/>
          </w:tcPr>
          <w:p w14:paraId="2D7EB6C3" w14:textId="77777777" w:rsidR="006278AE" w:rsidRPr="00965341" w:rsidRDefault="006278AE" w:rsidP="006278AE">
            <w:pPr>
              <w:jc w:val="right"/>
              <w:rPr>
                <w:sz w:val="14"/>
                <w:szCs w:val="14"/>
                <w:lang w:val="en-US" w:eastAsia="en-US"/>
              </w:rPr>
            </w:pPr>
            <w:r w:rsidRPr="00965341">
              <w:rPr>
                <w:sz w:val="14"/>
                <w:szCs w:val="14"/>
                <w:lang w:val="en-US" w:eastAsia="en-US"/>
              </w:rPr>
              <w:t>1.36</w:t>
            </w:r>
          </w:p>
        </w:tc>
        <w:tc>
          <w:tcPr>
            <w:tcW w:w="653" w:type="dxa"/>
            <w:gridSpan w:val="2"/>
            <w:tcBorders>
              <w:top w:val="nil"/>
              <w:left w:val="nil"/>
              <w:bottom w:val="nil"/>
              <w:right w:val="nil"/>
            </w:tcBorders>
            <w:shd w:val="clear" w:color="auto" w:fill="auto"/>
            <w:noWrap/>
            <w:hideMark/>
          </w:tcPr>
          <w:p w14:paraId="71363193"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53" w:type="dxa"/>
            <w:gridSpan w:val="2"/>
            <w:tcBorders>
              <w:top w:val="nil"/>
              <w:left w:val="nil"/>
              <w:bottom w:val="nil"/>
              <w:right w:val="nil"/>
            </w:tcBorders>
            <w:shd w:val="clear" w:color="auto" w:fill="auto"/>
            <w:noWrap/>
            <w:hideMark/>
          </w:tcPr>
          <w:p w14:paraId="4718D355"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91" w:type="dxa"/>
            <w:gridSpan w:val="2"/>
            <w:tcBorders>
              <w:top w:val="nil"/>
              <w:left w:val="nil"/>
              <w:bottom w:val="nil"/>
              <w:right w:val="nil"/>
            </w:tcBorders>
            <w:shd w:val="clear" w:color="auto" w:fill="auto"/>
            <w:noWrap/>
            <w:hideMark/>
          </w:tcPr>
          <w:p w14:paraId="1E703255" w14:textId="77777777" w:rsidR="006278AE" w:rsidRPr="00965341" w:rsidRDefault="006278AE" w:rsidP="006278AE">
            <w:pPr>
              <w:jc w:val="right"/>
              <w:rPr>
                <w:sz w:val="14"/>
                <w:szCs w:val="14"/>
                <w:lang w:val="en-US" w:eastAsia="en-US"/>
              </w:rPr>
            </w:pPr>
            <w:r w:rsidRPr="00965341">
              <w:rPr>
                <w:sz w:val="14"/>
                <w:szCs w:val="14"/>
                <w:lang w:val="en-US" w:eastAsia="en-US"/>
              </w:rPr>
              <w:t>43.3</w:t>
            </w:r>
          </w:p>
        </w:tc>
        <w:tc>
          <w:tcPr>
            <w:tcW w:w="691" w:type="dxa"/>
            <w:gridSpan w:val="2"/>
            <w:tcBorders>
              <w:top w:val="nil"/>
              <w:left w:val="nil"/>
              <w:bottom w:val="nil"/>
              <w:right w:val="nil"/>
            </w:tcBorders>
            <w:shd w:val="clear" w:color="auto" w:fill="auto"/>
            <w:noWrap/>
            <w:hideMark/>
          </w:tcPr>
          <w:p w14:paraId="5147A12C" w14:textId="77777777" w:rsidR="006278AE" w:rsidRPr="00965341" w:rsidRDefault="006278AE" w:rsidP="006278AE">
            <w:pPr>
              <w:jc w:val="right"/>
              <w:rPr>
                <w:sz w:val="14"/>
                <w:szCs w:val="14"/>
                <w:lang w:val="en-US" w:eastAsia="en-US"/>
              </w:rPr>
            </w:pPr>
            <w:r w:rsidRPr="00965341">
              <w:rPr>
                <w:sz w:val="14"/>
                <w:szCs w:val="14"/>
                <w:lang w:val="en-US" w:eastAsia="en-US"/>
              </w:rPr>
              <w:t xml:space="preserve">3 </w:t>
            </w:r>
          </w:p>
        </w:tc>
        <w:tc>
          <w:tcPr>
            <w:tcW w:w="839" w:type="dxa"/>
            <w:gridSpan w:val="2"/>
            <w:tcBorders>
              <w:top w:val="nil"/>
              <w:left w:val="nil"/>
              <w:bottom w:val="nil"/>
              <w:right w:val="nil"/>
            </w:tcBorders>
            <w:shd w:val="clear" w:color="auto" w:fill="auto"/>
            <w:noWrap/>
            <w:hideMark/>
          </w:tcPr>
          <w:p w14:paraId="43FEFAF6" w14:textId="77777777" w:rsidR="006278AE" w:rsidRPr="00965341" w:rsidRDefault="006278AE" w:rsidP="006278AE">
            <w:pPr>
              <w:jc w:val="right"/>
              <w:rPr>
                <w:sz w:val="14"/>
                <w:szCs w:val="14"/>
                <w:lang w:val="en-US" w:eastAsia="en-US"/>
              </w:rPr>
            </w:pPr>
            <w:r w:rsidRPr="00965341">
              <w:rPr>
                <w:sz w:val="14"/>
                <w:szCs w:val="14"/>
                <w:lang w:val="en-US" w:eastAsia="en-US"/>
              </w:rPr>
              <w:t>2,824</w:t>
            </w:r>
          </w:p>
        </w:tc>
      </w:tr>
      <w:tr w:rsidR="006278AE" w:rsidRPr="00965341" w14:paraId="1ACD0D09" w14:textId="77777777" w:rsidTr="00A23161">
        <w:trPr>
          <w:gridAfter w:val="1"/>
          <w:wAfter w:w="34" w:type="dxa"/>
          <w:trHeight w:hRule="exact" w:val="284"/>
        </w:trPr>
        <w:tc>
          <w:tcPr>
            <w:tcW w:w="709" w:type="dxa"/>
            <w:tcBorders>
              <w:top w:val="nil"/>
              <w:left w:val="nil"/>
              <w:bottom w:val="nil"/>
              <w:right w:val="nil"/>
            </w:tcBorders>
            <w:shd w:val="clear" w:color="auto" w:fill="auto"/>
            <w:noWrap/>
            <w:hideMark/>
          </w:tcPr>
          <w:p w14:paraId="064BD9D5" w14:textId="390F81B8" w:rsidR="006278AE" w:rsidRPr="00965341" w:rsidRDefault="006278AE" w:rsidP="006278AE">
            <w:pPr>
              <w:jc w:val="center"/>
              <w:rPr>
                <w:sz w:val="14"/>
                <w:szCs w:val="14"/>
                <w:lang w:val="en-US" w:eastAsia="en-US"/>
              </w:rPr>
            </w:pPr>
            <w:r w:rsidRPr="00965341">
              <w:rPr>
                <w:sz w:val="14"/>
                <w:szCs w:val="14"/>
                <w:lang w:val="en-US" w:eastAsia="en-US"/>
              </w:rPr>
              <w:t>Yes</w:t>
            </w:r>
          </w:p>
        </w:tc>
        <w:tc>
          <w:tcPr>
            <w:tcW w:w="691" w:type="dxa"/>
            <w:tcBorders>
              <w:top w:val="nil"/>
              <w:left w:val="nil"/>
              <w:bottom w:val="nil"/>
              <w:right w:val="nil"/>
            </w:tcBorders>
            <w:shd w:val="clear" w:color="auto" w:fill="auto"/>
            <w:noWrap/>
            <w:hideMark/>
          </w:tcPr>
          <w:p w14:paraId="26F07E92" w14:textId="77777777" w:rsidR="006278AE" w:rsidRPr="00965341" w:rsidRDefault="006278AE" w:rsidP="006278AE">
            <w:pPr>
              <w:jc w:val="center"/>
              <w:rPr>
                <w:sz w:val="14"/>
                <w:szCs w:val="14"/>
                <w:lang w:val="en-US" w:eastAsia="en-US"/>
              </w:rPr>
            </w:pPr>
            <w:r w:rsidRPr="00965341">
              <w:rPr>
                <w:sz w:val="14"/>
                <w:szCs w:val="14"/>
                <w:lang w:val="en-US" w:eastAsia="en-US"/>
              </w:rPr>
              <w:t>5</w:t>
            </w:r>
          </w:p>
        </w:tc>
        <w:tc>
          <w:tcPr>
            <w:tcW w:w="600" w:type="dxa"/>
            <w:tcBorders>
              <w:top w:val="nil"/>
              <w:left w:val="nil"/>
              <w:bottom w:val="nil"/>
              <w:right w:val="nil"/>
            </w:tcBorders>
            <w:shd w:val="clear" w:color="auto" w:fill="auto"/>
            <w:noWrap/>
            <w:hideMark/>
          </w:tcPr>
          <w:p w14:paraId="733477BC" w14:textId="77777777" w:rsidR="006278AE" w:rsidRPr="00965341" w:rsidRDefault="006278AE" w:rsidP="006278AE">
            <w:pPr>
              <w:rPr>
                <w:sz w:val="14"/>
                <w:szCs w:val="14"/>
                <w:lang w:val="en-US" w:eastAsia="en-US"/>
              </w:rPr>
            </w:pPr>
            <w:r w:rsidRPr="00965341">
              <w:rPr>
                <w:sz w:val="14"/>
                <w:szCs w:val="14"/>
                <w:lang w:val="en-US" w:eastAsia="en-US"/>
              </w:rPr>
              <w:t>P64A</w:t>
            </w:r>
          </w:p>
        </w:tc>
        <w:tc>
          <w:tcPr>
            <w:tcW w:w="4637" w:type="dxa"/>
            <w:tcBorders>
              <w:top w:val="nil"/>
              <w:left w:val="nil"/>
              <w:bottom w:val="nil"/>
              <w:right w:val="nil"/>
            </w:tcBorders>
            <w:shd w:val="clear" w:color="auto" w:fill="auto"/>
            <w:noWrap/>
            <w:hideMark/>
          </w:tcPr>
          <w:p w14:paraId="3EE25930" w14:textId="77777777" w:rsidR="006278AE" w:rsidRPr="00965341" w:rsidRDefault="006278AE" w:rsidP="006278AE">
            <w:pPr>
              <w:rPr>
                <w:sz w:val="14"/>
                <w:szCs w:val="14"/>
                <w:lang w:val="en-US" w:eastAsia="en-US"/>
              </w:rPr>
            </w:pPr>
            <w:r w:rsidRPr="00965341">
              <w:rPr>
                <w:sz w:val="14"/>
                <w:szCs w:val="14"/>
                <w:lang w:val="en-US" w:eastAsia="en-US"/>
              </w:rPr>
              <w:t xml:space="preserve">Neonate, </w:t>
            </w:r>
            <w:proofErr w:type="spellStart"/>
            <w:r w:rsidRPr="00965341">
              <w:rPr>
                <w:sz w:val="14"/>
                <w:szCs w:val="14"/>
                <w:lang w:val="en-US" w:eastAsia="en-US"/>
              </w:rPr>
              <w:t>AdmWt</w:t>
            </w:r>
            <w:proofErr w:type="spellEnd"/>
            <w:r w:rsidRPr="00965341">
              <w:rPr>
                <w:sz w:val="14"/>
                <w:szCs w:val="14"/>
                <w:lang w:val="en-US" w:eastAsia="en-US"/>
              </w:rPr>
              <w:t xml:space="preserve"> 1250-1499g W/O Significant OR Proc/Vent&gt;=96hrs, Major Complexity</w:t>
            </w:r>
          </w:p>
        </w:tc>
        <w:tc>
          <w:tcPr>
            <w:tcW w:w="962" w:type="dxa"/>
            <w:gridSpan w:val="3"/>
            <w:tcBorders>
              <w:top w:val="nil"/>
              <w:left w:val="nil"/>
              <w:bottom w:val="nil"/>
              <w:right w:val="nil"/>
            </w:tcBorders>
            <w:shd w:val="clear" w:color="auto" w:fill="auto"/>
            <w:noWrap/>
            <w:hideMark/>
          </w:tcPr>
          <w:p w14:paraId="0C8463E0" w14:textId="77777777" w:rsidR="006278AE" w:rsidRPr="00965341" w:rsidRDefault="006278AE" w:rsidP="006278AE">
            <w:pPr>
              <w:jc w:val="right"/>
              <w:rPr>
                <w:b/>
                <w:sz w:val="14"/>
                <w:szCs w:val="14"/>
                <w:lang w:val="en-US" w:eastAsia="en-US"/>
              </w:rPr>
            </w:pPr>
            <w:r w:rsidRPr="00965341">
              <w:rPr>
                <w:b/>
                <w:sz w:val="14"/>
                <w:szCs w:val="14"/>
                <w:lang w:val="en-US" w:eastAsia="en-US"/>
              </w:rPr>
              <w:t>42.6</w:t>
            </w:r>
          </w:p>
        </w:tc>
        <w:tc>
          <w:tcPr>
            <w:tcW w:w="500" w:type="dxa"/>
            <w:tcBorders>
              <w:top w:val="nil"/>
              <w:left w:val="nil"/>
              <w:bottom w:val="nil"/>
              <w:right w:val="nil"/>
            </w:tcBorders>
            <w:shd w:val="clear" w:color="auto" w:fill="auto"/>
            <w:noWrap/>
            <w:hideMark/>
          </w:tcPr>
          <w:p w14:paraId="4DF84F42" w14:textId="77777777" w:rsidR="006278AE" w:rsidRPr="00965341" w:rsidRDefault="006278AE" w:rsidP="006278AE">
            <w:pPr>
              <w:jc w:val="right"/>
              <w:rPr>
                <w:sz w:val="14"/>
                <w:szCs w:val="14"/>
                <w:lang w:val="en-US" w:eastAsia="en-US"/>
              </w:rPr>
            </w:pPr>
            <w:r w:rsidRPr="00965341">
              <w:rPr>
                <w:sz w:val="14"/>
                <w:szCs w:val="14"/>
                <w:lang w:val="en-US" w:eastAsia="en-US"/>
              </w:rPr>
              <w:t>12</w:t>
            </w:r>
          </w:p>
        </w:tc>
        <w:tc>
          <w:tcPr>
            <w:tcW w:w="653" w:type="dxa"/>
            <w:gridSpan w:val="2"/>
            <w:tcBorders>
              <w:top w:val="nil"/>
              <w:left w:val="nil"/>
              <w:bottom w:val="nil"/>
              <w:right w:val="nil"/>
            </w:tcBorders>
            <w:shd w:val="clear" w:color="auto" w:fill="auto"/>
            <w:noWrap/>
            <w:hideMark/>
          </w:tcPr>
          <w:p w14:paraId="4A056A5F" w14:textId="77777777" w:rsidR="006278AE" w:rsidRPr="00965341" w:rsidRDefault="006278AE" w:rsidP="006278AE">
            <w:pPr>
              <w:jc w:val="right"/>
              <w:rPr>
                <w:sz w:val="14"/>
                <w:szCs w:val="14"/>
                <w:lang w:val="en-US" w:eastAsia="en-US"/>
              </w:rPr>
            </w:pPr>
            <w:r w:rsidRPr="00965341">
              <w:rPr>
                <w:sz w:val="14"/>
                <w:szCs w:val="14"/>
                <w:lang w:val="en-US" w:eastAsia="en-US"/>
              </w:rPr>
              <w:t>62</w:t>
            </w:r>
          </w:p>
        </w:tc>
        <w:tc>
          <w:tcPr>
            <w:tcW w:w="691" w:type="dxa"/>
            <w:gridSpan w:val="2"/>
            <w:tcBorders>
              <w:top w:val="nil"/>
              <w:left w:val="nil"/>
              <w:bottom w:val="nil"/>
              <w:right w:val="nil"/>
            </w:tcBorders>
            <w:shd w:val="clear" w:color="auto" w:fill="auto"/>
            <w:noWrap/>
            <w:hideMark/>
          </w:tcPr>
          <w:p w14:paraId="4CCE9EB8" w14:textId="77777777" w:rsidR="006278AE" w:rsidRPr="00965341" w:rsidRDefault="006278AE" w:rsidP="006278AE">
            <w:pPr>
              <w:jc w:val="right"/>
              <w:rPr>
                <w:sz w:val="14"/>
                <w:szCs w:val="14"/>
                <w:lang w:val="en-US" w:eastAsia="en-US"/>
              </w:rPr>
            </w:pPr>
            <w:r w:rsidRPr="00965341">
              <w:rPr>
                <w:sz w:val="14"/>
                <w:szCs w:val="14"/>
                <w:lang w:val="en-US" w:eastAsia="en-US"/>
              </w:rPr>
              <w:t>16.00</w:t>
            </w:r>
          </w:p>
        </w:tc>
        <w:tc>
          <w:tcPr>
            <w:tcW w:w="839" w:type="dxa"/>
            <w:gridSpan w:val="2"/>
            <w:tcBorders>
              <w:top w:val="nil"/>
              <w:left w:val="nil"/>
              <w:bottom w:val="nil"/>
              <w:right w:val="nil"/>
            </w:tcBorders>
            <w:shd w:val="clear" w:color="auto" w:fill="auto"/>
            <w:noWrap/>
            <w:hideMark/>
          </w:tcPr>
          <w:p w14:paraId="2DABDB60" w14:textId="77777777" w:rsidR="006278AE" w:rsidRPr="00965341" w:rsidRDefault="006278AE" w:rsidP="006278AE">
            <w:pPr>
              <w:jc w:val="right"/>
              <w:rPr>
                <w:sz w:val="14"/>
                <w:szCs w:val="14"/>
                <w:lang w:val="en-US" w:eastAsia="en-US"/>
              </w:rPr>
            </w:pPr>
            <w:r w:rsidRPr="00965341">
              <w:rPr>
                <w:sz w:val="14"/>
                <w:szCs w:val="14"/>
                <w:lang w:val="en-US" w:eastAsia="en-US"/>
              </w:rPr>
              <w:t>28</w:t>
            </w:r>
          </w:p>
        </w:tc>
        <w:tc>
          <w:tcPr>
            <w:tcW w:w="884" w:type="dxa"/>
            <w:gridSpan w:val="2"/>
            <w:tcBorders>
              <w:top w:val="nil"/>
              <w:left w:val="nil"/>
              <w:bottom w:val="nil"/>
              <w:right w:val="nil"/>
            </w:tcBorders>
            <w:shd w:val="clear" w:color="auto" w:fill="auto"/>
            <w:noWrap/>
            <w:hideMark/>
          </w:tcPr>
          <w:p w14:paraId="350BC63F" w14:textId="08830163" w:rsidR="006278AE" w:rsidRPr="00965341" w:rsidRDefault="006278AE" w:rsidP="006278AE">
            <w:pPr>
              <w:jc w:val="right"/>
              <w:rPr>
                <w:sz w:val="14"/>
                <w:szCs w:val="14"/>
                <w:lang w:val="en-US" w:eastAsia="en-US"/>
              </w:rPr>
            </w:pPr>
            <w:r w:rsidRPr="006278AE">
              <w:rPr>
                <w:sz w:val="14"/>
                <w:szCs w:val="14"/>
                <w:lang w:val="en-US" w:eastAsia="en-US"/>
              </w:rPr>
              <w:t>448</w:t>
            </w:r>
          </w:p>
        </w:tc>
        <w:tc>
          <w:tcPr>
            <w:tcW w:w="653" w:type="dxa"/>
            <w:gridSpan w:val="2"/>
            <w:tcBorders>
              <w:top w:val="nil"/>
              <w:left w:val="nil"/>
              <w:bottom w:val="nil"/>
              <w:right w:val="nil"/>
            </w:tcBorders>
            <w:shd w:val="clear" w:color="auto" w:fill="auto"/>
            <w:noWrap/>
            <w:hideMark/>
          </w:tcPr>
          <w:p w14:paraId="1FC12698" w14:textId="77777777" w:rsidR="006278AE" w:rsidRPr="00965341" w:rsidRDefault="006278AE" w:rsidP="006278AE">
            <w:pPr>
              <w:jc w:val="right"/>
              <w:rPr>
                <w:sz w:val="14"/>
                <w:szCs w:val="14"/>
                <w:lang w:val="en-US" w:eastAsia="en-US"/>
              </w:rPr>
            </w:pPr>
            <w:r w:rsidRPr="00965341">
              <w:rPr>
                <w:sz w:val="14"/>
                <w:szCs w:val="14"/>
                <w:lang w:val="en-US" w:eastAsia="en-US"/>
              </w:rPr>
              <w:t>1.82</w:t>
            </w:r>
          </w:p>
        </w:tc>
        <w:tc>
          <w:tcPr>
            <w:tcW w:w="653" w:type="dxa"/>
            <w:gridSpan w:val="2"/>
            <w:tcBorders>
              <w:top w:val="nil"/>
              <w:left w:val="nil"/>
              <w:bottom w:val="nil"/>
              <w:right w:val="nil"/>
            </w:tcBorders>
            <w:shd w:val="clear" w:color="auto" w:fill="auto"/>
            <w:noWrap/>
            <w:hideMark/>
          </w:tcPr>
          <w:p w14:paraId="4FF2688A"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53" w:type="dxa"/>
            <w:gridSpan w:val="2"/>
            <w:tcBorders>
              <w:top w:val="nil"/>
              <w:left w:val="nil"/>
              <w:bottom w:val="nil"/>
              <w:right w:val="nil"/>
            </w:tcBorders>
            <w:shd w:val="clear" w:color="auto" w:fill="auto"/>
            <w:noWrap/>
            <w:hideMark/>
          </w:tcPr>
          <w:p w14:paraId="21A14F60"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91" w:type="dxa"/>
            <w:gridSpan w:val="2"/>
            <w:tcBorders>
              <w:top w:val="nil"/>
              <w:left w:val="nil"/>
              <w:bottom w:val="nil"/>
              <w:right w:val="nil"/>
            </w:tcBorders>
            <w:shd w:val="clear" w:color="auto" w:fill="auto"/>
            <w:noWrap/>
            <w:hideMark/>
          </w:tcPr>
          <w:p w14:paraId="446ED62A" w14:textId="77777777" w:rsidR="006278AE" w:rsidRPr="00965341" w:rsidRDefault="006278AE" w:rsidP="006278AE">
            <w:pPr>
              <w:jc w:val="right"/>
              <w:rPr>
                <w:sz w:val="14"/>
                <w:szCs w:val="14"/>
                <w:lang w:val="en-US" w:eastAsia="en-US"/>
              </w:rPr>
            </w:pPr>
            <w:r w:rsidRPr="00965341">
              <w:rPr>
                <w:sz w:val="14"/>
                <w:szCs w:val="14"/>
                <w:lang w:val="en-US" w:eastAsia="en-US"/>
              </w:rPr>
              <w:t>32.9</w:t>
            </w:r>
          </w:p>
        </w:tc>
        <w:tc>
          <w:tcPr>
            <w:tcW w:w="691" w:type="dxa"/>
            <w:gridSpan w:val="2"/>
            <w:tcBorders>
              <w:top w:val="nil"/>
              <w:left w:val="nil"/>
              <w:bottom w:val="nil"/>
              <w:right w:val="nil"/>
            </w:tcBorders>
            <w:shd w:val="clear" w:color="auto" w:fill="auto"/>
            <w:noWrap/>
            <w:hideMark/>
          </w:tcPr>
          <w:p w14:paraId="6B1ADD40" w14:textId="77777777" w:rsidR="006278AE" w:rsidRPr="00965341" w:rsidRDefault="006278AE" w:rsidP="006278AE">
            <w:pPr>
              <w:jc w:val="right"/>
              <w:rPr>
                <w:sz w:val="14"/>
                <w:szCs w:val="14"/>
                <w:lang w:val="en-US" w:eastAsia="en-US"/>
              </w:rPr>
            </w:pPr>
            <w:r w:rsidRPr="00965341">
              <w:rPr>
                <w:sz w:val="14"/>
                <w:szCs w:val="14"/>
                <w:lang w:val="en-US" w:eastAsia="en-US"/>
              </w:rPr>
              <w:t xml:space="preserve">8 </w:t>
            </w:r>
          </w:p>
        </w:tc>
        <w:tc>
          <w:tcPr>
            <w:tcW w:w="839" w:type="dxa"/>
            <w:gridSpan w:val="2"/>
            <w:tcBorders>
              <w:top w:val="nil"/>
              <w:left w:val="nil"/>
              <w:bottom w:val="nil"/>
              <w:right w:val="nil"/>
            </w:tcBorders>
            <w:shd w:val="clear" w:color="auto" w:fill="auto"/>
            <w:noWrap/>
            <w:hideMark/>
          </w:tcPr>
          <w:p w14:paraId="00A6D1D8" w14:textId="77777777" w:rsidR="006278AE" w:rsidRPr="00965341" w:rsidRDefault="006278AE" w:rsidP="006278AE">
            <w:pPr>
              <w:jc w:val="right"/>
              <w:rPr>
                <w:sz w:val="14"/>
                <w:szCs w:val="14"/>
                <w:lang w:val="en-US" w:eastAsia="en-US"/>
              </w:rPr>
            </w:pPr>
            <w:r w:rsidRPr="00965341">
              <w:rPr>
                <w:sz w:val="14"/>
                <w:szCs w:val="14"/>
                <w:lang w:val="en-US" w:eastAsia="en-US"/>
              </w:rPr>
              <w:t>1,177</w:t>
            </w:r>
          </w:p>
        </w:tc>
      </w:tr>
      <w:tr w:rsidR="006278AE" w:rsidRPr="00965341" w14:paraId="438DFFD5" w14:textId="77777777" w:rsidTr="00A23161">
        <w:trPr>
          <w:gridAfter w:val="1"/>
          <w:wAfter w:w="34" w:type="dxa"/>
          <w:trHeight w:hRule="exact" w:val="284"/>
        </w:trPr>
        <w:tc>
          <w:tcPr>
            <w:tcW w:w="709" w:type="dxa"/>
            <w:tcBorders>
              <w:top w:val="nil"/>
              <w:left w:val="nil"/>
              <w:bottom w:val="nil"/>
              <w:right w:val="nil"/>
            </w:tcBorders>
            <w:shd w:val="clear" w:color="auto" w:fill="auto"/>
            <w:noWrap/>
            <w:hideMark/>
          </w:tcPr>
          <w:p w14:paraId="4779C346" w14:textId="11F11CBE" w:rsidR="006278AE" w:rsidRPr="00965341" w:rsidRDefault="006278AE" w:rsidP="006278AE">
            <w:pPr>
              <w:jc w:val="center"/>
              <w:rPr>
                <w:sz w:val="14"/>
                <w:szCs w:val="14"/>
                <w:lang w:val="en-US" w:eastAsia="en-US"/>
              </w:rPr>
            </w:pPr>
            <w:r w:rsidRPr="00965341">
              <w:rPr>
                <w:sz w:val="14"/>
                <w:szCs w:val="14"/>
                <w:lang w:val="en-US" w:eastAsia="en-US"/>
              </w:rPr>
              <w:t>Yes</w:t>
            </w:r>
          </w:p>
        </w:tc>
        <w:tc>
          <w:tcPr>
            <w:tcW w:w="691" w:type="dxa"/>
            <w:tcBorders>
              <w:top w:val="nil"/>
              <w:left w:val="nil"/>
              <w:bottom w:val="nil"/>
              <w:right w:val="nil"/>
            </w:tcBorders>
            <w:shd w:val="clear" w:color="auto" w:fill="auto"/>
            <w:noWrap/>
            <w:hideMark/>
          </w:tcPr>
          <w:p w14:paraId="254531D4" w14:textId="77777777" w:rsidR="006278AE" w:rsidRPr="00965341" w:rsidRDefault="006278AE" w:rsidP="006278AE">
            <w:pPr>
              <w:jc w:val="center"/>
              <w:rPr>
                <w:sz w:val="14"/>
                <w:szCs w:val="14"/>
                <w:lang w:val="en-US" w:eastAsia="en-US"/>
              </w:rPr>
            </w:pPr>
            <w:r w:rsidRPr="00965341">
              <w:rPr>
                <w:sz w:val="14"/>
                <w:szCs w:val="14"/>
                <w:lang w:val="en-US" w:eastAsia="en-US"/>
              </w:rPr>
              <w:t>6</w:t>
            </w:r>
          </w:p>
        </w:tc>
        <w:tc>
          <w:tcPr>
            <w:tcW w:w="600" w:type="dxa"/>
            <w:tcBorders>
              <w:top w:val="nil"/>
              <w:left w:val="nil"/>
              <w:bottom w:val="nil"/>
              <w:right w:val="nil"/>
            </w:tcBorders>
            <w:shd w:val="clear" w:color="auto" w:fill="auto"/>
            <w:noWrap/>
            <w:hideMark/>
          </w:tcPr>
          <w:p w14:paraId="6A9568A1" w14:textId="77777777" w:rsidR="006278AE" w:rsidRPr="00965341" w:rsidRDefault="006278AE" w:rsidP="006278AE">
            <w:pPr>
              <w:rPr>
                <w:sz w:val="14"/>
                <w:szCs w:val="14"/>
                <w:lang w:val="en-US" w:eastAsia="en-US"/>
              </w:rPr>
            </w:pPr>
            <w:r w:rsidRPr="00965341">
              <w:rPr>
                <w:sz w:val="14"/>
                <w:szCs w:val="14"/>
                <w:lang w:val="en-US" w:eastAsia="en-US"/>
              </w:rPr>
              <w:t>F11A</w:t>
            </w:r>
          </w:p>
        </w:tc>
        <w:tc>
          <w:tcPr>
            <w:tcW w:w="4637" w:type="dxa"/>
            <w:tcBorders>
              <w:top w:val="nil"/>
              <w:left w:val="nil"/>
              <w:bottom w:val="nil"/>
              <w:right w:val="nil"/>
            </w:tcBorders>
            <w:shd w:val="clear" w:color="auto" w:fill="auto"/>
            <w:noWrap/>
            <w:hideMark/>
          </w:tcPr>
          <w:p w14:paraId="00DBE7CC" w14:textId="77777777" w:rsidR="006278AE" w:rsidRPr="00965341" w:rsidRDefault="006278AE" w:rsidP="006278AE">
            <w:pPr>
              <w:rPr>
                <w:sz w:val="14"/>
                <w:szCs w:val="14"/>
                <w:lang w:val="en-US" w:eastAsia="en-US"/>
              </w:rPr>
            </w:pPr>
            <w:r w:rsidRPr="00965341">
              <w:rPr>
                <w:sz w:val="14"/>
                <w:szCs w:val="14"/>
                <w:lang w:val="en-US" w:eastAsia="en-US"/>
              </w:rPr>
              <w:t>Amputation, Except Upper Limb and Toe, for Circulatory Disorders, Major Comp</w:t>
            </w:r>
          </w:p>
        </w:tc>
        <w:tc>
          <w:tcPr>
            <w:tcW w:w="962" w:type="dxa"/>
            <w:gridSpan w:val="3"/>
            <w:tcBorders>
              <w:top w:val="nil"/>
              <w:left w:val="nil"/>
              <w:bottom w:val="nil"/>
              <w:right w:val="nil"/>
            </w:tcBorders>
            <w:shd w:val="clear" w:color="auto" w:fill="auto"/>
            <w:noWrap/>
            <w:hideMark/>
          </w:tcPr>
          <w:p w14:paraId="0F582187" w14:textId="77777777" w:rsidR="006278AE" w:rsidRPr="00965341" w:rsidRDefault="006278AE" w:rsidP="006278AE">
            <w:pPr>
              <w:jc w:val="right"/>
              <w:rPr>
                <w:b/>
                <w:sz w:val="14"/>
                <w:szCs w:val="14"/>
                <w:lang w:val="en-US" w:eastAsia="en-US"/>
              </w:rPr>
            </w:pPr>
            <w:r w:rsidRPr="00965341">
              <w:rPr>
                <w:b/>
                <w:sz w:val="14"/>
                <w:szCs w:val="14"/>
                <w:lang w:val="en-US" w:eastAsia="en-US"/>
              </w:rPr>
              <w:t>33.3</w:t>
            </w:r>
          </w:p>
        </w:tc>
        <w:tc>
          <w:tcPr>
            <w:tcW w:w="500" w:type="dxa"/>
            <w:tcBorders>
              <w:top w:val="nil"/>
              <w:left w:val="nil"/>
              <w:bottom w:val="nil"/>
              <w:right w:val="nil"/>
            </w:tcBorders>
            <w:shd w:val="clear" w:color="auto" w:fill="auto"/>
            <w:noWrap/>
            <w:hideMark/>
          </w:tcPr>
          <w:p w14:paraId="430AF629" w14:textId="77777777" w:rsidR="006278AE" w:rsidRPr="00965341" w:rsidRDefault="006278AE" w:rsidP="006278AE">
            <w:pPr>
              <w:jc w:val="right"/>
              <w:rPr>
                <w:sz w:val="14"/>
                <w:szCs w:val="14"/>
                <w:lang w:val="en-US" w:eastAsia="en-US"/>
              </w:rPr>
            </w:pPr>
            <w:r w:rsidRPr="00965341">
              <w:rPr>
                <w:sz w:val="14"/>
                <w:szCs w:val="14"/>
                <w:lang w:val="en-US" w:eastAsia="en-US"/>
              </w:rPr>
              <w:t>2</w:t>
            </w:r>
          </w:p>
        </w:tc>
        <w:tc>
          <w:tcPr>
            <w:tcW w:w="653" w:type="dxa"/>
            <w:gridSpan w:val="2"/>
            <w:tcBorders>
              <w:top w:val="nil"/>
              <w:left w:val="nil"/>
              <w:bottom w:val="nil"/>
              <w:right w:val="nil"/>
            </w:tcBorders>
            <w:shd w:val="clear" w:color="auto" w:fill="auto"/>
            <w:noWrap/>
            <w:hideMark/>
          </w:tcPr>
          <w:p w14:paraId="16925821" w14:textId="77777777" w:rsidR="006278AE" w:rsidRPr="00965341" w:rsidRDefault="006278AE" w:rsidP="006278AE">
            <w:pPr>
              <w:jc w:val="right"/>
              <w:rPr>
                <w:sz w:val="14"/>
                <w:szCs w:val="14"/>
                <w:lang w:val="en-US" w:eastAsia="en-US"/>
              </w:rPr>
            </w:pPr>
            <w:r w:rsidRPr="00965341">
              <w:rPr>
                <w:sz w:val="14"/>
                <w:szCs w:val="14"/>
                <w:lang w:val="en-US" w:eastAsia="en-US"/>
              </w:rPr>
              <w:t>164</w:t>
            </w:r>
          </w:p>
        </w:tc>
        <w:tc>
          <w:tcPr>
            <w:tcW w:w="691" w:type="dxa"/>
            <w:gridSpan w:val="2"/>
            <w:tcBorders>
              <w:top w:val="nil"/>
              <w:left w:val="nil"/>
              <w:bottom w:val="nil"/>
              <w:right w:val="nil"/>
            </w:tcBorders>
            <w:shd w:val="clear" w:color="auto" w:fill="auto"/>
            <w:noWrap/>
            <w:hideMark/>
          </w:tcPr>
          <w:p w14:paraId="074BA1E3" w14:textId="77777777" w:rsidR="006278AE" w:rsidRPr="00965341" w:rsidRDefault="006278AE" w:rsidP="006278AE">
            <w:pPr>
              <w:jc w:val="right"/>
              <w:rPr>
                <w:sz w:val="14"/>
                <w:szCs w:val="14"/>
                <w:lang w:val="en-US" w:eastAsia="en-US"/>
              </w:rPr>
            </w:pPr>
            <w:r w:rsidRPr="00965341">
              <w:rPr>
                <w:sz w:val="14"/>
                <w:szCs w:val="14"/>
                <w:lang w:val="en-US" w:eastAsia="en-US"/>
              </w:rPr>
              <w:t>10.23</w:t>
            </w:r>
          </w:p>
        </w:tc>
        <w:tc>
          <w:tcPr>
            <w:tcW w:w="839" w:type="dxa"/>
            <w:gridSpan w:val="2"/>
            <w:tcBorders>
              <w:top w:val="nil"/>
              <w:left w:val="nil"/>
              <w:bottom w:val="nil"/>
              <w:right w:val="nil"/>
            </w:tcBorders>
            <w:shd w:val="clear" w:color="auto" w:fill="auto"/>
            <w:noWrap/>
            <w:hideMark/>
          </w:tcPr>
          <w:p w14:paraId="7B8E4845" w14:textId="77777777" w:rsidR="006278AE" w:rsidRPr="00965341" w:rsidRDefault="006278AE" w:rsidP="006278AE">
            <w:pPr>
              <w:jc w:val="right"/>
              <w:rPr>
                <w:sz w:val="14"/>
                <w:szCs w:val="14"/>
                <w:lang w:val="en-US" w:eastAsia="en-US"/>
              </w:rPr>
            </w:pPr>
            <w:r w:rsidRPr="00965341">
              <w:rPr>
                <w:sz w:val="14"/>
                <w:szCs w:val="14"/>
                <w:lang w:val="en-US" w:eastAsia="en-US"/>
              </w:rPr>
              <w:t>65</w:t>
            </w:r>
          </w:p>
        </w:tc>
        <w:tc>
          <w:tcPr>
            <w:tcW w:w="884" w:type="dxa"/>
            <w:gridSpan w:val="2"/>
            <w:tcBorders>
              <w:top w:val="nil"/>
              <w:left w:val="nil"/>
              <w:bottom w:val="nil"/>
              <w:right w:val="nil"/>
            </w:tcBorders>
            <w:shd w:val="clear" w:color="auto" w:fill="auto"/>
            <w:noWrap/>
            <w:hideMark/>
          </w:tcPr>
          <w:p w14:paraId="1C7771DC" w14:textId="24D8DA28" w:rsidR="006278AE" w:rsidRPr="00965341" w:rsidRDefault="006278AE" w:rsidP="006278AE">
            <w:pPr>
              <w:jc w:val="right"/>
              <w:rPr>
                <w:sz w:val="14"/>
                <w:szCs w:val="14"/>
                <w:lang w:val="en-US" w:eastAsia="en-US"/>
              </w:rPr>
            </w:pPr>
            <w:r w:rsidRPr="006278AE">
              <w:rPr>
                <w:sz w:val="14"/>
                <w:szCs w:val="14"/>
                <w:lang w:val="en-US" w:eastAsia="en-US"/>
              </w:rPr>
              <w:t>665</w:t>
            </w:r>
          </w:p>
        </w:tc>
        <w:tc>
          <w:tcPr>
            <w:tcW w:w="653" w:type="dxa"/>
            <w:gridSpan w:val="2"/>
            <w:tcBorders>
              <w:top w:val="nil"/>
              <w:left w:val="nil"/>
              <w:bottom w:val="nil"/>
              <w:right w:val="nil"/>
            </w:tcBorders>
            <w:shd w:val="clear" w:color="auto" w:fill="auto"/>
            <w:noWrap/>
            <w:hideMark/>
          </w:tcPr>
          <w:p w14:paraId="2D57C2E4" w14:textId="77777777" w:rsidR="006278AE" w:rsidRPr="00965341" w:rsidRDefault="006278AE" w:rsidP="006278AE">
            <w:pPr>
              <w:jc w:val="right"/>
              <w:rPr>
                <w:sz w:val="14"/>
                <w:szCs w:val="14"/>
                <w:lang w:val="en-US" w:eastAsia="en-US"/>
              </w:rPr>
            </w:pPr>
            <w:r w:rsidRPr="00965341">
              <w:rPr>
                <w:sz w:val="14"/>
                <w:szCs w:val="14"/>
                <w:lang w:val="en-US" w:eastAsia="en-US"/>
              </w:rPr>
              <w:t>1.54</w:t>
            </w:r>
          </w:p>
        </w:tc>
        <w:tc>
          <w:tcPr>
            <w:tcW w:w="653" w:type="dxa"/>
            <w:gridSpan w:val="2"/>
            <w:tcBorders>
              <w:top w:val="nil"/>
              <w:left w:val="nil"/>
              <w:bottom w:val="nil"/>
              <w:right w:val="nil"/>
            </w:tcBorders>
            <w:shd w:val="clear" w:color="auto" w:fill="auto"/>
            <w:noWrap/>
            <w:hideMark/>
          </w:tcPr>
          <w:p w14:paraId="1ADC60A0"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53" w:type="dxa"/>
            <w:gridSpan w:val="2"/>
            <w:tcBorders>
              <w:top w:val="nil"/>
              <w:left w:val="nil"/>
              <w:bottom w:val="nil"/>
              <w:right w:val="nil"/>
            </w:tcBorders>
            <w:shd w:val="clear" w:color="auto" w:fill="auto"/>
            <w:noWrap/>
            <w:hideMark/>
          </w:tcPr>
          <w:p w14:paraId="13738BA8"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91" w:type="dxa"/>
            <w:gridSpan w:val="2"/>
            <w:tcBorders>
              <w:top w:val="nil"/>
              <w:left w:val="nil"/>
              <w:bottom w:val="nil"/>
              <w:right w:val="nil"/>
            </w:tcBorders>
            <w:shd w:val="clear" w:color="auto" w:fill="auto"/>
            <w:noWrap/>
            <w:hideMark/>
          </w:tcPr>
          <w:p w14:paraId="52C161FB" w14:textId="77777777" w:rsidR="006278AE" w:rsidRPr="00965341" w:rsidRDefault="006278AE" w:rsidP="006278AE">
            <w:pPr>
              <w:jc w:val="right"/>
              <w:rPr>
                <w:sz w:val="14"/>
                <w:szCs w:val="14"/>
                <w:lang w:val="en-US" w:eastAsia="en-US"/>
              </w:rPr>
            </w:pPr>
            <w:r w:rsidRPr="00965341">
              <w:rPr>
                <w:sz w:val="14"/>
                <w:szCs w:val="14"/>
                <w:lang w:val="en-US" w:eastAsia="en-US"/>
              </w:rPr>
              <w:t>38.3</w:t>
            </w:r>
          </w:p>
        </w:tc>
        <w:tc>
          <w:tcPr>
            <w:tcW w:w="691" w:type="dxa"/>
            <w:gridSpan w:val="2"/>
            <w:tcBorders>
              <w:top w:val="nil"/>
              <w:left w:val="nil"/>
              <w:bottom w:val="nil"/>
              <w:right w:val="nil"/>
            </w:tcBorders>
            <w:shd w:val="clear" w:color="auto" w:fill="auto"/>
            <w:noWrap/>
            <w:hideMark/>
          </w:tcPr>
          <w:p w14:paraId="5FD8ABA1" w14:textId="77777777" w:rsidR="006278AE" w:rsidRPr="00965341" w:rsidRDefault="006278AE" w:rsidP="006278AE">
            <w:pPr>
              <w:jc w:val="right"/>
              <w:rPr>
                <w:sz w:val="14"/>
                <w:szCs w:val="14"/>
                <w:lang w:val="en-US" w:eastAsia="en-US"/>
              </w:rPr>
            </w:pPr>
            <w:r w:rsidRPr="00965341">
              <w:rPr>
                <w:sz w:val="14"/>
                <w:szCs w:val="14"/>
                <w:lang w:val="en-US" w:eastAsia="en-US"/>
              </w:rPr>
              <w:t xml:space="preserve">5 </w:t>
            </w:r>
          </w:p>
        </w:tc>
        <w:tc>
          <w:tcPr>
            <w:tcW w:w="839" w:type="dxa"/>
            <w:gridSpan w:val="2"/>
            <w:tcBorders>
              <w:top w:val="nil"/>
              <w:left w:val="nil"/>
              <w:bottom w:val="nil"/>
              <w:right w:val="nil"/>
            </w:tcBorders>
            <w:shd w:val="clear" w:color="auto" w:fill="auto"/>
            <w:noWrap/>
            <w:hideMark/>
          </w:tcPr>
          <w:p w14:paraId="163D2A57" w14:textId="77777777" w:rsidR="006278AE" w:rsidRPr="00965341" w:rsidRDefault="006278AE" w:rsidP="006278AE">
            <w:pPr>
              <w:jc w:val="right"/>
              <w:rPr>
                <w:sz w:val="14"/>
                <w:szCs w:val="14"/>
                <w:lang w:val="en-US" w:eastAsia="en-US"/>
              </w:rPr>
            </w:pPr>
            <w:r w:rsidRPr="00965341">
              <w:rPr>
                <w:sz w:val="14"/>
                <w:szCs w:val="14"/>
                <w:lang w:val="en-US" w:eastAsia="en-US"/>
              </w:rPr>
              <w:t>2,146</w:t>
            </w:r>
          </w:p>
        </w:tc>
      </w:tr>
      <w:tr w:rsidR="006278AE" w:rsidRPr="00965341" w14:paraId="09AE1F71" w14:textId="77777777" w:rsidTr="00A23161">
        <w:trPr>
          <w:gridAfter w:val="1"/>
          <w:wAfter w:w="34" w:type="dxa"/>
          <w:trHeight w:hRule="exact" w:val="284"/>
        </w:trPr>
        <w:tc>
          <w:tcPr>
            <w:tcW w:w="709" w:type="dxa"/>
            <w:tcBorders>
              <w:top w:val="nil"/>
              <w:left w:val="nil"/>
              <w:bottom w:val="nil"/>
              <w:right w:val="nil"/>
            </w:tcBorders>
            <w:shd w:val="clear" w:color="auto" w:fill="auto"/>
            <w:noWrap/>
            <w:hideMark/>
          </w:tcPr>
          <w:p w14:paraId="399C5902" w14:textId="112DED0C" w:rsidR="006278AE" w:rsidRPr="00965341" w:rsidRDefault="006278AE" w:rsidP="006278AE">
            <w:pPr>
              <w:jc w:val="center"/>
              <w:rPr>
                <w:sz w:val="14"/>
                <w:szCs w:val="14"/>
                <w:lang w:val="en-US" w:eastAsia="en-US"/>
              </w:rPr>
            </w:pPr>
            <w:r w:rsidRPr="00965341">
              <w:rPr>
                <w:sz w:val="14"/>
                <w:szCs w:val="14"/>
                <w:lang w:val="en-US" w:eastAsia="en-US"/>
              </w:rPr>
              <w:t>No</w:t>
            </w:r>
          </w:p>
        </w:tc>
        <w:tc>
          <w:tcPr>
            <w:tcW w:w="691" w:type="dxa"/>
            <w:tcBorders>
              <w:top w:val="nil"/>
              <w:left w:val="nil"/>
              <w:bottom w:val="nil"/>
              <w:right w:val="nil"/>
            </w:tcBorders>
            <w:shd w:val="clear" w:color="auto" w:fill="auto"/>
            <w:noWrap/>
            <w:hideMark/>
          </w:tcPr>
          <w:p w14:paraId="3E0F7845" w14:textId="77777777" w:rsidR="006278AE" w:rsidRPr="00965341" w:rsidRDefault="006278AE" w:rsidP="006278AE">
            <w:pPr>
              <w:jc w:val="center"/>
              <w:rPr>
                <w:sz w:val="14"/>
                <w:szCs w:val="14"/>
                <w:lang w:val="en-US" w:eastAsia="en-US"/>
              </w:rPr>
            </w:pPr>
            <w:r w:rsidRPr="00965341">
              <w:rPr>
                <w:sz w:val="14"/>
                <w:szCs w:val="14"/>
                <w:lang w:val="en-US" w:eastAsia="en-US"/>
              </w:rPr>
              <w:t>7</w:t>
            </w:r>
          </w:p>
        </w:tc>
        <w:tc>
          <w:tcPr>
            <w:tcW w:w="600" w:type="dxa"/>
            <w:tcBorders>
              <w:top w:val="nil"/>
              <w:left w:val="nil"/>
              <w:bottom w:val="nil"/>
              <w:right w:val="nil"/>
            </w:tcBorders>
            <w:shd w:val="clear" w:color="auto" w:fill="auto"/>
            <w:noWrap/>
            <w:hideMark/>
          </w:tcPr>
          <w:p w14:paraId="7285C109" w14:textId="77777777" w:rsidR="006278AE" w:rsidRPr="00965341" w:rsidRDefault="006278AE" w:rsidP="006278AE">
            <w:pPr>
              <w:rPr>
                <w:sz w:val="14"/>
                <w:szCs w:val="14"/>
                <w:lang w:val="en-US" w:eastAsia="en-US"/>
              </w:rPr>
            </w:pPr>
            <w:r w:rsidRPr="00965341">
              <w:rPr>
                <w:sz w:val="14"/>
                <w:szCs w:val="14"/>
                <w:lang w:val="en-US" w:eastAsia="en-US"/>
              </w:rPr>
              <w:t>P03B</w:t>
            </w:r>
          </w:p>
        </w:tc>
        <w:tc>
          <w:tcPr>
            <w:tcW w:w="4637" w:type="dxa"/>
            <w:tcBorders>
              <w:top w:val="nil"/>
              <w:left w:val="nil"/>
              <w:bottom w:val="nil"/>
              <w:right w:val="nil"/>
            </w:tcBorders>
            <w:shd w:val="clear" w:color="auto" w:fill="auto"/>
            <w:noWrap/>
            <w:hideMark/>
          </w:tcPr>
          <w:p w14:paraId="104B6B89" w14:textId="77777777" w:rsidR="006278AE" w:rsidRPr="00965341" w:rsidRDefault="006278AE" w:rsidP="006278AE">
            <w:pPr>
              <w:rPr>
                <w:sz w:val="14"/>
                <w:szCs w:val="14"/>
                <w:lang w:val="en-US" w:eastAsia="en-US"/>
              </w:rPr>
            </w:pPr>
            <w:r w:rsidRPr="00965341">
              <w:rPr>
                <w:sz w:val="14"/>
                <w:szCs w:val="14"/>
                <w:lang w:val="en-US" w:eastAsia="en-US"/>
              </w:rPr>
              <w:t xml:space="preserve">Neonate, </w:t>
            </w:r>
            <w:proofErr w:type="spellStart"/>
            <w:r w:rsidRPr="00965341">
              <w:rPr>
                <w:sz w:val="14"/>
                <w:szCs w:val="14"/>
                <w:lang w:val="en-US" w:eastAsia="en-US"/>
              </w:rPr>
              <w:t>AdmWt</w:t>
            </w:r>
            <w:proofErr w:type="spellEnd"/>
            <w:r w:rsidRPr="00965341">
              <w:rPr>
                <w:sz w:val="14"/>
                <w:szCs w:val="14"/>
                <w:lang w:val="en-US" w:eastAsia="en-US"/>
              </w:rPr>
              <w:t xml:space="preserve"> 1000-1499g W Significant OR Proc/Vent&gt;=96hrs, Minor Complexity</w:t>
            </w:r>
          </w:p>
        </w:tc>
        <w:tc>
          <w:tcPr>
            <w:tcW w:w="962" w:type="dxa"/>
            <w:gridSpan w:val="3"/>
            <w:tcBorders>
              <w:top w:val="nil"/>
              <w:left w:val="nil"/>
              <w:bottom w:val="nil"/>
              <w:right w:val="nil"/>
            </w:tcBorders>
            <w:shd w:val="clear" w:color="auto" w:fill="auto"/>
            <w:noWrap/>
            <w:hideMark/>
          </w:tcPr>
          <w:p w14:paraId="38692496" w14:textId="77777777" w:rsidR="006278AE" w:rsidRPr="00965341" w:rsidRDefault="006278AE" w:rsidP="006278AE">
            <w:pPr>
              <w:jc w:val="right"/>
              <w:rPr>
                <w:b/>
                <w:sz w:val="14"/>
                <w:szCs w:val="14"/>
                <w:lang w:val="en-US" w:eastAsia="en-US"/>
              </w:rPr>
            </w:pPr>
            <w:r w:rsidRPr="00965341">
              <w:rPr>
                <w:b/>
                <w:sz w:val="14"/>
                <w:szCs w:val="14"/>
                <w:lang w:val="en-US" w:eastAsia="en-US"/>
              </w:rPr>
              <w:t>31.9</w:t>
            </w:r>
          </w:p>
        </w:tc>
        <w:tc>
          <w:tcPr>
            <w:tcW w:w="500" w:type="dxa"/>
            <w:tcBorders>
              <w:top w:val="nil"/>
              <w:left w:val="nil"/>
              <w:bottom w:val="nil"/>
              <w:right w:val="nil"/>
            </w:tcBorders>
            <w:shd w:val="clear" w:color="auto" w:fill="auto"/>
            <w:noWrap/>
            <w:hideMark/>
          </w:tcPr>
          <w:p w14:paraId="34AD62B6" w14:textId="77777777" w:rsidR="006278AE" w:rsidRPr="00965341" w:rsidRDefault="006278AE" w:rsidP="006278AE">
            <w:pPr>
              <w:jc w:val="right"/>
              <w:rPr>
                <w:sz w:val="14"/>
                <w:szCs w:val="14"/>
                <w:lang w:val="en-US" w:eastAsia="en-US"/>
              </w:rPr>
            </w:pPr>
            <w:r w:rsidRPr="00965341">
              <w:rPr>
                <w:sz w:val="14"/>
                <w:szCs w:val="14"/>
                <w:lang w:val="en-US" w:eastAsia="en-US"/>
              </w:rPr>
              <w:t>1</w:t>
            </w:r>
          </w:p>
        </w:tc>
        <w:tc>
          <w:tcPr>
            <w:tcW w:w="653" w:type="dxa"/>
            <w:gridSpan w:val="2"/>
            <w:tcBorders>
              <w:top w:val="nil"/>
              <w:left w:val="nil"/>
              <w:bottom w:val="nil"/>
              <w:right w:val="nil"/>
            </w:tcBorders>
            <w:shd w:val="clear" w:color="auto" w:fill="auto"/>
            <w:noWrap/>
            <w:hideMark/>
          </w:tcPr>
          <w:p w14:paraId="7AB0C03F" w14:textId="77777777" w:rsidR="006278AE" w:rsidRPr="00965341" w:rsidRDefault="006278AE" w:rsidP="006278AE">
            <w:pPr>
              <w:jc w:val="right"/>
              <w:rPr>
                <w:sz w:val="14"/>
                <w:szCs w:val="14"/>
                <w:lang w:val="en-US" w:eastAsia="en-US"/>
              </w:rPr>
            </w:pPr>
            <w:r w:rsidRPr="00965341">
              <w:rPr>
                <w:sz w:val="14"/>
                <w:szCs w:val="14"/>
                <w:lang w:val="en-US" w:eastAsia="en-US"/>
              </w:rPr>
              <w:t>62</w:t>
            </w:r>
          </w:p>
        </w:tc>
        <w:tc>
          <w:tcPr>
            <w:tcW w:w="691" w:type="dxa"/>
            <w:gridSpan w:val="2"/>
            <w:tcBorders>
              <w:top w:val="nil"/>
              <w:left w:val="nil"/>
              <w:bottom w:val="nil"/>
              <w:right w:val="nil"/>
            </w:tcBorders>
            <w:shd w:val="clear" w:color="auto" w:fill="auto"/>
            <w:noWrap/>
            <w:hideMark/>
          </w:tcPr>
          <w:p w14:paraId="69CC32CF" w14:textId="77777777" w:rsidR="006278AE" w:rsidRPr="00965341" w:rsidRDefault="006278AE" w:rsidP="006278AE">
            <w:pPr>
              <w:jc w:val="right"/>
              <w:rPr>
                <w:sz w:val="14"/>
                <w:szCs w:val="14"/>
                <w:lang w:val="en-US" w:eastAsia="en-US"/>
              </w:rPr>
            </w:pPr>
            <w:r w:rsidRPr="00965341">
              <w:rPr>
                <w:sz w:val="14"/>
                <w:szCs w:val="14"/>
                <w:lang w:val="en-US" w:eastAsia="en-US"/>
              </w:rPr>
              <w:t>14.32</w:t>
            </w:r>
          </w:p>
        </w:tc>
        <w:tc>
          <w:tcPr>
            <w:tcW w:w="839" w:type="dxa"/>
            <w:gridSpan w:val="2"/>
            <w:tcBorders>
              <w:top w:val="nil"/>
              <w:left w:val="nil"/>
              <w:bottom w:val="nil"/>
              <w:right w:val="nil"/>
            </w:tcBorders>
            <w:shd w:val="clear" w:color="auto" w:fill="auto"/>
            <w:noWrap/>
            <w:hideMark/>
          </w:tcPr>
          <w:p w14:paraId="59C62E34" w14:textId="77777777" w:rsidR="006278AE" w:rsidRPr="00965341" w:rsidRDefault="006278AE" w:rsidP="006278AE">
            <w:pPr>
              <w:jc w:val="right"/>
              <w:rPr>
                <w:sz w:val="14"/>
                <w:szCs w:val="14"/>
                <w:lang w:val="en-US" w:eastAsia="en-US"/>
              </w:rPr>
            </w:pPr>
            <w:r w:rsidRPr="00965341">
              <w:rPr>
                <w:sz w:val="14"/>
                <w:szCs w:val="14"/>
                <w:lang w:val="en-US" w:eastAsia="en-US"/>
              </w:rPr>
              <w:t>45</w:t>
            </w:r>
          </w:p>
        </w:tc>
        <w:tc>
          <w:tcPr>
            <w:tcW w:w="884" w:type="dxa"/>
            <w:gridSpan w:val="2"/>
            <w:tcBorders>
              <w:top w:val="nil"/>
              <w:left w:val="nil"/>
              <w:bottom w:val="nil"/>
              <w:right w:val="nil"/>
            </w:tcBorders>
            <w:shd w:val="clear" w:color="auto" w:fill="auto"/>
            <w:noWrap/>
            <w:hideMark/>
          </w:tcPr>
          <w:p w14:paraId="22E75629" w14:textId="2E35E3EF" w:rsidR="006278AE" w:rsidRPr="00965341" w:rsidRDefault="006278AE" w:rsidP="006278AE">
            <w:pPr>
              <w:jc w:val="right"/>
              <w:rPr>
                <w:sz w:val="14"/>
                <w:szCs w:val="14"/>
                <w:lang w:val="en-US" w:eastAsia="en-US"/>
              </w:rPr>
            </w:pPr>
            <w:r w:rsidRPr="006278AE">
              <w:rPr>
                <w:sz w:val="14"/>
                <w:szCs w:val="14"/>
                <w:lang w:val="en-US" w:eastAsia="en-US"/>
              </w:rPr>
              <w:t>644</w:t>
            </w:r>
          </w:p>
        </w:tc>
        <w:tc>
          <w:tcPr>
            <w:tcW w:w="653" w:type="dxa"/>
            <w:gridSpan w:val="2"/>
            <w:tcBorders>
              <w:top w:val="nil"/>
              <w:left w:val="nil"/>
              <w:bottom w:val="nil"/>
              <w:right w:val="nil"/>
            </w:tcBorders>
            <w:shd w:val="clear" w:color="auto" w:fill="auto"/>
            <w:noWrap/>
            <w:hideMark/>
          </w:tcPr>
          <w:p w14:paraId="1FE1317F" w14:textId="77777777" w:rsidR="006278AE" w:rsidRPr="00965341" w:rsidRDefault="006278AE" w:rsidP="006278AE">
            <w:pPr>
              <w:jc w:val="right"/>
              <w:rPr>
                <w:sz w:val="14"/>
                <w:szCs w:val="14"/>
                <w:lang w:val="en-US" w:eastAsia="en-US"/>
              </w:rPr>
            </w:pPr>
            <w:r w:rsidRPr="00965341">
              <w:rPr>
                <w:sz w:val="14"/>
                <w:szCs w:val="14"/>
                <w:lang w:val="en-US" w:eastAsia="en-US"/>
              </w:rPr>
              <w:t>2.76</w:t>
            </w:r>
          </w:p>
        </w:tc>
        <w:tc>
          <w:tcPr>
            <w:tcW w:w="653" w:type="dxa"/>
            <w:gridSpan w:val="2"/>
            <w:tcBorders>
              <w:top w:val="nil"/>
              <w:left w:val="nil"/>
              <w:bottom w:val="nil"/>
              <w:right w:val="nil"/>
            </w:tcBorders>
            <w:shd w:val="clear" w:color="auto" w:fill="auto"/>
            <w:noWrap/>
            <w:hideMark/>
          </w:tcPr>
          <w:p w14:paraId="1D349D5F"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53" w:type="dxa"/>
            <w:gridSpan w:val="2"/>
            <w:tcBorders>
              <w:top w:val="nil"/>
              <w:left w:val="nil"/>
              <w:bottom w:val="nil"/>
              <w:right w:val="nil"/>
            </w:tcBorders>
            <w:shd w:val="clear" w:color="auto" w:fill="auto"/>
            <w:noWrap/>
            <w:hideMark/>
          </w:tcPr>
          <w:p w14:paraId="0685FCE3"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91" w:type="dxa"/>
            <w:gridSpan w:val="2"/>
            <w:tcBorders>
              <w:top w:val="nil"/>
              <w:left w:val="nil"/>
              <w:bottom w:val="nil"/>
              <w:right w:val="nil"/>
            </w:tcBorders>
            <w:shd w:val="clear" w:color="auto" w:fill="auto"/>
            <w:noWrap/>
            <w:hideMark/>
          </w:tcPr>
          <w:p w14:paraId="5D434CDB" w14:textId="77777777" w:rsidR="006278AE" w:rsidRPr="00965341" w:rsidRDefault="006278AE" w:rsidP="006278AE">
            <w:pPr>
              <w:jc w:val="right"/>
              <w:rPr>
                <w:sz w:val="14"/>
                <w:szCs w:val="14"/>
                <w:lang w:val="en-US" w:eastAsia="en-US"/>
              </w:rPr>
            </w:pPr>
            <w:r w:rsidRPr="00965341">
              <w:rPr>
                <w:sz w:val="14"/>
                <w:szCs w:val="14"/>
                <w:lang w:val="en-US" w:eastAsia="en-US"/>
              </w:rPr>
              <w:t>******</w:t>
            </w:r>
          </w:p>
        </w:tc>
        <w:tc>
          <w:tcPr>
            <w:tcW w:w="691" w:type="dxa"/>
            <w:gridSpan w:val="2"/>
            <w:tcBorders>
              <w:top w:val="nil"/>
              <w:left w:val="nil"/>
              <w:bottom w:val="nil"/>
              <w:right w:val="nil"/>
            </w:tcBorders>
            <w:shd w:val="clear" w:color="auto" w:fill="auto"/>
            <w:noWrap/>
            <w:hideMark/>
          </w:tcPr>
          <w:p w14:paraId="79E856D4" w14:textId="77777777" w:rsidR="006278AE" w:rsidRPr="00965341" w:rsidRDefault="006278AE" w:rsidP="006278AE">
            <w:pPr>
              <w:jc w:val="right"/>
              <w:rPr>
                <w:sz w:val="14"/>
                <w:szCs w:val="14"/>
                <w:lang w:val="en-US" w:eastAsia="en-US"/>
              </w:rPr>
            </w:pPr>
            <w:r w:rsidRPr="00965341">
              <w:rPr>
                <w:sz w:val="14"/>
                <w:szCs w:val="14"/>
                <w:lang w:val="en-US" w:eastAsia="en-US"/>
              </w:rPr>
              <w:t>******</w:t>
            </w:r>
          </w:p>
        </w:tc>
        <w:tc>
          <w:tcPr>
            <w:tcW w:w="839" w:type="dxa"/>
            <w:gridSpan w:val="2"/>
            <w:tcBorders>
              <w:top w:val="nil"/>
              <w:left w:val="nil"/>
              <w:bottom w:val="nil"/>
              <w:right w:val="nil"/>
            </w:tcBorders>
            <w:shd w:val="clear" w:color="auto" w:fill="auto"/>
            <w:noWrap/>
            <w:hideMark/>
          </w:tcPr>
          <w:p w14:paraId="61580B15" w14:textId="77777777" w:rsidR="006278AE" w:rsidRPr="00965341" w:rsidRDefault="006278AE" w:rsidP="006278AE">
            <w:pPr>
              <w:jc w:val="right"/>
              <w:rPr>
                <w:sz w:val="14"/>
                <w:szCs w:val="14"/>
                <w:lang w:val="en-US" w:eastAsia="en-US"/>
              </w:rPr>
            </w:pPr>
            <w:r w:rsidRPr="00965341">
              <w:rPr>
                <w:sz w:val="14"/>
                <w:szCs w:val="14"/>
                <w:lang w:val="en-US" w:eastAsia="en-US"/>
              </w:rPr>
              <w:t>1,430</w:t>
            </w:r>
          </w:p>
        </w:tc>
      </w:tr>
      <w:tr w:rsidR="006278AE" w:rsidRPr="00965341" w14:paraId="5DE4AD22" w14:textId="77777777" w:rsidTr="00A23161">
        <w:trPr>
          <w:gridAfter w:val="1"/>
          <w:wAfter w:w="34" w:type="dxa"/>
          <w:trHeight w:hRule="exact" w:val="284"/>
        </w:trPr>
        <w:tc>
          <w:tcPr>
            <w:tcW w:w="709" w:type="dxa"/>
            <w:tcBorders>
              <w:top w:val="nil"/>
              <w:left w:val="nil"/>
              <w:bottom w:val="nil"/>
              <w:right w:val="nil"/>
            </w:tcBorders>
            <w:shd w:val="clear" w:color="auto" w:fill="auto"/>
            <w:noWrap/>
            <w:hideMark/>
          </w:tcPr>
          <w:p w14:paraId="77F8DA5C" w14:textId="7E77B01F" w:rsidR="006278AE" w:rsidRPr="00965341" w:rsidRDefault="006278AE" w:rsidP="006278AE">
            <w:pPr>
              <w:jc w:val="center"/>
              <w:rPr>
                <w:sz w:val="14"/>
                <w:szCs w:val="14"/>
                <w:lang w:val="en-US" w:eastAsia="en-US"/>
              </w:rPr>
            </w:pPr>
            <w:r w:rsidRPr="00965341">
              <w:rPr>
                <w:sz w:val="14"/>
                <w:szCs w:val="14"/>
                <w:lang w:val="en-US" w:eastAsia="en-US"/>
              </w:rPr>
              <w:t>Yes</w:t>
            </w:r>
          </w:p>
        </w:tc>
        <w:tc>
          <w:tcPr>
            <w:tcW w:w="691" w:type="dxa"/>
            <w:tcBorders>
              <w:top w:val="nil"/>
              <w:left w:val="nil"/>
              <w:bottom w:val="nil"/>
              <w:right w:val="nil"/>
            </w:tcBorders>
            <w:shd w:val="clear" w:color="auto" w:fill="auto"/>
            <w:noWrap/>
            <w:hideMark/>
          </w:tcPr>
          <w:p w14:paraId="20DDF0FD" w14:textId="77777777" w:rsidR="006278AE" w:rsidRPr="00965341" w:rsidRDefault="006278AE" w:rsidP="006278AE">
            <w:pPr>
              <w:jc w:val="center"/>
              <w:rPr>
                <w:sz w:val="14"/>
                <w:szCs w:val="14"/>
                <w:lang w:val="en-US" w:eastAsia="en-US"/>
              </w:rPr>
            </w:pPr>
            <w:r w:rsidRPr="00965341">
              <w:rPr>
                <w:sz w:val="14"/>
                <w:szCs w:val="14"/>
                <w:lang w:val="en-US" w:eastAsia="en-US"/>
              </w:rPr>
              <w:t>8</w:t>
            </w:r>
          </w:p>
        </w:tc>
        <w:tc>
          <w:tcPr>
            <w:tcW w:w="600" w:type="dxa"/>
            <w:tcBorders>
              <w:top w:val="nil"/>
              <w:left w:val="nil"/>
              <w:bottom w:val="nil"/>
              <w:right w:val="nil"/>
            </w:tcBorders>
            <w:shd w:val="clear" w:color="auto" w:fill="auto"/>
            <w:noWrap/>
            <w:hideMark/>
          </w:tcPr>
          <w:p w14:paraId="7D72CD3C" w14:textId="77777777" w:rsidR="006278AE" w:rsidRPr="00965341" w:rsidRDefault="006278AE" w:rsidP="006278AE">
            <w:pPr>
              <w:rPr>
                <w:sz w:val="14"/>
                <w:szCs w:val="14"/>
                <w:lang w:val="en-US" w:eastAsia="en-US"/>
              </w:rPr>
            </w:pPr>
            <w:r w:rsidRPr="00965341">
              <w:rPr>
                <w:sz w:val="14"/>
                <w:szCs w:val="14"/>
                <w:lang w:val="en-US" w:eastAsia="en-US"/>
              </w:rPr>
              <w:t>A06B</w:t>
            </w:r>
          </w:p>
        </w:tc>
        <w:tc>
          <w:tcPr>
            <w:tcW w:w="4637" w:type="dxa"/>
            <w:tcBorders>
              <w:top w:val="nil"/>
              <w:left w:val="nil"/>
              <w:bottom w:val="nil"/>
              <w:right w:val="nil"/>
            </w:tcBorders>
            <w:shd w:val="clear" w:color="auto" w:fill="auto"/>
            <w:noWrap/>
            <w:hideMark/>
          </w:tcPr>
          <w:p w14:paraId="383860E5" w14:textId="038A69B1" w:rsidR="006278AE" w:rsidRPr="00965341" w:rsidRDefault="006278AE" w:rsidP="006278AE">
            <w:pPr>
              <w:rPr>
                <w:sz w:val="14"/>
                <w:szCs w:val="14"/>
                <w:lang w:val="en-US" w:eastAsia="en-US"/>
              </w:rPr>
            </w:pPr>
            <w:r w:rsidRPr="00965341">
              <w:rPr>
                <w:sz w:val="14"/>
                <w:szCs w:val="14"/>
                <w:lang w:val="en-US" w:eastAsia="en-US"/>
              </w:rPr>
              <w:t>Tracheostomy and/or Ventilation &gt;=96hours, Intermediate Complexity</w:t>
            </w:r>
          </w:p>
        </w:tc>
        <w:tc>
          <w:tcPr>
            <w:tcW w:w="962" w:type="dxa"/>
            <w:gridSpan w:val="3"/>
            <w:tcBorders>
              <w:top w:val="nil"/>
              <w:left w:val="nil"/>
              <w:bottom w:val="nil"/>
              <w:right w:val="nil"/>
            </w:tcBorders>
            <w:shd w:val="clear" w:color="auto" w:fill="auto"/>
            <w:noWrap/>
            <w:hideMark/>
          </w:tcPr>
          <w:p w14:paraId="65EA12D2" w14:textId="77777777" w:rsidR="006278AE" w:rsidRPr="00965341" w:rsidRDefault="006278AE" w:rsidP="006278AE">
            <w:pPr>
              <w:jc w:val="right"/>
              <w:rPr>
                <w:b/>
                <w:sz w:val="14"/>
                <w:szCs w:val="14"/>
                <w:lang w:val="en-US" w:eastAsia="en-US"/>
              </w:rPr>
            </w:pPr>
            <w:r w:rsidRPr="00965341">
              <w:rPr>
                <w:b/>
                <w:sz w:val="14"/>
                <w:szCs w:val="14"/>
                <w:lang w:val="en-US" w:eastAsia="en-US"/>
              </w:rPr>
              <w:t>31.4</w:t>
            </w:r>
          </w:p>
        </w:tc>
        <w:tc>
          <w:tcPr>
            <w:tcW w:w="500" w:type="dxa"/>
            <w:tcBorders>
              <w:top w:val="nil"/>
              <w:left w:val="nil"/>
              <w:bottom w:val="nil"/>
              <w:right w:val="nil"/>
            </w:tcBorders>
            <w:shd w:val="clear" w:color="auto" w:fill="auto"/>
            <w:noWrap/>
            <w:hideMark/>
          </w:tcPr>
          <w:p w14:paraId="5FE0F620" w14:textId="77777777" w:rsidR="006278AE" w:rsidRPr="00965341" w:rsidRDefault="006278AE" w:rsidP="006278AE">
            <w:pPr>
              <w:jc w:val="right"/>
              <w:rPr>
                <w:sz w:val="14"/>
                <w:szCs w:val="14"/>
                <w:lang w:val="en-US" w:eastAsia="en-US"/>
              </w:rPr>
            </w:pPr>
            <w:r w:rsidRPr="00965341">
              <w:rPr>
                <w:sz w:val="14"/>
                <w:szCs w:val="14"/>
                <w:lang w:val="en-US" w:eastAsia="en-US"/>
              </w:rPr>
              <w:t>4</w:t>
            </w:r>
          </w:p>
        </w:tc>
        <w:tc>
          <w:tcPr>
            <w:tcW w:w="653" w:type="dxa"/>
            <w:gridSpan w:val="2"/>
            <w:tcBorders>
              <w:top w:val="nil"/>
              <w:left w:val="nil"/>
              <w:bottom w:val="nil"/>
              <w:right w:val="nil"/>
            </w:tcBorders>
            <w:shd w:val="clear" w:color="auto" w:fill="auto"/>
            <w:noWrap/>
            <w:hideMark/>
          </w:tcPr>
          <w:p w14:paraId="544F22C8" w14:textId="77777777" w:rsidR="006278AE" w:rsidRPr="00965341" w:rsidRDefault="006278AE" w:rsidP="006278AE">
            <w:pPr>
              <w:jc w:val="right"/>
              <w:rPr>
                <w:sz w:val="14"/>
                <w:szCs w:val="14"/>
                <w:lang w:val="en-US" w:eastAsia="en-US"/>
              </w:rPr>
            </w:pPr>
            <w:r w:rsidRPr="00965341">
              <w:rPr>
                <w:sz w:val="14"/>
                <w:szCs w:val="14"/>
                <w:lang w:val="en-US" w:eastAsia="en-US"/>
              </w:rPr>
              <w:t>108</w:t>
            </w:r>
          </w:p>
        </w:tc>
        <w:tc>
          <w:tcPr>
            <w:tcW w:w="691" w:type="dxa"/>
            <w:gridSpan w:val="2"/>
            <w:tcBorders>
              <w:top w:val="nil"/>
              <w:left w:val="nil"/>
              <w:bottom w:val="nil"/>
              <w:right w:val="nil"/>
            </w:tcBorders>
            <w:shd w:val="clear" w:color="auto" w:fill="auto"/>
            <w:noWrap/>
            <w:hideMark/>
          </w:tcPr>
          <w:p w14:paraId="7AF647D7" w14:textId="77777777" w:rsidR="006278AE" w:rsidRPr="00965341" w:rsidRDefault="006278AE" w:rsidP="006278AE">
            <w:pPr>
              <w:jc w:val="right"/>
              <w:rPr>
                <w:sz w:val="14"/>
                <w:szCs w:val="14"/>
                <w:lang w:val="en-US" w:eastAsia="en-US"/>
              </w:rPr>
            </w:pPr>
            <w:r w:rsidRPr="00965341">
              <w:rPr>
                <w:sz w:val="14"/>
                <w:szCs w:val="14"/>
                <w:lang w:val="en-US" w:eastAsia="en-US"/>
              </w:rPr>
              <w:t>24.44</w:t>
            </w:r>
          </w:p>
        </w:tc>
        <w:tc>
          <w:tcPr>
            <w:tcW w:w="839" w:type="dxa"/>
            <w:gridSpan w:val="2"/>
            <w:tcBorders>
              <w:top w:val="nil"/>
              <w:left w:val="nil"/>
              <w:bottom w:val="nil"/>
              <w:right w:val="nil"/>
            </w:tcBorders>
            <w:shd w:val="clear" w:color="auto" w:fill="auto"/>
            <w:noWrap/>
            <w:hideMark/>
          </w:tcPr>
          <w:p w14:paraId="552F069B" w14:textId="77777777" w:rsidR="006278AE" w:rsidRPr="00965341" w:rsidRDefault="006278AE" w:rsidP="006278AE">
            <w:pPr>
              <w:jc w:val="right"/>
              <w:rPr>
                <w:sz w:val="14"/>
                <w:szCs w:val="14"/>
                <w:lang w:val="en-US" w:eastAsia="en-US"/>
              </w:rPr>
            </w:pPr>
            <w:r w:rsidRPr="00965341">
              <w:rPr>
                <w:sz w:val="14"/>
                <w:szCs w:val="14"/>
                <w:lang w:val="en-US" w:eastAsia="en-US"/>
              </w:rPr>
              <w:t>532</w:t>
            </w:r>
          </w:p>
        </w:tc>
        <w:tc>
          <w:tcPr>
            <w:tcW w:w="884" w:type="dxa"/>
            <w:gridSpan w:val="2"/>
            <w:tcBorders>
              <w:top w:val="nil"/>
              <w:left w:val="nil"/>
              <w:bottom w:val="nil"/>
              <w:right w:val="nil"/>
            </w:tcBorders>
            <w:shd w:val="clear" w:color="auto" w:fill="auto"/>
            <w:noWrap/>
            <w:hideMark/>
          </w:tcPr>
          <w:p w14:paraId="081D39C2" w14:textId="64761287" w:rsidR="006278AE" w:rsidRPr="00965341" w:rsidRDefault="006278AE" w:rsidP="006278AE">
            <w:pPr>
              <w:jc w:val="right"/>
              <w:rPr>
                <w:sz w:val="14"/>
                <w:szCs w:val="14"/>
                <w:lang w:val="en-US" w:eastAsia="en-US"/>
              </w:rPr>
            </w:pPr>
            <w:r w:rsidRPr="006278AE">
              <w:rPr>
                <w:sz w:val="14"/>
                <w:szCs w:val="14"/>
                <w:lang w:val="en-US" w:eastAsia="en-US"/>
              </w:rPr>
              <w:t>13,002</w:t>
            </w:r>
          </w:p>
        </w:tc>
        <w:tc>
          <w:tcPr>
            <w:tcW w:w="653" w:type="dxa"/>
            <w:gridSpan w:val="2"/>
            <w:tcBorders>
              <w:top w:val="nil"/>
              <w:left w:val="nil"/>
              <w:bottom w:val="nil"/>
              <w:right w:val="nil"/>
            </w:tcBorders>
            <w:shd w:val="clear" w:color="auto" w:fill="auto"/>
            <w:noWrap/>
            <w:hideMark/>
          </w:tcPr>
          <w:p w14:paraId="643D8BF6" w14:textId="77777777" w:rsidR="006278AE" w:rsidRPr="00965341" w:rsidRDefault="006278AE" w:rsidP="006278AE">
            <w:pPr>
              <w:jc w:val="right"/>
              <w:rPr>
                <w:sz w:val="14"/>
                <w:szCs w:val="14"/>
                <w:lang w:val="en-US" w:eastAsia="en-US"/>
              </w:rPr>
            </w:pPr>
            <w:r w:rsidRPr="00965341">
              <w:rPr>
                <w:sz w:val="14"/>
                <w:szCs w:val="14"/>
                <w:lang w:val="en-US" w:eastAsia="en-US"/>
              </w:rPr>
              <w:t>0.79</w:t>
            </w:r>
          </w:p>
        </w:tc>
        <w:tc>
          <w:tcPr>
            <w:tcW w:w="653" w:type="dxa"/>
            <w:gridSpan w:val="2"/>
            <w:tcBorders>
              <w:top w:val="nil"/>
              <w:left w:val="nil"/>
              <w:bottom w:val="nil"/>
              <w:right w:val="nil"/>
            </w:tcBorders>
            <w:shd w:val="clear" w:color="auto" w:fill="auto"/>
            <w:noWrap/>
            <w:hideMark/>
          </w:tcPr>
          <w:p w14:paraId="282F36F5"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53" w:type="dxa"/>
            <w:gridSpan w:val="2"/>
            <w:tcBorders>
              <w:top w:val="nil"/>
              <w:left w:val="nil"/>
              <w:bottom w:val="nil"/>
              <w:right w:val="nil"/>
            </w:tcBorders>
            <w:shd w:val="clear" w:color="auto" w:fill="auto"/>
            <w:noWrap/>
            <w:hideMark/>
          </w:tcPr>
          <w:p w14:paraId="365C1FA2" w14:textId="77777777" w:rsidR="006278AE" w:rsidRPr="00965341" w:rsidRDefault="006278AE" w:rsidP="006278AE">
            <w:pPr>
              <w:jc w:val="right"/>
              <w:rPr>
                <w:sz w:val="14"/>
                <w:szCs w:val="14"/>
                <w:lang w:val="en-US" w:eastAsia="en-US"/>
              </w:rPr>
            </w:pPr>
            <w:r w:rsidRPr="00965341">
              <w:rPr>
                <w:sz w:val="14"/>
                <w:szCs w:val="14"/>
                <w:lang w:val="en-US" w:eastAsia="en-US"/>
              </w:rPr>
              <w:t>0.4%</w:t>
            </w:r>
          </w:p>
        </w:tc>
        <w:tc>
          <w:tcPr>
            <w:tcW w:w="691" w:type="dxa"/>
            <w:gridSpan w:val="2"/>
            <w:tcBorders>
              <w:top w:val="nil"/>
              <w:left w:val="nil"/>
              <w:bottom w:val="nil"/>
              <w:right w:val="nil"/>
            </w:tcBorders>
            <w:shd w:val="clear" w:color="auto" w:fill="auto"/>
            <w:noWrap/>
            <w:hideMark/>
          </w:tcPr>
          <w:p w14:paraId="07366066" w14:textId="77777777" w:rsidR="006278AE" w:rsidRPr="00965341" w:rsidRDefault="006278AE" w:rsidP="006278AE">
            <w:pPr>
              <w:jc w:val="right"/>
              <w:rPr>
                <w:sz w:val="14"/>
                <w:szCs w:val="14"/>
                <w:lang w:val="en-US" w:eastAsia="en-US"/>
              </w:rPr>
            </w:pPr>
            <w:r w:rsidRPr="00965341">
              <w:rPr>
                <w:sz w:val="14"/>
                <w:szCs w:val="14"/>
                <w:lang w:val="en-US" w:eastAsia="en-US"/>
              </w:rPr>
              <w:t>35.6</w:t>
            </w:r>
          </w:p>
        </w:tc>
        <w:tc>
          <w:tcPr>
            <w:tcW w:w="691" w:type="dxa"/>
            <w:gridSpan w:val="2"/>
            <w:tcBorders>
              <w:top w:val="nil"/>
              <w:left w:val="nil"/>
              <w:bottom w:val="nil"/>
              <w:right w:val="nil"/>
            </w:tcBorders>
            <w:shd w:val="clear" w:color="auto" w:fill="auto"/>
            <w:noWrap/>
            <w:hideMark/>
          </w:tcPr>
          <w:p w14:paraId="4C1CD4AA" w14:textId="77777777" w:rsidR="006278AE" w:rsidRPr="00965341" w:rsidRDefault="006278AE" w:rsidP="006278AE">
            <w:pPr>
              <w:jc w:val="right"/>
              <w:rPr>
                <w:sz w:val="14"/>
                <w:szCs w:val="14"/>
                <w:lang w:val="en-US" w:eastAsia="en-US"/>
              </w:rPr>
            </w:pPr>
            <w:r w:rsidRPr="00965341">
              <w:rPr>
                <w:sz w:val="14"/>
                <w:szCs w:val="14"/>
                <w:lang w:val="en-US" w:eastAsia="en-US"/>
              </w:rPr>
              <w:t xml:space="preserve">6 </w:t>
            </w:r>
          </w:p>
        </w:tc>
        <w:tc>
          <w:tcPr>
            <w:tcW w:w="839" w:type="dxa"/>
            <w:gridSpan w:val="2"/>
            <w:tcBorders>
              <w:top w:val="nil"/>
              <w:left w:val="nil"/>
              <w:bottom w:val="nil"/>
              <w:right w:val="nil"/>
            </w:tcBorders>
            <w:shd w:val="clear" w:color="auto" w:fill="auto"/>
            <w:noWrap/>
            <w:hideMark/>
          </w:tcPr>
          <w:p w14:paraId="09174CA9" w14:textId="77777777" w:rsidR="006278AE" w:rsidRPr="00965341" w:rsidRDefault="006278AE" w:rsidP="006278AE">
            <w:pPr>
              <w:jc w:val="right"/>
              <w:rPr>
                <w:sz w:val="14"/>
                <w:szCs w:val="14"/>
                <w:lang w:val="en-US" w:eastAsia="en-US"/>
              </w:rPr>
            </w:pPr>
            <w:r w:rsidRPr="00965341">
              <w:rPr>
                <w:sz w:val="14"/>
                <w:szCs w:val="14"/>
                <w:lang w:val="en-US" w:eastAsia="en-US"/>
              </w:rPr>
              <w:t>16,718</w:t>
            </w:r>
          </w:p>
        </w:tc>
      </w:tr>
      <w:tr w:rsidR="006278AE" w:rsidRPr="00965341" w14:paraId="510BC86B" w14:textId="77777777" w:rsidTr="00A23161">
        <w:trPr>
          <w:gridAfter w:val="1"/>
          <w:wAfter w:w="34" w:type="dxa"/>
          <w:trHeight w:hRule="exact" w:val="284"/>
        </w:trPr>
        <w:tc>
          <w:tcPr>
            <w:tcW w:w="709" w:type="dxa"/>
            <w:tcBorders>
              <w:top w:val="nil"/>
              <w:left w:val="nil"/>
              <w:bottom w:val="nil"/>
              <w:right w:val="nil"/>
            </w:tcBorders>
            <w:shd w:val="clear" w:color="auto" w:fill="auto"/>
            <w:noWrap/>
            <w:hideMark/>
          </w:tcPr>
          <w:p w14:paraId="28D2E4F8" w14:textId="77777777" w:rsidR="006278AE" w:rsidRPr="00965341" w:rsidRDefault="006278AE" w:rsidP="006278AE">
            <w:pPr>
              <w:jc w:val="center"/>
              <w:rPr>
                <w:sz w:val="14"/>
                <w:szCs w:val="14"/>
                <w:lang w:val="en-US" w:eastAsia="en-US"/>
              </w:rPr>
            </w:pPr>
            <w:r w:rsidRPr="00965341">
              <w:rPr>
                <w:sz w:val="14"/>
                <w:szCs w:val="14"/>
                <w:lang w:val="en-US" w:eastAsia="en-US"/>
              </w:rPr>
              <w:t>Yes</w:t>
            </w:r>
          </w:p>
        </w:tc>
        <w:tc>
          <w:tcPr>
            <w:tcW w:w="691" w:type="dxa"/>
            <w:tcBorders>
              <w:top w:val="nil"/>
              <w:left w:val="nil"/>
              <w:bottom w:val="nil"/>
              <w:right w:val="nil"/>
            </w:tcBorders>
            <w:shd w:val="clear" w:color="auto" w:fill="auto"/>
            <w:noWrap/>
            <w:hideMark/>
          </w:tcPr>
          <w:p w14:paraId="3DA6BBFC" w14:textId="77777777" w:rsidR="006278AE" w:rsidRPr="00965341" w:rsidRDefault="006278AE" w:rsidP="006278AE">
            <w:pPr>
              <w:jc w:val="center"/>
              <w:rPr>
                <w:sz w:val="14"/>
                <w:szCs w:val="14"/>
                <w:lang w:val="en-US" w:eastAsia="en-US"/>
              </w:rPr>
            </w:pPr>
            <w:r w:rsidRPr="00965341">
              <w:rPr>
                <w:sz w:val="14"/>
                <w:szCs w:val="14"/>
                <w:lang w:val="en-US" w:eastAsia="en-US"/>
              </w:rPr>
              <w:t>9</w:t>
            </w:r>
          </w:p>
        </w:tc>
        <w:tc>
          <w:tcPr>
            <w:tcW w:w="600" w:type="dxa"/>
            <w:tcBorders>
              <w:top w:val="nil"/>
              <w:left w:val="nil"/>
              <w:bottom w:val="nil"/>
              <w:right w:val="nil"/>
            </w:tcBorders>
            <w:shd w:val="clear" w:color="auto" w:fill="auto"/>
            <w:noWrap/>
            <w:hideMark/>
          </w:tcPr>
          <w:p w14:paraId="40868DBC" w14:textId="77777777" w:rsidR="006278AE" w:rsidRPr="00965341" w:rsidRDefault="006278AE" w:rsidP="006278AE">
            <w:pPr>
              <w:rPr>
                <w:sz w:val="14"/>
                <w:szCs w:val="14"/>
                <w:lang w:val="en-US" w:eastAsia="en-US"/>
              </w:rPr>
            </w:pPr>
            <w:r w:rsidRPr="00965341">
              <w:rPr>
                <w:sz w:val="14"/>
                <w:szCs w:val="14"/>
                <w:lang w:val="en-US" w:eastAsia="en-US"/>
              </w:rPr>
              <w:t>P65A</w:t>
            </w:r>
          </w:p>
        </w:tc>
        <w:tc>
          <w:tcPr>
            <w:tcW w:w="4637" w:type="dxa"/>
            <w:tcBorders>
              <w:top w:val="nil"/>
              <w:left w:val="nil"/>
              <w:bottom w:val="nil"/>
              <w:right w:val="nil"/>
            </w:tcBorders>
            <w:shd w:val="clear" w:color="auto" w:fill="auto"/>
            <w:noWrap/>
            <w:hideMark/>
          </w:tcPr>
          <w:p w14:paraId="04F84150" w14:textId="77777777" w:rsidR="006278AE" w:rsidRPr="00965341" w:rsidRDefault="006278AE" w:rsidP="006278AE">
            <w:pPr>
              <w:rPr>
                <w:sz w:val="14"/>
                <w:szCs w:val="14"/>
                <w:lang w:val="en-US" w:eastAsia="en-US"/>
              </w:rPr>
            </w:pPr>
            <w:r w:rsidRPr="00965341">
              <w:rPr>
                <w:sz w:val="14"/>
                <w:szCs w:val="14"/>
                <w:lang w:val="en-US" w:eastAsia="en-US"/>
              </w:rPr>
              <w:t xml:space="preserve">Neonate, </w:t>
            </w:r>
            <w:proofErr w:type="spellStart"/>
            <w:r w:rsidRPr="00965341">
              <w:rPr>
                <w:sz w:val="14"/>
                <w:szCs w:val="14"/>
                <w:lang w:val="en-US" w:eastAsia="en-US"/>
              </w:rPr>
              <w:t>AdmWt</w:t>
            </w:r>
            <w:proofErr w:type="spellEnd"/>
            <w:r w:rsidRPr="00965341">
              <w:rPr>
                <w:sz w:val="14"/>
                <w:szCs w:val="14"/>
                <w:lang w:val="en-US" w:eastAsia="en-US"/>
              </w:rPr>
              <w:t xml:space="preserve"> 1500-1999g W/O Significant OR Proc/Vent&gt;=96hrs, Extreme Comp</w:t>
            </w:r>
          </w:p>
        </w:tc>
        <w:tc>
          <w:tcPr>
            <w:tcW w:w="962" w:type="dxa"/>
            <w:gridSpan w:val="3"/>
            <w:tcBorders>
              <w:top w:val="nil"/>
              <w:left w:val="nil"/>
              <w:bottom w:val="nil"/>
              <w:right w:val="nil"/>
            </w:tcBorders>
            <w:shd w:val="clear" w:color="auto" w:fill="auto"/>
            <w:noWrap/>
            <w:hideMark/>
          </w:tcPr>
          <w:p w14:paraId="42EE4FA3" w14:textId="77777777" w:rsidR="006278AE" w:rsidRPr="00965341" w:rsidRDefault="006278AE" w:rsidP="006278AE">
            <w:pPr>
              <w:jc w:val="right"/>
              <w:rPr>
                <w:b/>
                <w:sz w:val="14"/>
                <w:szCs w:val="14"/>
                <w:lang w:val="en-US" w:eastAsia="en-US"/>
              </w:rPr>
            </w:pPr>
            <w:r w:rsidRPr="00965341">
              <w:rPr>
                <w:b/>
                <w:sz w:val="14"/>
                <w:szCs w:val="14"/>
                <w:lang w:val="en-US" w:eastAsia="en-US"/>
              </w:rPr>
              <w:t>31.3</w:t>
            </w:r>
          </w:p>
        </w:tc>
        <w:tc>
          <w:tcPr>
            <w:tcW w:w="500" w:type="dxa"/>
            <w:tcBorders>
              <w:top w:val="nil"/>
              <w:left w:val="nil"/>
              <w:bottom w:val="nil"/>
              <w:right w:val="nil"/>
            </w:tcBorders>
            <w:shd w:val="clear" w:color="auto" w:fill="auto"/>
            <w:noWrap/>
            <w:hideMark/>
          </w:tcPr>
          <w:p w14:paraId="4B71F52F" w14:textId="006B0D26" w:rsidR="006278AE" w:rsidRPr="00965341" w:rsidRDefault="006278AE" w:rsidP="006278AE">
            <w:pPr>
              <w:jc w:val="right"/>
              <w:rPr>
                <w:sz w:val="14"/>
                <w:szCs w:val="14"/>
                <w:lang w:val="en-US" w:eastAsia="en-US"/>
              </w:rPr>
            </w:pPr>
            <w:r w:rsidRPr="00965341">
              <w:rPr>
                <w:sz w:val="14"/>
                <w:szCs w:val="14"/>
                <w:lang w:val="en-US" w:eastAsia="en-US"/>
              </w:rPr>
              <w:t>6</w:t>
            </w:r>
          </w:p>
        </w:tc>
        <w:tc>
          <w:tcPr>
            <w:tcW w:w="653" w:type="dxa"/>
            <w:gridSpan w:val="2"/>
            <w:tcBorders>
              <w:top w:val="nil"/>
              <w:left w:val="nil"/>
              <w:bottom w:val="nil"/>
              <w:right w:val="nil"/>
            </w:tcBorders>
            <w:shd w:val="clear" w:color="auto" w:fill="auto"/>
            <w:noWrap/>
            <w:hideMark/>
          </w:tcPr>
          <w:p w14:paraId="6DD7E529" w14:textId="379B4DCC" w:rsidR="006278AE" w:rsidRPr="00965341" w:rsidRDefault="006278AE" w:rsidP="006278AE">
            <w:pPr>
              <w:jc w:val="right"/>
              <w:rPr>
                <w:sz w:val="14"/>
                <w:szCs w:val="14"/>
                <w:lang w:val="en-US" w:eastAsia="en-US"/>
              </w:rPr>
            </w:pPr>
            <w:r w:rsidRPr="00965341">
              <w:rPr>
                <w:sz w:val="14"/>
                <w:szCs w:val="14"/>
                <w:lang w:val="en-US" w:eastAsia="en-US"/>
              </w:rPr>
              <w:t>126</w:t>
            </w:r>
          </w:p>
        </w:tc>
        <w:tc>
          <w:tcPr>
            <w:tcW w:w="691" w:type="dxa"/>
            <w:gridSpan w:val="2"/>
            <w:tcBorders>
              <w:top w:val="nil"/>
              <w:left w:val="nil"/>
              <w:bottom w:val="nil"/>
              <w:right w:val="nil"/>
            </w:tcBorders>
            <w:shd w:val="clear" w:color="auto" w:fill="auto"/>
            <w:noWrap/>
            <w:hideMark/>
          </w:tcPr>
          <w:p w14:paraId="0E7F54FA" w14:textId="67214D03" w:rsidR="006278AE" w:rsidRPr="00965341" w:rsidRDefault="006278AE" w:rsidP="006278AE">
            <w:pPr>
              <w:jc w:val="right"/>
              <w:rPr>
                <w:sz w:val="14"/>
                <w:szCs w:val="14"/>
                <w:lang w:val="en-US" w:eastAsia="en-US"/>
              </w:rPr>
            </w:pPr>
            <w:r w:rsidRPr="00965341">
              <w:rPr>
                <w:sz w:val="14"/>
                <w:szCs w:val="14"/>
                <w:lang w:val="en-US" w:eastAsia="en-US"/>
              </w:rPr>
              <w:t>10.56</w:t>
            </w:r>
          </w:p>
        </w:tc>
        <w:tc>
          <w:tcPr>
            <w:tcW w:w="839" w:type="dxa"/>
            <w:gridSpan w:val="2"/>
            <w:tcBorders>
              <w:top w:val="nil"/>
              <w:left w:val="nil"/>
              <w:bottom w:val="nil"/>
              <w:right w:val="nil"/>
            </w:tcBorders>
            <w:shd w:val="clear" w:color="auto" w:fill="auto"/>
            <w:noWrap/>
            <w:hideMark/>
          </w:tcPr>
          <w:p w14:paraId="45EBB0B2" w14:textId="77777777" w:rsidR="006278AE" w:rsidRPr="00965341" w:rsidRDefault="006278AE" w:rsidP="006278AE">
            <w:pPr>
              <w:jc w:val="right"/>
              <w:rPr>
                <w:sz w:val="14"/>
                <w:szCs w:val="14"/>
                <w:lang w:val="en-US" w:eastAsia="en-US"/>
              </w:rPr>
            </w:pPr>
            <w:r w:rsidRPr="00965341">
              <w:rPr>
                <w:sz w:val="14"/>
                <w:szCs w:val="14"/>
                <w:lang w:val="en-US" w:eastAsia="en-US"/>
              </w:rPr>
              <w:t>116</w:t>
            </w:r>
          </w:p>
        </w:tc>
        <w:tc>
          <w:tcPr>
            <w:tcW w:w="884" w:type="dxa"/>
            <w:gridSpan w:val="2"/>
            <w:tcBorders>
              <w:top w:val="nil"/>
              <w:left w:val="nil"/>
              <w:bottom w:val="nil"/>
              <w:right w:val="nil"/>
            </w:tcBorders>
            <w:shd w:val="clear" w:color="auto" w:fill="auto"/>
            <w:noWrap/>
            <w:hideMark/>
          </w:tcPr>
          <w:p w14:paraId="7DE66724" w14:textId="20B1A28E" w:rsidR="006278AE" w:rsidRPr="00965341" w:rsidRDefault="006278AE" w:rsidP="006278AE">
            <w:pPr>
              <w:jc w:val="right"/>
              <w:rPr>
                <w:sz w:val="14"/>
                <w:szCs w:val="14"/>
                <w:lang w:val="en-US" w:eastAsia="en-US"/>
              </w:rPr>
            </w:pPr>
            <w:r w:rsidRPr="006278AE">
              <w:rPr>
                <w:sz w:val="14"/>
                <w:szCs w:val="14"/>
                <w:lang w:val="en-US" w:eastAsia="en-US"/>
              </w:rPr>
              <w:t>1,225</w:t>
            </w:r>
          </w:p>
        </w:tc>
        <w:tc>
          <w:tcPr>
            <w:tcW w:w="653" w:type="dxa"/>
            <w:gridSpan w:val="2"/>
            <w:tcBorders>
              <w:top w:val="nil"/>
              <w:left w:val="nil"/>
              <w:bottom w:val="nil"/>
              <w:right w:val="nil"/>
            </w:tcBorders>
            <w:shd w:val="clear" w:color="auto" w:fill="auto"/>
            <w:noWrap/>
            <w:hideMark/>
          </w:tcPr>
          <w:p w14:paraId="0B0FBF0D" w14:textId="77777777" w:rsidR="006278AE" w:rsidRPr="00965341" w:rsidRDefault="006278AE" w:rsidP="006278AE">
            <w:pPr>
              <w:jc w:val="right"/>
              <w:rPr>
                <w:sz w:val="14"/>
                <w:szCs w:val="14"/>
                <w:lang w:val="en-US" w:eastAsia="en-US"/>
              </w:rPr>
            </w:pPr>
            <w:r w:rsidRPr="00965341">
              <w:rPr>
                <w:sz w:val="14"/>
                <w:szCs w:val="14"/>
                <w:lang w:val="en-US" w:eastAsia="en-US"/>
              </w:rPr>
              <w:t>1.57</w:t>
            </w:r>
          </w:p>
        </w:tc>
        <w:tc>
          <w:tcPr>
            <w:tcW w:w="653" w:type="dxa"/>
            <w:gridSpan w:val="2"/>
            <w:tcBorders>
              <w:top w:val="nil"/>
              <w:left w:val="nil"/>
              <w:bottom w:val="nil"/>
              <w:right w:val="nil"/>
            </w:tcBorders>
            <w:shd w:val="clear" w:color="auto" w:fill="auto"/>
            <w:noWrap/>
            <w:hideMark/>
          </w:tcPr>
          <w:p w14:paraId="762109A5"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53" w:type="dxa"/>
            <w:gridSpan w:val="2"/>
            <w:tcBorders>
              <w:top w:val="nil"/>
              <w:left w:val="nil"/>
              <w:bottom w:val="nil"/>
              <w:right w:val="nil"/>
            </w:tcBorders>
            <w:shd w:val="clear" w:color="auto" w:fill="auto"/>
            <w:noWrap/>
            <w:hideMark/>
          </w:tcPr>
          <w:p w14:paraId="6C7BFA6C"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91" w:type="dxa"/>
            <w:gridSpan w:val="2"/>
            <w:tcBorders>
              <w:top w:val="nil"/>
              <w:left w:val="nil"/>
              <w:bottom w:val="nil"/>
              <w:right w:val="nil"/>
            </w:tcBorders>
            <w:shd w:val="clear" w:color="auto" w:fill="auto"/>
            <w:noWrap/>
            <w:hideMark/>
          </w:tcPr>
          <w:p w14:paraId="6B42E842" w14:textId="77777777" w:rsidR="006278AE" w:rsidRPr="00965341" w:rsidRDefault="006278AE" w:rsidP="006278AE">
            <w:pPr>
              <w:jc w:val="right"/>
              <w:rPr>
                <w:sz w:val="14"/>
                <w:szCs w:val="14"/>
                <w:lang w:val="en-US" w:eastAsia="en-US"/>
              </w:rPr>
            </w:pPr>
            <w:r w:rsidRPr="00965341">
              <w:rPr>
                <w:sz w:val="14"/>
                <w:szCs w:val="14"/>
                <w:lang w:val="en-US" w:eastAsia="en-US"/>
              </w:rPr>
              <w:t>32.1</w:t>
            </w:r>
          </w:p>
        </w:tc>
        <w:tc>
          <w:tcPr>
            <w:tcW w:w="691" w:type="dxa"/>
            <w:gridSpan w:val="2"/>
            <w:tcBorders>
              <w:top w:val="nil"/>
              <w:left w:val="nil"/>
              <w:bottom w:val="nil"/>
              <w:right w:val="nil"/>
            </w:tcBorders>
            <w:shd w:val="clear" w:color="auto" w:fill="auto"/>
            <w:noWrap/>
            <w:hideMark/>
          </w:tcPr>
          <w:p w14:paraId="00D522E4" w14:textId="77777777" w:rsidR="006278AE" w:rsidRPr="00965341" w:rsidRDefault="006278AE" w:rsidP="006278AE">
            <w:pPr>
              <w:jc w:val="right"/>
              <w:rPr>
                <w:sz w:val="14"/>
                <w:szCs w:val="14"/>
                <w:lang w:val="en-US" w:eastAsia="en-US"/>
              </w:rPr>
            </w:pPr>
            <w:r w:rsidRPr="00965341">
              <w:rPr>
                <w:sz w:val="14"/>
                <w:szCs w:val="14"/>
                <w:lang w:val="en-US" w:eastAsia="en-US"/>
              </w:rPr>
              <w:t xml:space="preserve">10 </w:t>
            </w:r>
          </w:p>
        </w:tc>
        <w:tc>
          <w:tcPr>
            <w:tcW w:w="839" w:type="dxa"/>
            <w:gridSpan w:val="2"/>
            <w:tcBorders>
              <w:top w:val="nil"/>
              <w:left w:val="nil"/>
              <w:bottom w:val="nil"/>
              <w:right w:val="nil"/>
            </w:tcBorders>
            <w:shd w:val="clear" w:color="auto" w:fill="auto"/>
            <w:noWrap/>
            <w:hideMark/>
          </w:tcPr>
          <w:p w14:paraId="0BA8427F" w14:textId="77777777" w:rsidR="006278AE" w:rsidRPr="00965341" w:rsidRDefault="006278AE" w:rsidP="006278AE">
            <w:pPr>
              <w:jc w:val="right"/>
              <w:rPr>
                <w:sz w:val="14"/>
                <w:szCs w:val="14"/>
                <w:lang w:val="en-US" w:eastAsia="en-US"/>
              </w:rPr>
            </w:pPr>
            <w:r w:rsidRPr="00965341">
              <w:rPr>
                <w:sz w:val="14"/>
                <w:szCs w:val="14"/>
                <w:lang w:val="en-US" w:eastAsia="en-US"/>
              </w:rPr>
              <w:t>3,640</w:t>
            </w:r>
          </w:p>
        </w:tc>
      </w:tr>
      <w:tr w:rsidR="006278AE" w:rsidRPr="00965341" w14:paraId="79211039" w14:textId="77777777" w:rsidTr="00A23161">
        <w:trPr>
          <w:gridAfter w:val="1"/>
          <w:wAfter w:w="34" w:type="dxa"/>
          <w:trHeight w:hRule="exact" w:val="284"/>
        </w:trPr>
        <w:tc>
          <w:tcPr>
            <w:tcW w:w="709" w:type="dxa"/>
            <w:tcBorders>
              <w:top w:val="nil"/>
              <w:left w:val="nil"/>
              <w:bottom w:val="nil"/>
              <w:right w:val="nil"/>
            </w:tcBorders>
            <w:shd w:val="clear" w:color="auto" w:fill="auto"/>
            <w:noWrap/>
            <w:hideMark/>
          </w:tcPr>
          <w:p w14:paraId="4C14A4BF" w14:textId="77777777" w:rsidR="006278AE" w:rsidRPr="00965341" w:rsidRDefault="006278AE" w:rsidP="006278AE">
            <w:pPr>
              <w:jc w:val="center"/>
              <w:rPr>
                <w:sz w:val="14"/>
                <w:szCs w:val="14"/>
                <w:lang w:val="en-US" w:eastAsia="en-US"/>
              </w:rPr>
            </w:pPr>
            <w:r w:rsidRPr="00965341">
              <w:rPr>
                <w:sz w:val="14"/>
                <w:szCs w:val="14"/>
                <w:lang w:val="en-US" w:eastAsia="en-US"/>
              </w:rPr>
              <w:t>Yes</w:t>
            </w:r>
          </w:p>
        </w:tc>
        <w:tc>
          <w:tcPr>
            <w:tcW w:w="691" w:type="dxa"/>
            <w:tcBorders>
              <w:top w:val="nil"/>
              <w:left w:val="nil"/>
              <w:bottom w:val="nil"/>
              <w:right w:val="nil"/>
            </w:tcBorders>
            <w:shd w:val="clear" w:color="auto" w:fill="auto"/>
            <w:noWrap/>
            <w:hideMark/>
          </w:tcPr>
          <w:p w14:paraId="4F011CE3" w14:textId="77777777" w:rsidR="006278AE" w:rsidRPr="00965341" w:rsidRDefault="006278AE" w:rsidP="006278AE">
            <w:pPr>
              <w:jc w:val="center"/>
              <w:rPr>
                <w:sz w:val="14"/>
                <w:szCs w:val="14"/>
                <w:lang w:val="en-US" w:eastAsia="en-US"/>
              </w:rPr>
            </w:pPr>
            <w:r w:rsidRPr="00965341">
              <w:rPr>
                <w:sz w:val="14"/>
                <w:szCs w:val="14"/>
                <w:lang w:val="en-US" w:eastAsia="en-US"/>
              </w:rPr>
              <w:t>10</w:t>
            </w:r>
          </w:p>
        </w:tc>
        <w:tc>
          <w:tcPr>
            <w:tcW w:w="600" w:type="dxa"/>
            <w:tcBorders>
              <w:top w:val="nil"/>
              <w:left w:val="nil"/>
              <w:bottom w:val="nil"/>
              <w:right w:val="nil"/>
            </w:tcBorders>
            <w:shd w:val="clear" w:color="auto" w:fill="auto"/>
            <w:noWrap/>
            <w:hideMark/>
          </w:tcPr>
          <w:p w14:paraId="78BE00B6" w14:textId="77777777" w:rsidR="006278AE" w:rsidRPr="00965341" w:rsidRDefault="006278AE" w:rsidP="006278AE">
            <w:pPr>
              <w:rPr>
                <w:sz w:val="14"/>
                <w:szCs w:val="14"/>
                <w:lang w:val="en-US" w:eastAsia="en-US"/>
              </w:rPr>
            </w:pPr>
            <w:r w:rsidRPr="00965341">
              <w:rPr>
                <w:sz w:val="14"/>
                <w:szCs w:val="14"/>
                <w:lang w:val="en-US" w:eastAsia="en-US"/>
              </w:rPr>
              <w:t>U63A</w:t>
            </w:r>
          </w:p>
        </w:tc>
        <w:tc>
          <w:tcPr>
            <w:tcW w:w="4637" w:type="dxa"/>
            <w:tcBorders>
              <w:top w:val="nil"/>
              <w:left w:val="nil"/>
              <w:bottom w:val="nil"/>
              <w:right w:val="nil"/>
            </w:tcBorders>
            <w:shd w:val="clear" w:color="auto" w:fill="auto"/>
            <w:noWrap/>
            <w:hideMark/>
          </w:tcPr>
          <w:p w14:paraId="2C2E3490" w14:textId="617BD33F" w:rsidR="006278AE" w:rsidRPr="00965341" w:rsidRDefault="006278AE" w:rsidP="006278AE">
            <w:pPr>
              <w:rPr>
                <w:sz w:val="14"/>
                <w:szCs w:val="14"/>
                <w:lang w:val="en-US" w:eastAsia="en-US"/>
              </w:rPr>
            </w:pPr>
            <w:r w:rsidRPr="00965341">
              <w:rPr>
                <w:sz w:val="14"/>
                <w:szCs w:val="14"/>
                <w:lang w:val="en-US" w:eastAsia="en-US"/>
              </w:rPr>
              <w:t>Major Affective Disorders, Major Complexity</w:t>
            </w:r>
          </w:p>
        </w:tc>
        <w:tc>
          <w:tcPr>
            <w:tcW w:w="962" w:type="dxa"/>
            <w:gridSpan w:val="3"/>
            <w:tcBorders>
              <w:top w:val="nil"/>
              <w:left w:val="nil"/>
              <w:bottom w:val="nil"/>
              <w:right w:val="nil"/>
            </w:tcBorders>
            <w:shd w:val="clear" w:color="auto" w:fill="auto"/>
            <w:noWrap/>
            <w:hideMark/>
          </w:tcPr>
          <w:p w14:paraId="03A34844" w14:textId="77777777" w:rsidR="006278AE" w:rsidRPr="00965341" w:rsidRDefault="006278AE" w:rsidP="006278AE">
            <w:pPr>
              <w:jc w:val="right"/>
              <w:rPr>
                <w:b/>
                <w:sz w:val="14"/>
                <w:szCs w:val="14"/>
                <w:lang w:val="en-US" w:eastAsia="en-US"/>
              </w:rPr>
            </w:pPr>
            <w:r w:rsidRPr="00965341">
              <w:rPr>
                <w:b/>
                <w:sz w:val="14"/>
                <w:szCs w:val="14"/>
                <w:lang w:val="en-US" w:eastAsia="en-US"/>
              </w:rPr>
              <w:t>30.2</w:t>
            </w:r>
          </w:p>
        </w:tc>
        <w:tc>
          <w:tcPr>
            <w:tcW w:w="500" w:type="dxa"/>
            <w:tcBorders>
              <w:top w:val="nil"/>
              <w:left w:val="nil"/>
              <w:bottom w:val="nil"/>
              <w:right w:val="nil"/>
            </w:tcBorders>
            <w:shd w:val="clear" w:color="auto" w:fill="auto"/>
            <w:noWrap/>
            <w:hideMark/>
          </w:tcPr>
          <w:p w14:paraId="2A1804EA" w14:textId="134FB2AD" w:rsidR="006278AE" w:rsidRPr="00965341" w:rsidRDefault="006278AE" w:rsidP="006278AE">
            <w:pPr>
              <w:jc w:val="right"/>
              <w:rPr>
                <w:sz w:val="14"/>
                <w:szCs w:val="14"/>
                <w:lang w:val="en-US" w:eastAsia="en-US"/>
              </w:rPr>
            </w:pPr>
            <w:r w:rsidRPr="00965341">
              <w:rPr>
                <w:sz w:val="14"/>
                <w:szCs w:val="14"/>
                <w:lang w:val="en-US" w:eastAsia="en-US"/>
              </w:rPr>
              <w:t>1</w:t>
            </w:r>
          </w:p>
        </w:tc>
        <w:tc>
          <w:tcPr>
            <w:tcW w:w="653" w:type="dxa"/>
            <w:gridSpan w:val="2"/>
            <w:tcBorders>
              <w:top w:val="nil"/>
              <w:left w:val="nil"/>
              <w:bottom w:val="nil"/>
              <w:right w:val="nil"/>
            </w:tcBorders>
            <w:shd w:val="clear" w:color="auto" w:fill="auto"/>
            <w:noWrap/>
            <w:hideMark/>
          </w:tcPr>
          <w:p w14:paraId="76813EED" w14:textId="5D5CF350" w:rsidR="006278AE" w:rsidRPr="00965341" w:rsidRDefault="006278AE" w:rsidP="006278AE">
            <w:pPr>
              <w:jc w:val="right"/>
              <w:rPr>
                <w:sz w:val="14"/>
                <w:szCs w:val="14"/>
                <w:lang w:val="en-US" w:eastAsia="en-US"/>
              </w:rPr>
            </w:pPr>
            <w:r w:rsidRPr="00965341">
              <w:rPr>
                <w:sz w:val="14"/>
                <w:szCs w:val="14"/>
                <w:lang w:val="en-US" w:eastAsia="en-US"/>
              </w:rPr>
              <w:t>231</w:t>
            </w:r>
          </w:p>
        </w:tc>
        <w:tc>
          <w:tcPr>
            <w:tcW w:w="691" w:type="dxa"/>
            <w:gridSpan w:val="2"/>
            <w:tcBorders>
              <w:top w:val="nil"/>
              <w:left w:val="nil"/>
              <w:bottom w:val="nil"/>
              <w:right w:val="nil"/>
            </w:tcBorders>
            <w:shd w:val="clear" w:color="auto" w:fill="auto"/>
            <w:noWrap/>
            <w:hideMark/>
          </w:tcPr>
          <w:p w14:paraId="5757F398" w14:textId="756DEBB8" w:rsidR="006278AE" w:rsidRPr="00965341" w:rsidRDefault="006278AE" w:rsidP="006278AE">
            <w:pPr>
              <w:jc w:val="right"/>
              <w:rPr>
                <w:sz w:val="14"/>
                <w:szCs w:val="14"/>
                <w:lang w:val="en-US" w:eastAsia="en-US"/>
              </w:rPr>
            </w:pPr>
            <w:r w:rsidRPr="00965341">
              <w:rPr>
                <w:sz w:val="14"/>
                <w:szCs w:val="14"/>
                <w:lang w:val="en-US" w:eastAsia="en-US"/>
              </w:rPr>
              <w:t>4.94</w:t>
            </w:r>
          </w:p>
        </w:tc>
        <w:tc>
          <w:tcPr>
            <w:tcW w:w="839" w:type="dxa"/>
            <w:gridSpan w:val="2"/>
            <w:tcBorders>
              <w:top w:val="nil"/>
              <w:left w:val="nil"/>
              <w:bottom w:val="nil"/>
              <w:right w:val="nil"/>
            </w:tcBorders>
            <w:shd w:val="clear" w:color="auto" w:fill="auto"/>
            <w:noWrap/>
            <w:hideMark/>
          </w:tcPr>
          <w:p w14:paraId="642904D4" w14:textId="4C8C9D36" w:rsidR="006278AE" w:rsidRPr="00965341" w:rsidRDefault="006278AE" w:rsidP="006278AE">
            <w:pPr>
              <w:jc w:val="right"/>
              <w:rPr>
                <w:sz w:val="14"/>
                <w:szCs w:val="14"/>
                <w:lang w:val="en-US" w:eastAsia="en-US"/>
              </w:rPr>
            </w:pPr>
            <w:r w:rsidRPr="00965341">
              <w:rPr>
                <w:sz w:val="14"/>
                <w:szCs w:val="14"/>
                <w:lang w:val="en-US" w:eastAsia="en-US"/>
              </w:rPr>
              <w:t>816</w:t>
            </w:r>
          </w:p>
        </w:tc>
        <w:tc>
          <w:tcPr>
            <w:tcW w:w="884" w:type="dxa"/>
            <w:gridSpan w:val="2"/>
            <w:tcBorders>
              <w:top w:val="nil"/>
              <w:left w:val="nil"/>
              <w:bottom w:val="nil"/>
              <w:right w:val="nil"/>
            </w:tcBorders>
            <w:shd w:val="clear" w:color="auto" w:fill="auto"/>
            <w:noWrap/>
            <w:hideMark/>
          </w:tcPr>
          <w:p w14:paraId="14AB2777" w14:textId="59B5EF6F" w:rsidR="006278AE" w:rsidRPr="00965341" w:rsidRDefault="006278AE" w:rsidP="006278AE">
            <w:pPr>
              <w:jc w:val="right"/>
              <w:rPr>
                <w:sz w:val="14"/>
                <w:szCs w:val="14"/>
                <w:lang w:val="en-US" w:eastAsia="en-US"/>
              </w:rPr>
            </w:pPr>
            <w:r w:rsidRPr="006278AE">
              <w:rPr>
                <w:sz w:val="14"/>
                <w:szCs w:val="14"/>
                <w:lang w:val="en-US" w:eastAsia="en-US"/>
              </w:rPr>
              <w:t>4,031</w:t>
            </w:r>
          </w:p>
        </w:tc>
        <w:tc>
          <w:tcPr>
            <w:tcW w:w="653" w:type="dxa"/>
            <w:gridSpan w:val="2"/>
            <w:tcBorders>
              <w:top w:val="nil"/>
              <w:left w:val="nil"/>
              <w:bottom w:val="nil"/>
              <w:right w:val="nil"/>
            </w:tcBorders>
            <w:shd w:val="clear" w:color="auto" w:fill="auto"/>
            <w:noWrap/>
            <w:hideMark/>
          </w:tcPr>
          <w:p w14:paraId="0515A9AB" w14:textId="77777777" w:rsidR="006278AE" w:rsidRPr="00965341" w:rsidRDefault="006278AE" w:rsidP="006278AE">
            <w:pPr>
              <w:jc w:val="right"/>
              <w:rPr>
                <w:sz w:val="14"/>
                <w:szCs w:val="14"/>
                <w:lang w:val="en-US" w:eastAsia="en-US"/>
              </w:rPr>
            </w:pPr>
            <w:r w:rsidRPr="00965341">
              <w:rPr>
                <w:sz w:val="14"/>
                <w:szCs w:val="14"/>
                <w:lang w:val="en-US" w:eastAsia="en-US"/>
              </w:rPr>
              <w:t>0.16</w:t>
            </w:r>
          </w:p>
        </w:tc>
        <w:tc>
          <w:tcPr>
            <w:tcW w:w="653" w:type="dxa"/>
            <w:gridSpan w:val="2"/>
            <w:tcBorders>
              <w:top w:val="nil"/>
              <w:left w:val="nil"/>
              <w:bottom w:val="nil"/>
              <w:right w:val="nil"/>
            </w:tcBorders>
            <w:shd w:val="clear" w:color="auto" w:fill="auto"/>
            <w:noWrap/>
            <w:hideMark/>
          </w:tcPr>
          <w:p w14:paraId="2B1AC9C2"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53" w:type="dxa"/>
            <w:gridSpan w:val="2"/>
            <w:tcBorders>
              <w:top w:val="nil"/>
              <w:left w:val="nil"/>
              <w:bottom w:val="nil"/>
              <w:right w:val="nil"/>
            </w:tcBorders>
            <w:shd w:val="clear" w:color="auto" w:fill="auto"/>
            <w:noWrap/>
            <w:hideMark/>
          </w:tcPr>
          <w:p w14:paraId="3DBAD9A4" w14:textId="77777777" w:rsidR="006278AE" w:rsidRPr="00965341" w:rsidRDefault="006278AE" w:rsidP="006278AE">
            <w:pPr>
              <w:jc w:val="right"/>
              <w:rPr>
                <w:sz w:val="14"/>
                <w:szCs w:val="14"/>
                <w:lang w:val="en-US" w:eastAsia="en-US"/>
              </w:rPr>
            </w:pPr>
            <w:r w:rsidRPr="00965341">
              <w:rPr>
                <w:sz w:val="14"/>
                <w:szCs w:val="14"/>
                <w:lang w:val="en-US" w:eastAsia="en-US"/>
              </w:rPr>
              <w:t>0.1%</w:t>
            </w:r>
          </w:p>
        </w:tc>
        <w:tc>
          <w:tcPr>
            <w:tcW w:w="691" w:type="dxa"/>
            <w:gridSpan w:val="2"/>
            <w:tcBorders>
              <w:top w:val="nil"/>
              <w:left w:val="nil"/>
              <w:bottom w:val="nil"/>
              <w:right w:val="nil"/>
            </w:tcBorders>
            <w:shd w:val="clear" w:color="auto" w:fill="auto"/>
            <w:noWrap/>
            <w:hideMark/>
          </w:tcPr>
          <w:p w14:paraId="443C2AF7" w14:textId="77777777" w:rsidR="006278AE" w:rsidRPr="00965341" w:rsidRDefault="006278AE" w:rsidP="006278AE">
            <w:pPr>
              <w:jc w:val="right"/>
              <w:rPr>
                <w:sz w:val="14"/>
                <w:szCs w:val="14"/>
                <w:lang w:val="en-US" w:eastAsia="en-US"/>
              </w:rPr>
            </w:pPr>
            <w:r w:rsidRPr="00965341">
              <w:rPr>
                <w:sz w:val="14"/>
                <w:szCs w:val="14"/>
                <w:lang w:val="en-US" w:eastAsia="en-US"/>
              </w:rPr>
              <w:t>27.5</w:t>
            </w:r>
          </w:p>
        </w:tc>
        <w:tc>
          <w:tcPr>
            <w:tcW w:w="691" w:type="dxa"/>
            <w:gridSpan w:val="2"/>
            <w:tcBorders>
              <w:top w:val="nil"/>
              <w:left w:val="nil"/>
              <w:bottom w:val="nil"/>
              <w:right w:val="nil"/>
            </w:tcBorders>
            <w:shd w:val="clear" w:color="auto" w:fill="auto"/>
            <w:noWrap/>
            <w:hideMark/>
          </w:tcPr>
          <w:p w14:paraId="53491D05" w14:textId="77777777" w:rsidR="006278AE" w:rsidRPr="00965341" w:rsidRDefault="006278AE" w:rsidP="006278AE">
            <w:pPr>
              <w:jc w:val="right"/>
              <w:rPr>
                <w:sz w:val="14"/>
                <w:szCs w:val="14"/>
                <w:lang w:val="en-US" w:eastAsia="en-US"/>
              </w:rPr>
            </w:pPr>
            <w:r w:rsidRPr="00965341">
              <w:rPr>
                <w:sz w:val="14"/>
                <w:szCs w:val="14"/>
                <w:lang w:val="en-US" w:eastAsia="en-US"/>
              </w:rPr>
              <w:t xml:space="preserve">13 </w:t>
            </w:r>
          </w:p>
        </w:tc>
        <w:tc>
          <w:tcPr>
            <w:tcW w:w="839" w:type="dxa"/>
            <w:gridSpan w:val="2"/>
            <w:tcBorders>
              <w:top w:val="nil"/>
              <w:left w:val="nil"/>
              <w:bottom w:val="nil"/>
              <w:right w:val="nil"/>
            </w:tcBorders>
            <w:shd w:val="clear" w:color="auto" w:fill="auto"/>
            <w:noWrap/>
            <w:hideMark/>
          </w:tcPr>
          <w:p w14:paraId="36EB3A1C" w14:textId="77777777" w:rsidR="006278AE" w:rsidRPr="00965341" w:rsidRDefault="006278AE" w:rsidP="006278AE">
            <w:pPr>
              <w:jc w:val="right"/>
              <w:rPr>
                <w:sz w:val="14"/>
                <w:szCs w:val="14"/>
                <w:lang w:val="en-US" w:eastAsia="en-US"/>
              </w:rPr>
            </w:pPr>
            <w:r w:rsidRPr="00965341">
              <w:rPr>
                <w:sz w:val="14"/>
                <w:szCs w:val="14"/>
                <w:lang w:val="en-US" w:eastAsia="en-US"/>
              </w:rPr>
              <w:t>24,612</w:t>
            </w:r>
          </w:p>
        </w:tc>
      </w:tr>
      <w:tr w:rsidR="006278AE" w:rsidRPr="00965341" w14:paraId="51FA2AE9" w14:textId="77777777" w:rsidTr="00A23161">
        <w:trPr>
          <w:gridAfter w:val="1"/>
          <w:wAfter w:w="34" w:type="dxa"/>
          <w:trHeight w:hRule="exact" w:val="284"/>
        </w:trPr>
        <w:tc>
          <w:tcPr>
            <w:tcW w:w="709" w:type="dxa"/>
            <w:tcBorders>
              <w:top w:val="nil"/>
              <w:left w:val="nil"/>
              <w:bottom w:val="nil"/>
              <w:right w:val="nil"/>
            </w:tcBorders>
            <w:shd w:val="clear" w:color="auto" w:fill="auto"/>
            <w:noWrap/>
            <w:hideMark/>
          </w:tcPr>
          <w:p w14:paraId="04784290" w14:textId="77777777" w:rsidR="006278AE" w:rsidRPr="00965341" w:rsidRDefault="006278AE" w:rsidP="006278AE">
            <w:pPr>
              <w:jc w:val="center"/>
              <w:rPr>
                <w:sz w:val="14"/>
                <w:szCs w:val="14"/>
                <w:lang w:val="en-US" w:eastAsia="en-US"/>
              </w:rPr>
            </w:pPr>
            <w:r w:rsidRPr="00965341">
              <w:rPr>
                <w:sz w:val="14"/>
                <w:szCs w:val="14"/>
                <w:lang w:val="en-US" w:eastAsia="en-US"/>
              </w:rPr>
              <w:t>No</w:t>
            </w:r>
          </w:p>
        </w:tc>
        <w:tc>
          <w:tcPr>
            <w:tcW w:w="691" w:type="dxa"/>
            <w:tcBorders>
              <w:top w:val="nil"/>
              <w:left w:val="nil"/>
              <w:bottom w:val="nil"/>
              <w:right w:val="nil"/>
            </w:tcBorders>
            <w:shd w:val="clear" w:color="auto" w:fill="auto"/>
            <w:noWrap/>
            <w:hideMark/>
          </w:tcPr>
          <w:p w14:paraId="149E3880" w14:textId="77777777" w:rsidR="006278AE" w:rsidRPr="00965341" w:rsidRDefault="006278AE" w:rsidP="006278AE">
            <w:pPr>
              <w:jc w:val="center"/>
              <w:rPr>
                <w:sz w:val="14"/>
                <w:szCs w:val="14"/>
                <w:lang w:val="en-US" w:eastAsia="en-US"/>
              </w:rPr>
            </w:pPr>
            <w:r w:rsidRPr="00965341">
              <w:rPr>
                <w:sz w:val="14"/>
                <w:szCs w:val="14"/>
                <w:lang w:val="en-US" w:eastAsia="en-US"/>
              </w:rPr>
              <w:t>11</w:t>
            </w:r>
          </w:p>
        </w:tc>
        <w:tc>
          <w:tcPr>
            <w:tcW w:w="600" w:type="dxa"/>
            <w:tcBorders>
              <w:top w:val="nil"/>
              <w:left w:val="nil"/>
              <w:bottom w:val="nil"/>
              <w:right w:val="nil"/>
            </w:tcBorders>
            <w:shd w:val="clear" w:color="auto" w:fill="auto"/>
            <w:noWrap/>
            <w:hideMark/>
          </w:tcPr>
          <w:p w14:paraId="14EA4418" w14:textId="77777777" w:rsidR="006278AE" w:rsidRPr="00965341" w:rsidRDefault="006278AE" w:rsidP="006278AE">
            <w:pPr>
              <w:rPr>
                <w:sz w:val="14"/>
                <w:szCs w:val="14"/>
                <w:lang w:val="en-US" w:eastAsia="en-US"/>
              </w:rPr>
            </w:pPr>
            <w:r w:rsidRPr="00965341">
              <w:rPr>
                <w:sz w:val="14"/>
                <w:szCs w:val="14"/>
                <w:lang w:val="en-US" w:eastAsia="en-US"/>
              </w:rPr>
              <w:t>P04B</w:t>
            </w:r>
          </w:p>
        </w:tc>
        <w:tc>
          <w:tcPr>
            <w:tcW w:w="4637" w:type="dxa"/>
            <w:tcBorders>
              <w:top w:val="nil"/>
              <w:left w:val="nil"/>
              <w:bottom w:val="nil"/>
              <w:right w:val="nil"/>
            </w:tcBorders>
            <w:shd w:val="clear" w:color="auto" w:fill="auto"/>
            <w:noWrap/>
            <w:hideMark/>
          </w:tcPr>
          <w:p w14:paraId="7A430C08" w14:textId="19EC98E0" w:rsidR="006278AE" w:rsidRPr="00965341" w:rsidRDefault="006278AE" w:rsidP="006278AE">
            <w:pPr>
              <w:rPr>
                <w:sz w:val="14"/>
                <w:szCs w:val="14"/>
                <w:lang w:val="en-US" w:eastAsia="en-US"/>
              </w:rPr>
            </w:pPr>
            <w:r w:rsidRPr="00965341">
              <w:rPr>
                <w:sz w:val="14"/>
                <w:szCs w:val="14"/>
                <w:lang w:val="en-US" w:eastAsia="en-US"/>
              </w:rPr>
              <w:t xml:space="preserve">Neonate, </w:t>
            </w:r>
            <w:proofErr w:type="spellStart"/>
            <w:r w:rsidRPr="00965341">
              <w:rPr>
                <w:sz w:val="14"/>
                <w:szCs w:val="14"/>
                <w:lang w:val="en-US" w:eastAsia="en-US"/>
              </w:rPr>
              <w:t>AdmWt</w:t>
            </w:r>
            <w:proofErr w:type="spellEnd"/>
            <w:r w:rsidRPr="00965341">
              <w:rPr>
                <w:sz w:val="14"/>
                <w:szCs w:val="14"/>
                <w:lang w:val="en-US" w:eastAsia="en-US"/>
              </w:rPr>
              <w:t xml:space="preserve"> 1500-1999g W Significant OR Proc/Vent&gt;=96hrs, Minor Complexity</w:t>
            </w:r>
          </w:p>
        </w:tc>
        <w:tc>
          <w:tcPr>
            <w:tcW w:w="962" w:type="dxa"/>
            <w:gridSpan w:val="3"/>
            <w:tcBorders>
              <w:top w:val="nil"/>
              <w:left w:val="nil"/>
              <w:bottom w:val="nil"/>
              <w:right w:val="nil"/>
            </w:tcBorders>
            <w:shd w:val="clear" w:color="auto" w:fill="auto"/>
            <w:noWrap/>
            <w:hideMark/>
          </w:tcPr>
          <w:p w14:paraId="79317B66" w14:textId="77777777" w:rsidR="006278AE" w:rsidRPr="00965341" w:rsidRDefault="006278AE" w:rsidP="006278AE">
            <w:pPr>
              <w:jc w:val="right"/>
              <w:rPr>
                <w:b/>
                <w:sz w:val="14"/>
                <w:szCs w:val="14"/>
                <w:lang w:val="en-US" w:eastAsia="en-US"/>
              </w:rPr>
            </w:pPr>
            <w:r w:rsidRPr="00965341">
              <w:rPr>
                <w:b/>
                <w:sz w:val="14"/>
                <w:szCs w:val="14"/>
                <w:lang w:val="en-US" w:eastAsia="en-US"/>
              </w:rPr>
              <w:t>30.1</w:t>
            </w:r>
          </w:p>
        </w:tc>
        <w:tc>
          <w:tcPr>
            <w:tcW w:w="500" w:type="dxa"/>
            <w:tcBorders>
              <w:top w:val="nil"/>
              <w:left w:val="nil"/>
              <w:bottom w:val="nil"/>
              <w:right w:val="nil"/>
            </w:tcBorders>
            <w:shd w:val="clear" w:color="auto" w:fill="auto"/>
            <w:noWrap/>
            <w:hideMark/>
          </w:tcPr>
          <w:p w14:paraId="7A57F8DA" w14:textId="77777777" w:rsidR="006278AE" w:rsidRPr="00965341" w:rsidRDefault="006278AE" w:rsidP="006278AE">
            <w:pPr>
              <w:jc w:val="right"/>
              <w:rPr>
                <w:sz w:val="14"/>
                <w:szCs w:val="14"/>
                <w:lang w:val="en-US" w:eastAsia="en-US"/>
              </w:rPr>
            </w:pPr>
            <w:r w:rsidRPr="00965341">
              <w:rPr>
                <w:sz w:val="14"/>
                <w:szCs w:val="14"/>
                <w:lang w:val="en-US" w:eastAsia="en-US"/>
              </w:rPr>
              <w:t>14</w:t>
            </w:r>
          </w:p>
        </w:tc>
        <w:tc>
          <w:tcPr>
            <w:tcW w:w="653" w:type="dxa"/>
            <w:gridSpan w:val="2"/>
            <w:tcBorders>
              <w:top w:val="nil"/>
              <w:left w:val="nil"/>
              <w:bottom w:val="nil"/>
              <w:right w:val="nil"/>
            </w:tcBorders>
            <w:shd w:val="clear" w:color="auto" w:fill="auto"/>
            <w:noWrap/>
            <w:hideMark/>
          </w:tcPr>
          <w:p w14:paraId="1BF2CCB1" w14:textId="77777777" w:rsidR="006278AE" w:rsidRPr="00965341" w:rsidRDefault="006278AE" w:rsidP="006278AE">
            <w:pPr>
              <w:jc w:val="right"/>
              <w:rPr>
                <w:sz w:val="14"/>
                <w:szCs w:val="14"/>
                <w:lang w:val="en-US" w:eastAsia="en-US"/>
              </w:rPr>
            </w:pPr>
            <w:r w:rsidRPr="00965341">
              <w:rPr>
                <w:sz w:val="14"/>
                <w:szCs w:val="14"/>
                <w:lang w:val="en-US" w:eastAsia="en-US"/>
              </w:rPr>
              <w:t>60</w:t>
            </w:r>
          </w:p>
        </w:tc>
        <w:tc>
          <w:tcPr>
            <w:tcW w:w="691" w:type="dxa"/>
            <w:gridSpan w:val="2"/>
            <w:tcBorders>
              <w:top w:val="nil"/>
              <w:left w:val="nil"/>
              <w:bottom w:val="nil"/>
              <w:right w:val="nil"/>
            </w:tcBorders>
            <w:shd w:val="clear" w:color="auto" w:fill="auto"/>
            <w:noWrap/>
            <w:hideMark/>
          </w:tcPr>
          <w:p w14:paraId="4CA361C4" w14:textId="77777777" w:rsidR="006278AE" w:rsidRPr="00965341" w:rsidRDefault="006278AE" w:rsidP="006278AE">
            <w:pPr>
              <w:jc w:val="right"/>
              <w:rPr>
                <w:sz w:val="14"/>
                <w:szCs w:val="14"/>
                <w:lang w:val="en-US" w:eastAsia="en-US"/>
              </w:rPr>
            </w:pPr>
            <w:r w:rsidRPr="00965341">
              <w:rPr>
                <w:sz w:val="14"/>
                <w:szCs w:val="14"/>
                <w:lang w:val="en-US" w:eastAsia="en-US"/>
              </w:rPr>
              <w:t>10.20</w:t>
            </w:r>
          </w:p>
        </w:tc>
        <w:tc>
          <w:tcPr>
            <w:tcW w:w="839" w:type="dxa"/>
            <w:gridSpan w:val="2"/>
            <w:tcBorders>
              <w:top w:val="nil"/>
              <w:left w:val="nil"/>
              <w:bottom w:val="nil"/>
              <w:right w:val="nil"/>
            </w:tcBorders>
            <w:shd w:val="clear" w:color="auto" w:fill="auto"/>
            <w:noWrap/>
            <w:hideMark/>
          </w:tcPr>
          <w:p w14:paraId="32EA7046" w14:textId="525A29A6" w:rsidR="006278AE" w:rsidRPr="00965341" w:rsidRDefault="006278AE" w:rsidP="006278AE">
            <w:pPr>
              <w:jc w:val="right"/>
              <w:rPr>
                <w:sz w:val="14"/>
                <w:szCs w:val="14"/>
                <w:lang w:val="en-US" w:eastAsia="en-US"/>
              </w:rPr>
            </w:pPr>
            <w:r w:rsidRPr="00965341">
              <w:rPr>
                <w:sz w:val="14"/>
                <w:szCs w:val="14"/>
                <w:lang w:val="en-US" w:eastAsia="en-US"/>
              </w:rPr>
              <w:t>26</w:t>
            </w:r>
          </w:p>
        </w:tc>
        <w:tc>
          <w:tcPr>
            <w:tcW w:w="884" w:type="dxa"/>
            <w:gridSpan w:val="2"/>
            <w:tcBorders>
              <w:top w:val="nil"/>
              <w:left w:val="nil"/>
              <w:bottom w:val="nil"/>
              <w:right w:val="nil"/>
            </w:tcBorders>
            <w:shd w:val="clear" w:color="auto" w:fill="auto"/>
            <w:noWrap/>
            <w:hideMark/>
          </w:tcPr>
          <w:p w14:paraId="66E1FFA0" w14:textId="33AF6AF6" w:rsidR="006278AE" w:rsidRPr="00965341" w:rsidRDefault="006278AE" w:rsidP="006278AE">
            <w:pPr>
              <w:jc w:val="right"/>
              <w:rPr>
                <w:sz w:val="14"/>
                <w:szCs w:val="14"/>
                <w:lang w:val="en-US" w:eastAsia="en-US"/>
              </w:rPr>
            </w:pPr>
            <w:r w:rsidRPr="006278AE">
              <w:rPr>
                <w:sz w:val="14"/>
                <w:szCs w:val="14"/>
                <w:lang w:val="en-US" w:eastAsia="en-US"/>
              </w:rPr>
              <w:t>265</w:t>
            </w:r>
          </w:p>
        </w:tc>
        <w:tc>
          <w:tcPr>
            <w:tcW w:w="653" w:type="dxa"/>
            <w:gridSpan w:val="2"/>
            <w:tcBorders>
              <w:top w:val="nil"/>
              <w:left w:val="nil"/>
              <w:bottom w:val="nil"/>
              <w:right w:val="nil"/>
            </w:tcBorders>
            <w:shd w:val="clear" w:color="auto" w:fill="auto"/>
            <w:noWrap/>
            <w:hideMark/>
          </w:tcPr>
          <w:p w14:paraId="071880EF" w14:textId="77777777" w:rsidR="006278AE" w:rsidRPr="00965341" w:rsidRDefault="006278AE" w:rsidP="006278AE">
            <w:pPr>
              <w:jc w:val="right"/>
              <w:rPr>
                <w:sz w:val="14"/>
                <w:szCs w:val="14"/>
                <w:lang w:val="en-US" w:eastAsia="en-US"/>
              </w:rPr>
            </w:pPr>
            <w:r w:rsidRPr="00965341">
              <w:rPr>
                <w:sz w:val="14"/>
                <w:szCs w:val="14"/>
                <w:lang w:val="en-US" w:eastAsia="en-US"/>
              </w:rPr>
              <w:t>1.54</w:t>
            </w:r>
          </w:p>
        </w:tc>
        <w:tc>
          <w:tcPr>
            <w:tcW w:w="653" w:type="dxa"/>
            <w:gridSpan w:val="2"/>
            <w:tcBorders>
              <w:top w:val="nil"/>
              <w:left w:val="nil"/>
              <w:bottom w:val="nil"/>
              <w:right w:val="nil"/>
            </w:tcBorders>
            <w:shd w:val="clear" w:color="auto" w:fill="auto"/>
            <w:noWrap/>
            <w:hideMark/>
          </w:tcPr>
          <w:p w14:paraId="52170234"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53" w:type="dxa"/>
            <w:gridSpan w:val="2"/>
            <w:tcBorders>
              <w:top w:val="nil"/>
              <w:left w:val="nil"/>
              <w:bottom w:val="nil"/>
              <w:right w:val="nil"/>
            </w:tcBorders>
            <w:shd w:val="clear" w:color="auto" w:fill="auto"/>
            <w:noWrap/>
            <w:hideMark/>
          </w:tcPr>
          <w:p w14:paraId="57BC5344"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91" w:type="dxa"/>
            <w:gridSpan w:val="2"/>
            <w:tcBorders>
              <w:top w:val="nil"/>
              <w:left w:val="nil"/>
              <w:bottom w:val="nil"/>
              <w:right w:val="nil"/>
            </w:tcBorders>
            <w:shd w:val="clear" w:color="auto" w:fill="auto"/>
            <w:noWrap/>
            <w:hideMark/>
          </w:tcPr>
          <w:p w14:paraId="6ED33164" w14:textId="77777777" w:rsidR="006278AE" w:rsidRPr="00965341" w:rsidRDefault="006278AE" w:rsidP="006278AE">
            <w:pPr>
              <w:jc w:val="right"/>
              <w:rPr>
                <w:sz w:val="14"/>
                <w:szCs w:val="14"/>
                <w:lang w:val="en-US" w:eastAsia="en-US"/>
              </w:rPr>
            </w:pPr>
            <w:r w:rsidRPr="00965341">
              <w:rPr>
                <w:sz w:val="14"/>
                <w:szCs w:val="14"/>
                <w:lang w:val="en-US" w:eastAsia="en-US"/>
              </w:rPr>
              <w:t>------</w:t>
            </w:r>
          </w:p>
        </w:tc>
        <w:tc>
          <w:tcPr>
            <w:tcW w:w="691" w:type="dxa"/>
            <w:gridSpan w:val="2"/>
            <w:tcBorders>
              <w:top w:val="nil"/>
              <w:left w:val="nil"/>
              <w:bottom w:val="nil"/>
              <w:right w:val="nil"/>
            </w:tcBorders>
            <w:shd w:val="clear" w:color="auto" w:fill="auto"/>
            <w:noWrap/>
            <w:hideMark/>
          </w:tcPr>
          <w:p w14:paraId="371AB36D" w14:textId="77777777" w:rsidR="006278AE" w:rsidRPr="00965341" w:rsidRDefault="006278AE" w:rsidP="006278AE">
            <w:pPr>
              <w:jc w:val="right"/>
              <w:rPr>
                <w:sz w:val="14"/>
                <w:szCs w:val="14"/>
                <w:lang w:val="en-US" w:eastAsia="en-US"/>
              </w:rPr>
            </w:pPr>
            <w:r w:rsidRPr="00965341">
              <w:rPr>
                <w:sz w:val="14"/>
                <w:szCs w:val="14"/>
                <w:lang w:val="en-US" w:eastAsia="en-US"/>
              </w:rPr>
              <w:t>------</w:t>
            </w:r>
          </w:p>
        </w:tc>
        <w:tc>
          <w:tcPr>
            <w:tcW w:w="839" w:type="dxa"/>
            <w:gridSpan w:val="2"/>
            <w:tcBorders>
              <w:top w:val="nil"/>
              <w:left w:val="nil"/>
              <w:bottom w:val="nil"/>
              <w:right w:val="nil"/>
            </w:tcBorders>
            <w:shd w:val="clear" w:color="auto" w:fill="auto"/>
            <w:noWrap/>
            <w:hideMark/>
          </w:tcPr>
          <w:p w14:paraId="16623E3B" w14:textId="77777777" w:rsidR="006278AE" w:rsidRPr="00965341" w:rsidRDefault="006278AE" w:rsidP="006278AE">
            <w:pPr>
              <w:jc w:val="right"/>
              <w:rPr>
                <w:sz w:val="14"/>
                <w:szCs w:val="14"/>
                <w:lang w:val="en-US" w:eastAsia="en-US"/>
              </w:rPr>
            </w:pPr>
            <w:r w:rsidRPr="00965341">
              <w:rPr>
                <w:sz w:val="14"/>
                <w:szCs w:val="14"/>
                <w:lang w:val="en-US" w:eastAsia="en-US"/>
              </w:rPr>
              <w:t>796</w:t>
            </w:r>
          </w:p>
        </w:tc>
      </w:tr>
      <w:tr w:rsidR="006278AE" w:rsidRPr="00965341" w14:paraId="3A50C3D7" w14:textId="77777777" w:rsidTr="00A23161">
        <w:trPr>
          <w:gridAfter w:val="1"/>
          <w:wAfter w:w="34" w:type="dxa"/>
          <w:trHeight w:hRule="exact" w:val="284"/>
        </w:trPr>
        <w:tc>
          <w:tcPr>
            <w:tcW w:w="709" w:type="dxa"/>
            <w:tcBorders>
              <w:top w:val="nil"/>
              <w:left w:val="nil"/>
              <w:bottom w:val="nil"/>
              <w:right w:val="nil"/>
            </w:tcBorders>
            <w:shd w:val="clear" w:color="auto" w:fill="auto"/>
            <w:noWrap/>
            <w:hideMark/>
          </w:tcPr>
          <w:p w14:paraId="054CFF72" w14:textId="77777777" w:rsidR="006278AE" w:rsidRPr="00965341" w:rsidRDefault="006278AE" w:rsidP="006278AE">
            <w:pPr>
              <w:jc w:val="center"/>
              <w:rPr>
                <w:sz w:val="14"/>
                <w:szCs w:val="14"/>
                <w:lang w:val="en-US" w:eastAsia="en-US"/>
              </w:rPr>
            </w:pPr>
            <w:r w:rsidRPr="00965341">
              <w:rPr>
                <w:sz w:val="14"/>
                <w:szCs w:val="14"/>
                <w:lang w:val="en-US" w:eastAsia="en-US"/>
              </w:rPr>
              <w:t>No</w:t>
            </w:r>
          </w:p>
        </w:tc>
        <w:tc>
          <w:tcPr>
            <w:tcW w:w="691" w:type="dxa"/>
            <w:tcBorders>
              <w:top w:val="nil"/>
              <w:left w:val="nil"/>
              <w:bottom w:val="nil"/>
              <w:right w:val="nil"/>
            </w:tcBorders>
            <w:shd w:val="clear" w:color="auto" w:fill="auto"/>
            <w:noWrap/>
            <w:hideMark/>
          </w:tcPr>
          <w:p w14:paraId="75F060DF" w14:textId="77777777" w:rsidR="006278AE" w:rsidRPr="00965341" w:rsidRDefault="006278AE" w:rsidP="006278AE">
            <w:pPr>
              <w:jc w:val="center"/>
              <w:rPr>
                <w:sz w:val="14"/>
                <w:szCs w:val="14"/>
                <w:lang w:val="en-US" w:eastAsia="en-US"/>
              </w:rPr>
            </w:pPr>
            <w:r w:rsidRPr="00965341">
              <w:rPr>
                <w:sz w:val="14"/>
                <w:szCs w:val="14"/>
                <w:lang w:val="en-US" w:eastAsia="en-US"/>
              </w:rPr>
              <w:t>12</w:t>
            </w:r>
          </w:p>
        </w:tc>
        <w:tc>
          <w:tcPr>
            <w:tcW w:w="600" w:type="dxa"/>
            <w:tcBorders>
              <w:top w:val="nil"/>
              <w:left w:val="nil"/>
              <w:bottom w:val="nil"/>
              <w:right w:val="nil"/>
            </w:tcBorders>
            <w:shd w:val="clear" w:color="auto" w:fill="auto"/>
            <w:noWrap/>
            <w:hideMark/>
          </w:tcPr>
          <w:p w14:paraId="21C14E83" w14:textId="77777777" w:rsidR="006278AE" w:rsidRPr="00965341" w:rsidRDefault="006278AE" w:rsidP="006278AE">
            <w:pPr>
              <w:rPr>
                <w:sz w:val="14"/>
                <w:szCs w:val="14"/>
                <w:lang w:val="en-US" w:eastAsia="en-US"/>
              </w:rPr>
            </w:pPr>
            <w:r w:rsidRPr="00965341">
              <w:rPr>
                <w:sz w:val="14"/>
                <w:szCs w:val="14"/>
                <w:lang w:val="en-US" w:eastAsia="en-US"/>
              </w:rPr>
              <w:t>B82A</w:t>
            </w:r>
          </w:p>
        </w:tc>
        <w:tc>
          <w:tcPr>
            <w:tcW w:w="4637" w:type="dxa"/>
            <w:tcBorders>
              <w:top w:val="nil"/>
              <w:left w:val="nil"/>
              <w:bottom w:val="nil"/>
              <w:right w:val="nil"/>
            </w:tcBorders>
            <w:shd w:val="clear" w:color="auto" w:fill="auto"/>
            <w:noWrap/>
            <w:hideMark/>
          </w:tcPr>
          <w:p w14:paraId="0FEDC90A" w14:textId="5C5AF6B6" w:rsidR="006278AE" w:rsidRPr="00965341" w:rsidRDefault="006278AE" w:rsidP="006278AE">
            <w:pPr>
              <w:rPr>
                <w:sz w:val="14"/>
                <w:szCs w:val="14"/>
                <w:lang w:val="en-US" w:eastAsia="en-US"/>
              </w:rPr>
            </w:pPr>
            <w:r w:rsidRPr="00965341">
              <w:rPr>
                <w:sz w:val="14"/>
                <w:szCs w:val="14"/>
                <w:lang w:val="en-US" w:eastAsia="en-US"/>
              </w:rPr>
              <w:t xml:space="preserve">Chronic &amp; </w:t>
            </w:r>
            <w:proofErr w:type="spellStart"/>
            <w:r w:rsidRPr="00965341">
              <w:rPr>
                <w:sz w:val="14"/>
                <w:szCs w:val="14"/>
                <w:lang w:val="en-US" w:eastAsia="en-US"/>
              </w:rPr>
              <w:t>Unspec</w:t>
            </w:r>
            <w:proofErr w:type="spellEnd"/>
            <w:r w:rsidRPr="00965341">
              <w:rPr>
                <w:sz w:val="14"/>
                <w:szCs w:val="14"/>
                <w:lang w:val="en-US" w:eastAsia="en-US"/>
              </w:rPr>
              <w:t xml:space="preserve"> Para/Quadriplegia W or W/O OR Proc, Major Complexity</w:t>
            </w:r>
          </w:p>
        </w:tc>
        <w:tc>
          <w:tcPr>
            <w:tcW w:w="962" w:type="dxa"/>
            <w:gridSpan w:val="3"/>
            <w:tcBorders>
              <w:top w:val="nil"/>
              <w:left w:val="nil"/>
              <w:bottom w:val="nil"/>
              <w:right w:val="nil"/>
            </w:tcBorders>
            <w:shd w:val="clear" w:color="auto" w:fill="auto"/>
            <w:noWrap/>
            <w:hideMark/>
          </w:tcPr>
          <w:p w14:paraId="3046491E" w14:textId="77777777" w:rsidR="006278AE" w:rsidRPr="00965341" w:rsidRDefault="006278AE" w:rsidP="006278AE">
            <w:pPr>
              <w:jc w:val="right"/>
              <w:rPr>
                <w:b/>
                <w:sz w:val="14"/>
                <w:szCs w:val="14"/>
                <w:lang w:val="en-US" w:eastAsia="en-US"/>
              </w:rPr>
            </w:pPr>
            <w:r w:rsidRPr="00965341">
              <w:rPr>
                <w:b/>
                <w:sz w:val="14"/>
                <w:szCs w:val="14"/>
                <w:lang w:val="en-US" w:eastAsia="en-US"/>
              </w:rPr>
              <w:t>29.7</w:t>
            </w:r>
          </w:p>
        </w:tc>
        <w:tc>
          <w:tcPr>
            <w:tcW w:w="500" w:type="dxa"/>
            <w:tcBorders>
              <w:top w:val="nil"/>
              <w:left w:val="nil"/>
              <w:bottom w:val="nil"/>
              <w:right w:val="nil"/>
            </w:tcBorders>
            <w:shd w:val="clear" w:color="auto" w:fill="auto"/>
            <w:noWrap/>
            <w:hideMark/>
          </w:tcPr>
          <w:p w14:paraId="136FDE7D" w14:textId="77777777" w:rsidR="006278AE" w:rsidRPr="00965341" w:rsidRDefault="006278AE" w:rsidP="006278AE">
            <w:pPr>
              <w:jc w:val="right"/>
              <w:rPr>
                <w:sz w:val="14"/>
                <w:szCs w:val="14"/>
                <w:lang w:val="en-US" w:eastAsia="en-US"/>
              </w:rPr>
            </w:pPr>
            <w:r w:rsidRPr="00965341">
              <w:rPr>
                <w:sz w:val="14"/>
                <w:szCs w:val="14"/>
                <w:lang w:val="en-US" w:eastAsia="en-US"/>
              </w:rPr>
              <w:t>1</w:t>
            </w:r>
          </w:p>
        </w:tc>
        <w:tc>
          <w:tcPr>
            <w:tcW w:w="653" w:type="dxa"/>
            <w:gridSpan w:val="2"/>
            <w:tcBorders>
              <w:top w:val="nil"/>
              <w:left w:val="nil"/>
              <w:bottom w:val="nil"/>
              <w:right w:val="nil"/>
            </w:tcBorders>
            <w:shd w:val="clear" w:color="auto" w:fill="auto"/>
            <w:noWrap/>
            <w:hideMark/>
          </w:tcPr>
          <w:p w14:paraId="45B72C0A" w14:textId="77777777" w:rsidR="006278AE" w:rsidRPr="00965341" w:rsidRDefault="006278AE" w:rsidP="006278AE">
            <w:pPr>
              <w:jc w:val="right"/>
              <w:rPr>
                <w:sz w:val="14"/>
                <w:szCs w:val="14"/>
                <w:lang w:val="en-US" w:eastAsia="en-US"/>
              </w:rPr>
            </w:pPr>
            <w:r w:rsidRPr="00965341">
              <w:rPr>
                <w:sz w:val="14"/>
                <w:szCs w:val="14"/>
                <w:lang w:val="en-US" w:eastAsia="en-US"/>
              </w:rPr>
              <w:t>123</w:t>
            </w:r>
          </w:p>
        </w:tc>
        <w:tc>
          <w:tcPr>
            <w:tcW w:w="691" w:type="dxa"/>
            <w:gridSpan w:val="2"/>
            <w:tcBorders>
              <w:top w:val="nil"/>
              <w:left w:val="nil"/>
              <w:bottom w:val="nil"/>
              <w:right w:val="nil"/>
            </w:tcBorders>
            <w:shd w:val="clear" w:color="auto" w:fill="auto"/>
            <w:noWrap/>
            <w:hideMark/>
          </w:tcPr>
          <w:p w14:paraId="1F21522D" w14:textId="77777777" w:rsidR="006278AE" w:rsidRPr="00965341" w:rsidRDefault="006278AE" w:rsidP="006278AE">
            <w:pPr>
              <w:jc w:val="right"/>
              <w:rPr>
                <w:sz w:val="14"/>
                <w:szCs w:val="14"/>
                <w:lang w:val="en-US" w:eastAsia="en-US"/>
              </w:rPr>
            </w:pPr>
            <w:r w:rsidRPr="00965341">
              <w:rPr>
                <w:sz w:val="14"/>
                <w:szCs w:val="14"/>
                <w:lang w:val="en-US" w:eastAsia="en-US"/>
              </w:rPr>
              <w:t>9.11</w:t>
            </w:r>
          </w:p>
        </w:tc>
        <w:tc>
          <w:tcPr>
            <w:tcW w:w="839" w:type="dxa"/>
            <w:gridSpan w:val="2"/>
            <w:tcBorders>
              <w:top w:val="nil"/>
              <w:left w:val="nil"/>
              <w:bottom w:val="nil"/>
              <w:right w:val="nil"/>
            </w:tcBorders>
            <w:shd w:val="clear" w:color="auto" w:fill="auto"/>
            <w:noWrap/>
            <w:hideMark/>
          </w:tcPr>
          <w:p w14:paraId="5C5A5A51" w14:textId="77777777" w:rsidR="006278AE" w:rsidRPr="00965341" w:rsidRDefault="006278AE" w:rsidP="006278AE">
            <w:pPr>
              <w:jc w:val="right"/>
              <w:rPr>
                <w:sz w:val="14"/>
                <w:szCs w:val="14"/>
                <w:lang w:val="en-US" w:eastAsia="en-US"/>
              </w:rPr>
            </w:pPr>
            <w:r w:rsidRPr="00965341">
              <w:rPr>
                <w:sz w:val="14"/>
                <w:szCs w:val="14"/>
                <w:lang w:val="en-US" w:eastAsia="en-US"/>
              </w:rPr>
              <w:t>96</w:t>
            </w:r>
          </w:p>
        </w:tc>
        <w:tc>
          <w:tcPr>
            <w:tcW w:w="884" w:type="dxa"/>
            <w:gridSpan w:val="2"/>
            <w:tcBorders>
              <w:top w:val="nil"/>
              <w:left w:val="nil"/>
              <w:bottom w:val="nil"/>
              <w:right w:val="nil"/>
            </w:tcBorders>
            <w:shd w:val="clear" w:color="auto" w:fill="auto"/>
            <w:noWrap/>
            <w:hideMark/>
          </w:tcPr>
          <w:p w14:paraId="1147CAB1" w14:textId="6BA73FF3" w:rsidR="006278AE" w:rsidRPr="00965341" w:rsidRDefault="006278AE" w:rsidP="006278AE">
            <w:pPr>
              <w:jc w:val="right"/>
              <w:rPr>
                <w:sz w:val="14"/>
                <w:szCs w:val="14"/>
                <w:lang w:val="en-US" w:eastAsia="en-US"/>
              </w:rPr>
            </w:pPr>
            <w:r w:rsidRPr="006278AE">
              <w:rPr>
                <w:sz w:val="14"/>
                <w:szCs w:val="14"/>
                <w:lang w:val="en-US" w:eastAsia="en-US"/>
              </w:rPr>
              <w:t>875</w:t>
            </w:r>
          </w:p>
        </w:tc>
        <w:tc>
          <w:tcPr>
            <w:tcW w:w="653" w:type="dxa"/>
            <w:gridSpan w:val="2"/>
            <w:tcBorders>
              <w:top w:val="nil"/>
              <w:left w:val="nil"/>
              <w:bottom w:val="nil"/>
              <w:right w:val="nil"/>
            </w:tcBorders>
            <w:shd w:val="clear" w:color="auto" w:fill="auto"/>
            <w:noWrap/>
            <w:hideMark/>
          </w:tcPr>
          <w:p w14:paraId="0A37A60C" w14:textId="77777777" w:rsidR="006278AE" w:rsidRPr="00965341" w:rsidRDefault="006278AE" w:rsidP="006278AE">
            <w:pPr>
              <w:jc w:val="right"/>
              <w:rPr>
                <w:sz w:val="14"/>
                <w:szCs w:val="14"/>
                <w:lang w:val="en-US" w:eastAsia="en-US"/>
              </w:rPr>
            </w:pPr>
            <w:r w:rsidRPr="00965341">
              <w:rPr>
                <w:sz w:val="14"/>
                <w:szCs w:val="14"/>
                <w:lang w:val="en-US" w:eastAsia="en-US"/>
              </w:rPr>
              <w:t>1.14</w:t>
            </w:r>
          </w:p>
        </w:tc>
        <w:tc>
          <w:tcPr>
            <w:tcW w:w="653" w:type="dxa"/>
            <w:gridSpan w:val="2"/>
            <w:tcBorders>
              <w:top w:val="nil"/>
              <w:left w:val="nil"/>
              <w:bottom w:val="nil"/>
              <w:right w:val="nil"/>
            </w:tcBorders>
            <w:shd w:val="clear" w:color="auto" w:fill="auto"/>
            <w:noWrap/>
            <w:hideMark/>
          </w:tcPr>
          <w:p w14:paraId="13E9C140"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53" w:type="dxa"/>
            <w:gridSpan w:val="2"/>
            <w:tcBorders>
              <w:top w:val="nil"/>
              <w:left w:val="nil"/>
              <w:bottom w:val="nil"/>
              <w:right w:val="nil"/>
            </w:tcBorders>
            <w:shd w:val="clear" w:color="auto" w:fill="auto"/>
            <w:noWrap/>
            <w:hideMark/>
          </w:tcPr>
          <w:p w14:paraId="09A77225"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91" w:type="dxa"/>
            <w:gridSpan w:val="2"/>
            <w:tcBorders>
              <w:top w:val="nil"/>
              <w:left w:val="nil"/>
              <w:bottom w:val="nil"/>
              <w:right w:val="nil"/>
            </w:tcBorders>
            <w:shd w:val="clear" w:color="auto" w:fill="auto"/>
            <w:noWrap/>
            <w:hideMark/>
          </w:tcPr>
          <w:p w14:paraId="77D2AA43" w14:textId="77777777" w:rsidR="006278AE" w:rsidRPr="00965341" w:rsidRDefault="006278AE" w:rsidP="006278AE">
            <w:pPr>
              <w:jc w:val="right"/>
              <w:rPr>
                <w:sz w:val="14"/>
                <w:szCs w:val="14"/>
                <w:lang w:val="en-US" w:eastAsia="en-US"/>
              </w:rPr>
            </w:pPr>
            <w:r w:rsidRPr="00965341">
              <w:rPr>
                <w:sz w:val="14"/>
                <w:szCs w:val="14"/>
                <w:lang w:val="en-US" w:eastAsia="en-US"/>
              </w:rPr>
              <w:t>25.2</w:t>
            </w:r>
          </w:p>
        </w:tc>
        <w:tc>
          <w:tcPr>
            <w:tcW w:w="691" w:type="dxa"/>
            <w:gridSpan w:val="2"/>
            <w:tcBorders>
              <w:top w:val="nil"/>
              <w:left w:val="nil"/>
              <w:bottom w:val="nil"/>
              <w:right w:val="nil"/>
            </w:tcBorders>
            <w:shd w:val="clear" w:color="auto" w:fill="auto"/>
            <w:noWrap/>
            <w:hideMark/>
          </w:tcPr>
          <w:p w14:paraId="67DACEB7" w14:textId="77777777" w:rsidR="006278AE" w:rsidRPr="00965341" w:rsidRDefault="006278AE" w:rsidP="006278AE">
            <w:pPr>
              <w:jc w:val="right"/>
              <w:rPr>
                <w:sz w:val="14"/>
                <w:szCs w:val="14"/>
                <w:lang w:val="en-US" w:eastAsia="en-US"/>
              </w:rPr>
            </w:pPr>
            <w:r w:rsidRPr="00965341">
              <w:rPr>
                <w:sz w:val="14"/>
                <w:szCs w:val="14"/>
                <w:lang w:val="en-US" w:eastAsia="en-US"/>
              </w:rPr>
              <w:t xml:space="preserve">23 </w:t>
            </w:r>
          </w:p>
        </w:tc>
        <w:tc>
          <w:tcPr>
            <w:tcW w:w="839" w:type="dxa"/>
            <w:gridSpan w:val="2"/>
            <w:tcBorders>
              <w:top w:val="nil"/>
              <w:left w:val="nil"/>
              <w:bottom w:val="nil"/>
              <w:right w:val="nil"/>
            </w:tcBorders>
            <w:shd w:val="clear" w:color="auto" w:fill="auto"/>
            <w:noWrap/>
            <w:hideMark/>
          </w:tcPr>
          <w:p w14:paraId="50391E6B" w14:textId="77777777" w:rsidR="006278AE" w:rsidRPr="00965341" w:rsidRDefault="006278AE" w:rsidP="006278AE">
            <w:pPr>
              <w:jc w:val="right"/>
              <w:rPr>
                <w:sz w:val="14"/>
                <w:szCs w:val="14"/>
                <w:lang w:val="en-US" w:eastAsia="en-US"/>
              </w:rPr>
            </w:pPr>
            <w:r w:rsidRPr="00965341">
              <w:rPr>
                <w:sz w:val="14"/>
                <w:szCs w:val="14"/>
                <w:lang w:val="en-US" w:eastAsia="en-US"/>
              </w:rPr>
              <w:t>2,850</w:t>
            </w:r>
          </w:p>
        </w:tc>
      </w:tr>
      <w:tr w:rsidR="006278AE" w:rsidRPr="00965341" w14:paraId="286163BC" w14:textId="77777777" w:rsidTr="00A23161">
        <w:trPr>
          <w:gridAfter w:val="1"/>
          <w:wAfter w:w="34" w:type="dxa"/>
          <w:trHeight w:hRule="exact" w:val="284"/>
        </w:trPr>
        <w:tc>
          <w:tcPr>
            <w:tcW w:w="709" w:type="dxa"/>
            <w:tcBorders>
              <w:top w:val="nil"/>
              <w:left w:val="nil"/>
              <w:bottom w:val="nil"/>
              <w:right w:val="nil"/>
            </w:tcBorders>
            <w:shd w:val="clear" w:color="auto" w:fill="auto"/>
            <w:noWrap/>
            <w:hideMark/>
          </w:tcPr>
          <w:p w14:paraId="4775E832" w14:textId="77777777" w:rsidR="006278AE" w:rsidRPr="00965341" w:rsidRDefault="006278AE" w:rsidP="006278AE">
            <w:pPr>
              <w:jc w:val="center"/>
              <w:rPr>
                <w:sz w:val="14"/>
                <w:szCs w:val="14"/>
                <w:lang w:val="en-US" w:eastAsia="en-US"/>
              </w:rPr>
            </w:pPr>
            <w:r w:rsidRPr="00965341">
              <w:rPr>
                <w:sz w:val="14"/>
                <w:szCs w:val="14"/>
                <w:lang w:val="en-US" w:eastAsia="en-US"/>
              </w:rPr>
              <w:t>No</w:t>
            </w:r>
          </w:p>
        </w:tc>
        <w:tc>
          <w:tcPr>
            <w:tcW w:w="691" w:type="dxa"/>
            <w:tcBorders>
              <w:top w:val="nil"/>
              <w:left w:val="nil"/>
              <w:bottom w:val="nil"/>
              <w:right w:val="nil"/>
            </w:tcBorders>
            <w:shd w:val="clear" w:color="auto" w:fill="auto"/>
            <w:noWrap/>
            <w:hideMark/>
          </w:tcPr>
          <w:p w14:paraId="11599EE2" w14:textId="77777777" w:rsidR="006278AE" w:rsidRPr="00965341" w:rsidRDefault="006278AE" w:rsidP="006278AE">
            <w:pPr>
              <w:jc w:val="center"/>
              <w:rPr>
                <w:sz w:val="14"/>
                <w:szCs w:val="14"/>
                <w:lang w:val="en-US" w:eastAsia="en-US"/>
              </w:rPr>
            </w:pPr>
            <w:r w:rsidRPr="00965341">
              <w:rPr>
                <w:sz w:val="14"/>
                <w:szCs w:val="14"/>
                <w:lang w:val="en-US" w:eastAsia="en-US"/>
              </w:rPr>
              <w:t>13</w:t>
            </w:r>
          </w:p>
        </w:tc>
        <w:tc>
          <w:tcPr>
            <w:tcW w:w="600" w:type="dxa"/>
            <w:tcBorders>
              <w:top w:val="nil"/>
              <w:left w:val="nil"/>
              <w:bottom w:val="nil"/>
              <w:right w:val="nil"/>
            </w:tcBorders>
            <w:shd w:val="clear" w:color="auto" w:fill="auto"/>
            <w:noWrap/>
            <w:hideMark/>
          </w:tcPr>
          <w:p w14:paraId="3630F9FA" w14:textId="77777777" w:rsidR="006278AE" w:rsidRPr="00965341" w:rsidRDefault="006278AE" w:rsidP="006278AE">
            <w:pPr>
              <w:rPr>
                <w:sz w:val="14"/>
                <w:szCs w:val="14"/>
                <w:lang w:val="en-US" w:eastAsia="en-US"/>
              </w:rPr>
            </w:pPr>
            <w:r w:rsidRPr="00965341">
              <w:rPr>
                <w:sz w:val="14"/>
                <w:szCs w:val="14"/>
                <w:lang w:val="en-US" w:eastAsia="en-US"/>
              </w:rPr>
              <w:t>U61A</w:t>
            </w:r>
          </w:p>
        </w:tc>
        <w:tc>
          <w:tcPr>
            <w:tcW w:w="4637" w:type="dxa"/>
            <w:tcBorders>
              <w:top w:val="nil"/>
              <w:left w:val="nil"/>
              <w:bottom w:val="nil"/>
              <w:right w:val="nil"/>
            </w:tcBorders>
            <w:shd w:val="clear" w:color="auto" w:fill="auto"/>
            <w:noWrap/>
            <w:hideMark/>
          </w:tcPr>
          <w:p w14:paraId="0FF2B64D" w14:textId="47CC5AE8" w:rsidR="006278AE" w:rsidRPr="00965341" w:rsidRDefault="006278AE" w:rsidP="006278AE">
            <w:pPr>
              <w:rPr>
                <w:sz w:val="14"/>
                <w:szCs w:val="14"/>
                <w:lang w:val="en-US" w:eastAsia="en-US"/>
              </w:rPr>
            </w:pPr>
            <w:r w:rsidRPr="00965341">
              <w:rPr>
                <w:sz w:val="14"/>
                <w:szCs w:val="14"/>
                <w:lang w:val="en-US" w:eastAsia="en-US"/>
              </w:rPr>
              <w:t>Schizophrenia Disorders, Major Complexity</w:t>
            </w:r>
          </w:p>
        </w:tc>
        <w:tc>
          <w:tcPr>
            <w:tcW w:w="962" w:type="dxa"/>
            <w:gridSpan w:val="3"/>
            <w:tcBorders>
              <w:top w:val="nil"/>
              <w:left w:val="nil"/>
              <w:bottom w:val="nil"/>
              <w:right w:val="nil"/>
            </w:tcBorders>
            <w:shd w:val="clear" w:color="auto" w:fill="auto"/>
            <w:noWrap/>
            <w:hideMark/>
          </w:tcPr>
          <w:p w14:paraId="6D487093" w14:textId="77777777" w:rsidR="006278AE" w:rsidRPr="00965341" w:rsidRDefault="006278AE" w:rsidP="006278AE">
            <w:pPr>
              <w:jc w:val="right"/>
              <w:rPr>
                <w:b/>
                <w:sz w:val="14"/>
                <w:szCs w:val="14"/>
                <w:lang w:val="en-US" w:eastAsia="en-US"/>
              </w:rPr>
            </w:pPr>
            <w:r w:rsidRPr="00965341">
              <w:rPr>
                <w:b/>
                <w:sz w:val="14"/>
                <w:szCs w:val="14"/>
                <w:lang w:val="en-US" w:eastAsia="en-US"/>
              </w:rPr>
              <w:t>28.2</w:t>
            </w:r>
          </w:p>
        </w:tc>
        <w:tc>
          <w:tcPr>
            <w:tcW w:w="500" w:type="dxa"/>
            <w:tcBorders>
              <w:top w:val="nil"/>
              <w:left w:val="nil"/>
              <w:bottom w:val="nil"/>
              <w:right w:val="nil"/>
            </w:tcBorders>
            <w:shd w:val="clear" w:color="auto" w:fill="auto"/>
            <w:noWrap/>
            <w:hideMark/>
          </w:tcPr>
          <w:p w14:paraId="0F13B7FC" w14:textId="77777777" w:rsidR="006278AE" w:rsidRPr="00965341" w:rsidRDefault="006278AE" w:rsidP="006278AE">
            <w:pPr>
              <w:jc w:val="right"/>
              <w:rPr>
                <w:sz w:val="14"/>
                <w:szCs w:val="14"/>
                <w:lang w:val="en-US" w:eastAsia="en-US"/>
              </w:rPr>
            </w:pPr>
            <w:r w:rsidRPr="00965341">
              <w:rPr>
                <w:sz w:val="14"/>
                <w:szCs w:val="14"/>
                <w:lang w:val="en-US" w:eastAsia="en-US"/>
              </w:rPr>
              <w:t>1</w:t>
            </w:r>
          </w:p>
        </w:tc>
        <w:tc>
          <w:tcPr>
            <w:tcW w:w="653" w:type="dxa"/>
            <w:gridSpan w:val="2"/>
            <w:tcBorders>
              <w:top w:val="nil"/>
              <w:left w:val="nil"/>
              <w:bottom w:val="nil"/>
              <w:right w:val="nil"/>
            </w:tcBorders>
            <w:shd w:val="clear" w:color="auto" w:fill="auto"/>
            <w:noWrap/>
            <w:hideMark/>
          </w:tcPr>
          <w:p w14:paraId="0285E656" w14:textId="77777777" w:rsidR="006278AE" w:rsidRPr="00965341" w:rsidRDefault="006278AE" w:rsidP="006278AE">
            <w:pPr>
              <w:jc w:val="right"/>
              <w:rPr>
                <w:sz w:val="14"/>
                <w:szCs w:val="14"/>
                <w:lang w:val="en-US" w:eastAsia="en-US"/>
              </w:rPr>
            </w:pPr>
            <w:r w:rsidRPr="00965341">
              <w:rPr>
                <w:sz w:val="14"/>
                <w:szCs w:val="14"/>
                <w:lang w:val="en-US" w:eastAsia="en-US"/>
              </w:rPr>
              <w:t>142</w:t>
            </w:r>
          </w:p>
        </w:tc>
        <w:tc>
          <w:tcPr>
            <w:tcW w:w="691" w:type="dxa"/>
            <w:gridSpan w:val="2"/>
            <w:tcBorders>
              <w:top w:val="nil"/>
              <w:left w:val="nil"/>
              <w:bottom w:val="nil"/>
              <w:right w:val="nil"/>
            </w:tcBorders>
            <w:shd w:val="clear" w:color="auto" w:fill="auto"/>
            <w:noWrap/>
            <w:hideMark/>
          </w:tcPr>
          <w:p w14:paraId="65E23606" w14:textId="77777777" w:rsidR="006278AE" w:rsidRPr="00965341" w:rsidRDefault="006278AE" w:rsidP="006278AE">
            <w:pPr>
              <w:jc w:val="right"/>
              <w:rPr>
                <w:sz w:val="14"/>
                <w:szCs w:val="14"/>
                <w:lang w:val="en-US" w:eastAsia="en-US"/>
              </w:rPr>
            </w:pPr>
            <w:r w:rsidRPr="00965341">
              <w:rPr>
                <w:sz w:val="14"/>
                <w:szCs w:val="14"/>
                <w:lang w:val="en-US" w:eastAsia="en-US"/>
              </w:rPr>
              <w:t>5.00</w:t>
            </w:r>
          </w:p>
        </w:tc>
        <w:tc>
          <w:tcPr>
            <w:tcW w:w="839" w:type="dxa"/>
            <w:gridSpan w:val="2"/>
            <w:tcBorders>
              <w:top w:val="nil"/>
              <w:left w:val="nil"/>
              <w:bottom w:val="nil"/>
              <w:right w:val="nil"/>
            </w:tcBorders>
            <w:shd w:val="clear" w:color="auto" w:fill="auto"/>
            <w:noWrap/>
            <w:hideMark/>
          </w:tcPr>
          <w:p w14:paraId="323F7AA5" w14:textId="77777777" w:rsidR="006278AE" w:rsidRPr="00965341" w:rsidRDefault="006278AE" w:rsidP="006278AE">
            <w:pPr>
              <w:jc w:val="right"/>
              <w:rPr>
                <w:sz w:val="14"/>
                <w:szCs w:val="14"/>
                <w:lang w:val="en-US" w:eastAsia="en-US"/>
              </w:rPr>
            </w:pPr>
            <w:r w:rsidRPr="00965341">
              <w:rPr>
                <w:sz w:val="14"/>
                <w:szCs w:val="14"/>
                <w:lang w:val="en-US" w:eastAsia="en-US"/>
              </w:rPr>
              <w:t>129</w:t>
            </w:r>
          </w:p>
        </w:tc>
        <w:tc>
          <w:tcPr>
            <w:tcW w:w="884" w:type="dxa"/>
            <w:gridSpan w:val="2"/>
            <w:tcBorders>
              <w:top w:val="nil"/>
              <w:left w:val="nil"/>
              <w:bottom w:val="nil"/>
              <w:right w:val="nil"/>
            </w:tcBorders>
            <w:shd w:val="clear" w:color="auto" w:fill="auto"/>
            <w:noWrap/>
            <w:hideMark/>
          </w:tcPr>
          <w:p w14:paraId="4850DD17" w14:textId="0A4D2C4A" w:rsidR="006278AE" w:rsidRPr="00965341" w:rsidRDefault="006278AE" w:rsidP="006278AE">
            <w:pPr>
              <w:jc w:val="right"/>
              <w:rPr>
                <w:sz w:val="14"/>
                <w:szCs w:val="14"/>
                <w:lang w:val="en-US" w:eastAsia="en-US"/>
              </w:rPr>
            </w:pPr>
            <w:r w:rsidRPr="006278AE">
              <w:rPr>
                <w:sz w:val="14"/>
                <w:szCs w:val="14"/>
                <w:lang w:val="en-US" w:eastAsia="en-US"/>
              </w:rPr>
              <w:t>645</w:t>
            </w:r>
          </w:p>
        </w:tc>
        <w:tc>
          <w:tcPr>
            <w:tcW w:w="653" w:type="dxa"/>
            <w:gridSpan w:val="2"/>
            <w:tcBorders>
              <w:top w:val="nil"/>
              <w:left w:val="nil"/>
              <w:bottom w:val="nil"/>
              <w:right w:val="nil"/>
            </w:tcBorders>
            <w:shd w:val="clear" w:color="auto" w:fill="auto"/>
            <w:noWrap/>
            <w:hideMark/>
          </w:tcPr>
          <w:p w14:paraId="613E8A54" w14:textId="77777777" w:rsidR="006278AE" w:rsidRPr="00965341" w:rsidRDefault="006278AE" w:rsidP="006278AE">
            <w:pPr>
              <w:jc w:val="right"/>
              <w:rPr>
                <w:sz w:val="14"/>
                <w:szCs w:val="14"/>
                <w:lang w:val="en-US" w:eastAsia="en-US"/>
              </w:rPr>
            </w:pPr>
            <w:r w:rsidRPr="00965341">
              <w:rPr>
                <w:sz w:val="14"/>
                <w:szCs w:val="14"/>
                <w:lang w:val="en-US" w:eastAsia="en-US"/>
              </w:rPr>
              <w:t>0.47</w:t>
            </w:r>
          </w:p>
        </w:tc>
        <w:tc>
          <w:tcPr>
            <w:tcW w:w="653" w:type="dxa"/>
            <w:gridSpan w:val="2"/>
            <w:tcBorders>
              <w:top w:val="nil"/>
              <w:left w:val="nil"/>
              <w:bottom w:val="nil"/>
              <w:right w:val="nil"/>
            </w:tcBorders>
            <w:shd w:val="clear" w:color="auto" w:fill="auto"/>
            <w:noWrap/>
            <w:hideMark/>
          </w:tcPr>
          <w:p w14:paraId="374DA397"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53" w:type="dxa"/>
            <w:gridSpan w:val="2"/>
            <w:tcBorders>
              <w:top w:val="nil"/>
              <w:left w:val="nil"/>
              <w:bottom w:val="nil"/>
              <w:right w:val="nil"/>
            </w:tcBorders>
            <w:shd w:val="clear" w:color="auto" w:fill="auto"/>
            <w:noWrap/>
            <w:hideMark/>
          </w:tcPr>
          <w:p w14:paraId="3889A0FC"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91" w:type="dxa"/>
            <w:gridSpan w:val="2"/>
            <w:tcBorders>
              <w:top w:val="nil"/>
              <w:left w:val="nil"/>
              <w:bottom w:val="nil"/>
              <w:right w:val="nil"/>
            </w:tcBorders>
            <w:shd w:val="clear" w:color="auto" w:fill="auto"/>
            <w:noWrap/>
            <w:hideMark/>
          </w:tcPr>
          <w:p w14:paraId="12F1C82E" w14:textId="77777777" w:rsidR="006278AE" w:rsidRPr="00965341" w:rsidRDefault="006278AE" w:rsidP="006278AE">
            <w:pPr>
              <w:jc w:val="right"/>
              <w:rPr>
                <w:sz w:val="14"/>
                <w:szCs w:val="14"/>
                <w:lang w:val="en-US" w:eastAsia="en-US"/>
              </w:rPr>
            </w:pPr>
            <w:r w:rsidRPr="00965341">
              <w:rPr>
                <w:sz w:val="14"/>
                <w:szCs w:val="14"/>
                <w:lang w:val="en-US" w:eastAsia="en-US"/>
              </w:rPr>
              <w:t>23.7</w:t>
            </w:r>
          </w:p>
        </w:tc>
        <w:tc>
          <w:tcPr>
            <w:tcW w:w="691" w:type="dxa"/>
            <w:gridSpan w:val="2"/>
            <w:tcBorders>
              <w:top w:val="nil"/>
              <w:left w:val="nil"/>
              <w:bottom w:val="nil"/>
              <w:right w:val="nil"/>
            </w:tcBorders>
            <w:shd w:val="clear" w:color="auto" w:fill="auto"/>
            <w:noWrap/>
            <w:hideMark/>
          </w:tcPr>
          <w:p w14:paraId="60993E03" w14:textId="77777777" w:rsidR="006278AE" w:rsidRPr="00965341" w:rsidRDefault="006278AE" w:rsidP="006278AE">
            <w:pPr>
              <w:jc w:val="right"/>
              <w:rPr>
                <w:sz w:val="14"/>
                <w:szCs w:val="14"/>
                <w:lang w:val="en-US" w:eastAsia="en-US"/>
              </w:rPr>
            </w:pPr>
            <w:r w:rsidRPr="00965341">
              <w:rPr>
                <w:sz w:val="14"/>
                <w:szCs w:val="14"/>
                <w:lang w:val="en-US" w:eastAsia="en-US"/>
              </w:rPr>
              <w:t xml:space="preserve">29 </w:t>
            </w:r>
          </w:p>
        </w:tc>
        <w:tc>
          <w:tcPr>
            <w:tcW w:w="839" w:type="dxa"/>
            <w:gridSpan w:val="2"/>
            <w:tcBorders>
              <w:top w:val="nil"/>
              <w:left w:val="nil"/>
              <w:bottom w:val="nil"/>
              <w:right w:val="nil"/>
            </w:tcBorders>
            <w:shd w:val="clear" w:color="auto" w:fill="auto"/>
            <w:noWrap/>
            <w:hideMark/>
          </w:tcPr>
          <w:p w14:paraId="71ECE6DB" w14:textId="77777777" w:rsidR="006278AE" w:rsidRPr="00965341" w:rsidRDefault="006278AE" w:rsidP="006278AE">
            <w:pPr>
              <w:jc w:val="right"/>
              <w:rPr>
                <w:sz w:val="14"/>
                <w:szCs w:val="14"/>
                <w:lang w:val="en-US" w:eastAsia="en-US"/>
              </w:rPr>
            </w:pPr>
            <w:r w:rsidRPr="00965341">
              <w:rPr>
                <w:sz w:val="14"/>
                <w:szCs w:val="14"/>
                <w:lang w:val="en-US" w:eastAsia="en-US"/>
              </w:rPr>
              <w:t>3,651</w:t>
            </w:r>
          </w:p>
        </w:tc>
      </w:tr>
      <w:tr w:rsidR="006278AE" w:rsidRPr="00965341" w14:paraId="7030D701" w14:textId="77777777" w:rsidTr="00A23161">
        <w:trPr>
          <w:gridAfter w:val="1"/>
          <w:wAfter w:w="34" w:type="dxa"/>
          <w:trHeight w:hRule="exact" w:val="284"/>
        </w:trPr>
        <w:tc>
          <w:tcPr>
            <w:tcW w:w="709" w:type="dxa"/>
            <w:tcBorders>
              <w:top w:val="nil"/>
              <w:left w:val="nil"/>
              <w:bottom w:val="nil"/>
              <w:right w:val="nil"/>
            </w:tcBorders>
            <w:shd w:val="clear" w:color="auto" w:fill="auto"/>
            <w:noWrap/>
            <w:hideMark/>
          </w:tcPr>
          <w:p w14:paraId="3B3BE6A8" w14:textId="77777777" w:rsidR="006278AE" w:rsidRPr="00965341" w:rsidRDefault="006278AE" w:rsidP="006278AE">
            <w:pPr>
              <w:jc w:val="center"/>
              <w:rPr>
                <w:sz w:val="14"/>
                <w:szCs w:val="14"/>
                <w:lang w:val="en-US" w:eastAsia="en-US"/>
              </w:rPr>
            </w:pPr>
            <w:r w:rsidRPr="00965341">
              <w:rPr>
                <w:sz w:val="14"/>
                <w:szCs w:val="14"/>
                <w:lang w:val="en-US" w:eastAsia="en-US"/>
              </w:rPr>
              <w:t>Yes</w:t>
            </w:r>
          </w:p>
        </w:tc>
        <w:tc>
          <w:tcPr>
            <w:tcW w:w="691" w:type="dxa"/>
            <w:tcBorders>
              <w:top w:val="nil"/>
              <w:left w:val="nil"/>
              <w:bottom w:val="nil"/>
              <w:right w:val="nil"/>
            </w:tcBorders>
            <w:shd w:val="clear" w:color="auto" w:fill="auto"/>
            <w:noWrap/>
            <w:hideMark/>
          </w:tcPr>
          <w:p w14:paraId="040CA030" w14:textId="77777777" w:rsidR="006278AE" w:rsidRPr="00965341" w:rsidRDefault="006278AE" w:rsidP="006278AE">
            <w:pPr>
              <w:jc w:val="center"/>
              <w:rPr>
                <w:sz w:val="14"/>
                <w:szCs w:val="14"/>
                <w:lang w:val="en-US" w:eastAsia="en-US"/>
              </w:rPr>
            </w:pPr>
            <w:r w:rsidRPr="00965341">
              <w:rPr>
                <w:sz w:val="14"/>
                <w:szCs w:val="14"/>
                <w:lang w:val="en-US" w:eastAsia="en-US"/>
              </w:rPr>
              <w:t>14</w:t>
            </w:r>
          </w:p>
        </w:tc>
        <w:tc>
          <w:tcPr>
            <w:tcW w:w="600" w:type="dxa"/>
            <w:tcBorders>
              <w:top w:val="nil"/>
              <w:left w:val="nil"/>
              <w:bottom w:val="nil"/>
              <w:right w:val="nil"/>
            </w:tcBorders>
            <w:shd w:val="clear" w:color="auto" w:fill="auto"/>
            <w:noWrap/>
            <w:hideMark/>
          </w:tcPr>
          <w:p w14:paraId="736A0D27" w14:textId="77777777" w:rsidR="006278AE" w:rsidRPr="00965341" w:rsidRDefault="006278AE" w:rsidP="006278AE">
            <w:pPr>
              <w:rPr>
                <w:sz w:val="14"/>
                <w:szCs w:val="14"/>
                <w:lang w:val="en-US" w:eastAsia="en-US"/>
              </w:rPr>
            </w:pPr>
            <w:r w:rsidRPr="00965341">
              <w:rPr>
                <w:sz w:val="14"/>
                <w:szCs w:val="14"/>
                <w:lang w:val="en-US" w:eastAsia="en-US"/>
              </w:rPr>
              <w:t>R03A</w:t>
            </w:r>
          </w:p>
        </w:tc>
        <w:tc>
          <w:tcPr>
            <w:tcW w:w="4637" w:type="dxa"/>
            <w:tcBorders>
              <w:top w:val="nil"/>
              <w:left w:val="nil"/>
              <w:bottom w:val="nil"/>
              <w:right w:val="nil"/>
            </w:tcBorders>
            <w:shd w:val="clear" w:color="auto" w:fill="auto"/>
            <w:noWrap/>
            <w:hideMark/>
          </w:tcPr>
          <w:p w14:paraId="46878874" w14:textId="77777777" w:rsidR="006278AE" w:rsidRPr="00965341" w:rsidRDefault="006278AE" w:rsidP="006278AE">
            <w:pPr>
              <w:rPr>
                <w:sz w:val="14"/>
                <w:szCs w:val="14"/>
                <w:lang w:val="en-US" w:eastAsia="en-US"/>
              </w:rPr>
            </w:pPr>
            <w:r w:rsidRPr="00965341">
              <w:rPr>
                <w:sz w:val="14"/>
                <w:szCs w:val="14"/>
                <w:lang w:val="en-US" w:eastAsia="en-US"/>
              </w:rPr>
              <w:t xml:space="preserve">Lymphoma and </w:t>
            </w:r>
            <w:proofErr w:type="spellStart"/>
            <w:r w:rsidRPr="00965341">
              <w:rPr>
                <w:sz w:val="14"/>
                <w:szCs w:val="14"/>
                <w:lang w:val="en-US" w:eastAsia="en-US"/>
              </w:rPr>
              <w:t>Leukaemia</w:t>
            </w:r>
            <w:proofErr w:type="spellEnd"/>
            <w:r w:rsidRPr="00965341">
              <w:rPr>
                <w:sz w:val="14"/>
                <w:szCs w:val="14"/>
                <w:lang w:val="en-US" w:eastAsia="en-US"/>
              </w:rPr>
              <w:t xml:space="preserve"> W Other OR Procedures, Major Complexity</w:t>
            </w:r>
          </w:p>
        </w:tc>
        <w:tc>
          <w:tcPr>
            <w:tcW w:w="962" w:type="dxa"/>
            <w:gridSpan w:val="3"/>
            <w:tcBorders>
              <w:top w:val="nil"/>
              <w:left w:val="nil"/>
              <w:bottom w:val="nil"/>
              <w:right w:val="nil"/>
            </w:tcBorders>
            <w:shd w:val="clear" w:color="auto" w:fill="auto"/>
            <w:noWrap/>
            <w:hideMark/>
          </w:tcPr>
          <w:p w14:paraId="588AAA92" w14:textId="77777777" w:rsidR="006278AE" w:rsidRPr="00965341" w:rsidRDefault="006278AE" w:rsidP="006278AE">
            <w:pPr>
              <w:jc w:val="right"/>
              <w:rPr>
                <w:b/>
                <w:sz w:val="14"/>
                <w:szCs w:val="14"/>
                <w:lang w:val="en-US" w:eastAsia="en-US"/>
              </w:rPr>
            </w:pPr>
            <w:r w:rsidRPr="00965341">
              <w:rPr>
                <w:b/>
                <w:sz w:val="14"/>
                <w:szCs w:val="14"/>
                <w:lang w:val="en-US" w:eastAsia="en-US"/>
              </w:rPr>
              <w:t>27.8</w:t>
            </w:r>
          </w:p>
        </w:tc>
        <w:tc>
          <w:tcPr>
            <w:tcW w:w="500" w:type="dxa"/>
            <w:tcBorders>
              <w:top w:val="nil"/>
              <w:left w:val="nil"/>
              <w:bottom w:val="nil"/>
              <w:right w:val="nil"/>
            </w:tcBorders>
            <w:shd w:val="clear" w:color="auto" w:fill="auto"/>
            <w:noWrap/>
            <w:hideMark/>
          </w:tcPr>
          <w:p w14:paraId="5ABE9A79" w14:textId="77777777" w:rsidR="006278AE" w:rsidRPr="00965341" w:rsidRDefault="006278AE" w:rsidP="006278AE">
            <w:pPr>
              <w:jc w:val="right"/>
              <w:rPr>
                <w:sz w:val="14"/>
                <w:szCs w:val="14"/>
                <w:lang w:val="en-US" w:eastAsia="en-US"/>
              </w:rPr>
            </w:pPr>
            <w:r w:rsidRPr="00965341">
              <w:rPr>
                <w:sz w:val="14"/>
                <w:szCs w:val="14"/>
                <w:lang w:val="en-US" w:eastAsia="en-US"/>
              </w:rPr>
              <w:t>1</w:t>
            </w:r>
          </w:p>
        </w:tc>
        <w:tc>
          <w:tcPr>
            <w:tcW w:w="653" w:type="dxa"/>
            <w:gridSpan w:val="2"/>
            <w:tcBorders>
              <w:top w:val="nil"/>
              <w:left w:val="nil"/>
              <w:bottom w:val="nil"/>
              <w:right w:val="nil"/>
            </w:tcBorders>
            <w:shd w:val="clear" w:color="auto" w:fill="auto"/>
            <w:noWrap/>
            <w:hideMark/>
          </w:tcPr>
          <w:p w14:paraId="5D390253" w14:textId="77777777" w:rsidR="006278AE" w:rsidRPr="00965341" w:rsidRDefault="006278AE" w:rsidP="006278AE">
            <w:pPr>
              <w:jc w:val="right"/>
              <w:rPr>
                <w:sz w:val="14"/>
                <w:szCs w:val="14"/>
                <w:lang w:val="en-US" w:eastAsia="en-US"/>
              </w:rPr>
            </w:pPr>
            <w:r w:rsidRPr="00965341">
              <w:rPr>
                <w:sz w:val="14"/>
                <w:szCs w:val="14"/>
                <w:lang w:val="en-US" w:eastAsia="en-US"/>
              </w:rPr>
              <w:t>97</w:t>
            </w:r>
          </w:p>
        </w:tc>
        <w:tc>
          <w:tcPr>
            <w:tcW w:w="691" w:type="dxa"/>
            <w:gridSpan w:val="2"/>
            <w:tcBorders>
              <w:top w:val="nil"/>
              <w:left w:val="nil"/>
              <w:bottom w:val="nil"/>
              <w:right w:val="nil"/>
            </w:tcBorders>
            <w:shd w:val="clear" w:color="auto" w:fill="auto"/>
            <w:noWrap/>
            <w:hideMark/>
          </w:tcPr>
          <w:p w14:paraId="6F1B1958" w14:textId="77777777" w:rsidR="006278AE" w:rsidRPr="00965341" w:rsidRDefault="006278AE" w:rsidP="006278AE">
            <w:pPr>
              <w:jc w:val="right"/>
              <w:rPr>
                <w:sz w:val="14"/>
                <w:szCs w:val="14"/>
                <w:lang w:val="en-US" w:eastAsia="en-US"/>
              </w:rPr>
            </w:pPr>
            <w:r w:rsidRPr="00965341">
              <w:rPr>
                <w:sz w:val="14"/>
                <w:szCs w:val="14"/>
                <w:lang w:val="en-US" w:eastAsia="en-US"/>
              </w:rPr>
              <w:t>7.77</w:t>
            </w:r>
          </w:p>
        </w:tc>
        <w:tc>
          <w:tcPr>
            <w:tcW w:w="839" w:type="dxa"/>
            <w:gridSpan w:val="2"/>
            <w:tcBorders>
              <w:top w:val="nil"/>
              <w:left w:val="nil"/>
              <w:bottom w:val="nil"/>
              <w:right w:val="nil"/>
            </w:tcBorders>
            <w:shd w:val="clear" w:color="auto" w:fill="auto"/>
            <w:noWrap/>
            <w:hideMark/>
          </w:tcPr>
          <w:p w14:paraId="7DA83415" w14:textId="77777777" w:rsidR="006278AE" w:rsidRPr="00965341" w:rsidRDefault="006278AE" w:rsidP="006278AE">
            <w:pPr>
              <w:jc w:val="right"/>
              <w:rPr>
                <w:sz w:val="14"/>
                <w:szCs w:val="14"/>
                <w:lang w:val="en-US" w:eastAsia="en-US"/>
              </w:rPr>
            </w:pPr>
            <w:r w:rsidRPr="00965341">
              <w:rPr>
                <w:sz w:val="14"/>
                <w:szCs w:val="14"/>
                <w:lang w:val="en-US" w:eastAsia="en-US"/>
              </w:rPr>
              <w:t>145</w:t>
            </w:r>
          </w:p>
        </w:tc>
        <w:tc>
          <w:tcPr>
            <w:tcW w:w="884" w:type="dxa"/>
            <w:gridSpan w:val="2"/>
            <w:tcBorders>
              <w:top w:val="nil"/>
              <w:left w:val="nil"/>
              <w:bottom w:val="nil"/>
              <w:right w:val="nil"/>
            </w:tcBorders>
            <w:shd w:val="clear" w:color="auto" w:fill="auto"/>
            <w:noWrap/>
            <w:hideMark/>
          </w:tcPr>
          <w:p w14:paraId="38E31838" w14:textId="4DA8D2A5" w:rsidR="006278AE" w:rsidRPr="00965341" w:rsidRDefault="006278AE" w:rsidP="006278AE">
            <w:pPr>
              <w:jc w:val="right"/>
              <w:rPr>
                <w:sz w:val="14"/>
                <w:szCs w:val="14"/>
                <w:lang w:val="en-US" w:eastAsia="en-US"/>
              </w:rPr>
            </w:pPr>
            <w:r w:rsidRPr="006278AE">
              <w:rPr>
                <w:sz w:val="14"/>
                <w:szCs w:val="14"/>
                <w:lang w:val="en-US" w:eastAsia="en-US"/>
              </w:rPr>
              <w:t>1,127</w:t>
            </w:r>
          </w:p>
        </w:tc>
        <w:tc>
          <w:tcPr>
            <w:tcW w:w="653" w:type="dxa"/>
            <w:gridSpan w:val="2"/>
            <w:tcBorders>
              <w:top w:val="nil"/>
              <w:left w:val="nil"/>
              <w:bottom w:val="nil"/>
              <w:right w:val="nil"/>
            </w:tcBorders>
            <w:shd w:val="clear" w:color="auto" w:fill="auto"/>
            <w:noWrap/>
            <w:hideMark/>
          </w:tcPr>
          <w:p w14:paraId="7B24E94B" w14:textId="77777777" w:rsidR="006278AE" w:rsidRPr="00965341" w:rsidRDefault="006278AE" w:rsidP="006278AE">
            <w:pPr>
              <w:jc w:val="right"/>
              <w:rPr>
                <w:sz w:val="14"/>
                <w:szCs w:val="14"/>
                <w:lang w:val="en-US" w:eastAsia="en-US"/>
              </w:rPr>
            </w:pPr>
            <w:r w:rsidRPr="00965341">
              <w:rPr>
                <w:sz w:val="14"/>
                <w:szCs w:val="14"/>
                <w:lang w:val="en-US" w:eastAsia="en-US"/>
              </w:rPr>
              <w:t>0.55</w:t>
            </w:r>
          </w:p>
        </w:tc>
        <w:tc>
          <w:tcPr>
            <w:tcW w:w="653" w:type="dxa"/>
            <w:gridSpan w:val="2"/>
            <w:tcBorders>
              <w:top w:val="nil"/>
              <w:left w:val="nil"/>
              <w:bottom w:val="nil"/>
              <w:right w:val="nil"/>
            </w:tcBorders>
            <w:shd w:val="clear" w:color="auto" w:fill="auto"/>
            <w:noWrap/>
            <w:hideMark/>
          </w:tcPr>
          <w:p w14:paraId="5216D0FD"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53" w:type="dxa"/>
            <w:gridSpan w:val="2"/>
            <w:tcBorders>
              <w:top w:val="nil"/>
              <w:left w:val="nil"/>
              <w:bottom w:val="nil"/>
              <w:right w:val="nil"/>
            </w:tcBorders>
            <w:shd w:val="clear" w:color="auto" w:fill="auto"/>
            <w:noWrap/>
            <w:hideMark/>
          </w:tcPr>
          <w:p w14:paraId="505C65BB"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91" w:type="dxa"/>
            <w:gridSpan w:val="2"/>
            <w:tcBorders>
              <w:top w:val="nil"/>
              <w:left w:val="nil"/>
              <w:bottom w:val="nil"/>
              <w:right w:val="nil"/>
            </w:tcBorders>
            <w:shd w:val="clear" w:color="auto" w:fill="auto"/>
            <w:noWrap/>
            <w:hideMark/>
          </w:tcPr>
          <w:p w14:paraId="03B79F63" w14:textId="77777777" w:rsidR="006278AE" w:rsidRPr="00965341" w:rsidRDefault="006278AE" w:rsidP="006278AE">
            <w:pPr>
              <w:jc w:val="right"/>
              <w:rPr>
                <w:sz w:val="14"/>
                <w:szCs w:val="14"/>
                <w:lang w:val="en-US" w:eastAsia="en-US"/>
              </w:rPr>
            </w:pPr>
            <w:r w:rsidRPr="00965341">
              <w:rPr>
                <w:sz w:val="14"/>
                <w:szCs w:val="14"/>
                <w:lang w:val="en-US" w:eastAsia="en-US"/>
              </w:rPr>
              <w:t>31.3</w:t>
            </w:r>
          </w:p>
        </w:tc>
        <w:tc>
          <w:tcPr>
            <w:tcW w:w="691" w:type="dxa"/>
            <w:gridSpan w:val="2"/>
            <w:tcBorders>
              <w:top w:val="nil"/>
              <w:left w:val="nil"/>
              <w:bottom w:val="nil"/>
              <w:right w:val="nil"/>
            </w:tcBorders>
            <w:shd w:val="clear" w:color="auto" w:fill="auto"/>
            <w:noWrap/>
            <w:hideMark/>
          </w:tcPr>
          <w:p w14:paraId="366A5462" w14:textId="77777777" w:rsidR="006278AE" w:rsidRPr="00965341" w:rsidRDefault="006278AE" w:rsidP="006278AE">
            <w:pPr>
              <w:jc w:val="right"/>
              <w:rPr>
                <w:sz w:val="14"/>
                <w:szCs w:val="14"/>
                <w:lang w:val="en-US" w:eastAsia="en-US"/>
              </w:rPr>
            </w:pPr>
            <w:r w:rsidRPr="00965341">
              <w:rPr>
                <w:sz w:val="14"/>
                <w:szCs w:val="14"/>
                <w:lang w:val="en-US" w:eastAsia="en-US"/>
              </w:rPr>
              <w:t xml:space="preserve">11 </w:t>
            </w:r>
          </w:p>
        </w:tc>
        <w:tc>
          <w:tcPr>
            <w:tcW w:w="839" w:type="dxa"/>
            <w:gridSpan w:val="2"/>
            <w:tcBorders>
              <w:top w:val="nil"/>
              <w:left w:val="nil"/>
              <w:bottom w:val="nil"/>
              <w:right w:val="nil"/>
            </w:tcBorders>
            <w:shd w:val="clear" w:color="auto" w:fill="auto"/>
            <w:noWrap/>
            <w:hideMark/>
          </w:tcPr>
          <w:p w14:paraId="28340F04" w14:textId="77777777" w:rsidR="006278AE" w:rsidRPr="00965341" w:rsidRDefault="006278AE" w:rsidP="006278AE">
            <w:pPr>
              <w:jc w:val="right"/>
              <w:rPr>
                <w:sz w:val="14"/>
                <w:szCs w:val="14"/>
                <w:lang w:val="en-US" w:eastAsia="en-US"/>
              </w:rPr>
            </w:pPr>
            <w:r w:rsidRPr="00965341">
              <w:rPr>
                <w:sz w:val="14"/>
                <w:szCs w:val="14"/>
                <w:lang w:val="en-US" w:eastAsia="en-US"/>
              </w:rPr>
              <w:t>4,023</w:t>
            </w:r>
          </w:p>
        </w:tc>
      </w:tr>
      <w:tr w:rsidR="006278AE" w:rsidRPr="00965341" w14:paraId="2023E237" w14:textId="77777777" w:rsidTr="00A23161">
        <w:trPr>
          <w:gridAfter w:val="1"/>
          <w:wAfter w:w="34" w:type="dxa"/>
          <w:trHeight w:hRule="exact" w:val="284"/>
        </w:trPr>
        <w:tc>
          <w:tcPr>
            <w:tcW w:w="709" w:type="dxa"/>
            <w:tcBorders>
              <w:top w:val="nil"/>
              <w:left w:val="nil"/>
              <w:bottom w:val="nil"/>
              <w:right w:val="nil"/>
            </w:tcBorders>
            <w:shd w:val="clear" w:color="auto" w:fill="auto"/>
            <w:noWrap/>
            <w:hideMark/>
          </w:tcPr>
          <w:p w14:paraId="1CB5374E" w14:textId="77777777" w:rsidR="006278AE" w:rsidRPr="00965341" w:rsidRDefault="006278AE" w:rsidP="006278AE">
            <w:pPr>
              <w:jc w:val="center"/>
              <w:rPr>
                <w:sz w:val="14"/>
                <w:szCs w:val="14"/>
                <w:lang w:val="en-US" w:eastAsia="en-US"/>
              </w:rPr>
            </w:pPr>
            <w:r w:rsidRPr="00965341">
              <w:rPr>
                <w:sz w:val="14"/>
                <w:szCs w:val="14"/>
                <w:lang w:val="en-US" w:eastAsia="en-US"/>
              </w:rPr>
              <w:t>Yes</w:t>
            </w:r>
          </w:p>
        </w:tc>
        <w:tc>
          <w:tcPr>
            <w:tcW w:w="691" w:type="dxa"/>
            <w:tcBorders>
              <w:top w:val="nil"/>
              <w:left w:val="nil"/>
              <w:bottom w:val="nil"/>
              <w:right w:val="nil"/>
            </w:tcBorders>
            <w:shd w:val="clear" w:color="auto" w:fill="auto"/>
            <w:noWrap/>
            <w:hideMark/>
          </w:tcPr>
          <w:p w14:paraId="6F175B36" w14:textId="77777777" w:rsidR="006278AE" w:rsidRPr="00965341" w:rsidRDefault="006278AE" w:rsidP="006278AE">
            <w:pPr>
              <w:jc w:val="center"/>
              <w:rPr>
                <w:sz w:val="14"/>
                <w:szCs w:val="14"/>
                <w:lang w:val="en-US" w:eastAsia="en-US"/>
              </w:rPr>
            </w:pPr>
            <w:r w:rsidRPr="00965341">
              <w:rPr>
                <w:sz w:val="14"/>
                <w:szCs w:val="14"/>
                <w:lang w:val="en-US" w:eastAsia="en-US"/>
              </w:rPr>
              <w:t>15</w:t>
            </w:r>
          </w:p>
        </w:tc>
        <w:tc>
          <w:tcPr>
            <w:tcW w:w="600" w:type="dxa"/>
            <w:tcBorders>
              <w:top w:val="nil"/>
              <w:left w:val="nil"/>
              <w:bottom w:val="nil"/>
              <w:right w:val="nil"/>
            </w:tcBorders>
            <w:shd w:val="clear" w:color="auto" w:fill="auto"/>
            <w:noWrap/>
            <w:hideMark/>
          </w:tcPr>
          <w:p w14:paraId="6E132971" w14:textId="77777777" w:rsidR="006278AE" w:rsidRPr="00965341" w:rsidRDefault="006278AE" w:rsidP="006278AE">
            <w:pPr>
              <w:rPr>
                <w:sz w:val="14"/>
                <w:szCs w:val="14"/>
                <w:lang w:val="en-US" w:eastAsia="en-US"/>
              </w:rPr>
            </w:pPr>
            <w:r w:rsidRPr="00965341">
              <w:rPr>
                <w:sz w:val="14"/>
                <w:szCs w:val="14"/>
                <w:lang w:val="en-US" w:eastAsia="en-US"/>
              </w:rPr>
              <w:t>U66A</w:t>
            </w:r>
          </w:p>
        </w:tc>
        <w:tc>
          <w:tcPr>
            <w:tcW w:w="4637" w:type="dxa"/>
            <w:tcBorders>
              <w:top w:val="nil"/>
              <w:left w:val="nil"/>
              <w:bottom w:val="nil"/>
              <w:right w:val="nil"/>
            </w:tcBorders>
            <w:shd w:val="clear" w:color="auto" w:fill="auto"/>
            <w:noWrap/>
            <w:hideMark/>
          </w:tcPr>
          <w:p w14:paraId="7029B395" w14:textId="77777777" w:rsidR="006278AE" w:rsidRPr="00965341" w:rsidRDefault="006278AE" w:rsidP="006278AE">
            <w:pPr>
              <w:rPr>
                <w:sz w:val="14"/>
                <w:szCs w:val="14"/>
                <w:lang w:val="en-US" w:eastAsia="en-US"/>
              </w:rPr>
            </w:pPr>
            <w:r w:rsidRPr="00965341">
              <w:rPr>
                <w:sz w:val="14"/>
                <w:szCs w:val="14"/>
                <w:lang w:val="en-US" w:eastAsia="en-US"/>
              </w:rPr>
              <w:t>Eating and Obsessive-Compulsive Disorders, Major Complexity</w:t>
            </w:r>
          </w:p>
        </w:tc>
        <w:tc>
          <w:tcPr>
            <w:tcW w:w="962" w:type="dxa"/>
            <w:gridSpan w:val="3"/>
            <w:tcBorders>
              <w:top w:val="nil"/>
              <w:left w:val="nil"/>
              <w:bottom w:val="nil"/>
              <w:right w:val="nil"/>
            </w:tcBorders>
            <w:shd w:val="clear" w:color="auto" w:fill="auto"/>
            <w:noWrap/>
            <w:hideMark/>
          </w:tcPr>
          <w:p w14:paraId="0ADB4BC0" w14:textId="77777777" w:rsidR="006278AE" w:rsidRPr="00965341" w:rsidRDefault="006278AE" w:rsidP="006278AE">
            <w:pPr>
              <w:jc w:val="right"/>
              <w:rPr>
                <w:b/>
                <w:sz w:val="14"/>
                <w:szCs w:val="14"/>
                <w:lang w:val="en-US" w:eastAsia="en-US"/>
              </w:rPr>
            </w:pPr>
            <w:r w:rsidRPr="00965341">
              <w:rPr>
                <w:b/>
                <w:sz w:val="14"/>
                <w:szCs w:val="14"/>
                <w:lang w:val="en-US" w:eastAsia="en-US"/>
              </w:rPr>
              <w:t>26.7</w:t>
            </w:r>
          </w:p>
        </w:tc>
        <w:tc>
          <w:tcPr>
            <w:tcW w:w="500" w:type="dxa"/>
            <w:tcBorders>
              <w:top w:val="nil"/>
              <w:left w:val="nil"/>
              <w:bottom w:val="nil"/>
              <w:right w:val="nil"/>
            </w:tcBorders>
            <w:shd w:val="clear" w:color="auto" w:fill="auto"/>
            <w:noWrap/>
            <w:hideMark/>
          </w:tcPr>
          <w:p w14:paraId="19F5B887" w14:textId="77777777" w:rsidR="006278AE" w:rsidRPr="00965341" w:rsidRDefault="006278AE" w:rsidP="006278AE">
            <w:pPr>
              <w:jc w:val="right"/>
              <w:rPr>
                <w:sz w:val="14"/>
                <w:szCs w:val="14"/>
                <w:lang w:val="en-US" w:eastAsia="en-US"/>
              </w:rPr>
            </w:pPr>
            <w:r w:rsidRPr="00965341">
              <w:rPr>
                <w:sz w:val="14"/>
                <w:szCs w:val="14"/>
                <w:lang w:val="en-US" w:eastAsia="en-US"/>
              </w:rPr>
              <w:t>1</w:t>
            </w:r>
          </w:p>
        </w:tc>
        <w:tc>
          <w:tcPr>
            <w:tcW w:w="653" w:type="dxa"/>
            <w:gridSpan w:val="2"/>
            <w:tcBorders>
              <w:top w:val="nil"/>
              <w:left w:val="nil"/>
              <w:bottom w:val="nil"/>
              <w:right w:val="nil"/>
            </w:tcBorders>
            <w:shd w:val="clear" w:color="auto" w:fill="auto"/>
            <w:noWrap/>
            <w:hideMark/>
          </w:tcPr>
          <w:p w14:paraId="02B4DA3B" w14:textId="77777777" w:rsidR="006278AE" w:rsidRPr="00965341" w:rsidRDefault="006278AE" w:rsidP="006278AE">
            <w:pPr>
              <w:jc w:val="right"/>
              <w:rPr>
                <w:sz w:val="14"/>
                <w:szCs w:val="14"/>
                <w:lang w:val="en-US" w:eastAsia="en-US"/>
              </w:rPr>
            </w:pPr>
            <w:r w:rsidRPr="00965341">
              <w:rPr>
                <w:sz w:val="14"/>
                <w:szCs w:val="14"/>
                <w:lang w:val="en-US" w:eastAsia="en-US"/>
              </w:rPr>
              <w:t>132</w:t>
            </w:r>
          </w:p>
        </w:tc>
        <w:tc>
          <w:tcPr>
            <w:tcW w:w="691" w:type="dxa"/>
            <w:gridSpan w:val="2"/>
            <w:tcBorders>
              <w:top w:val="nil"/>
              <w:left w:val="nil"/>
              <w:bottom w:val="nil"/>
              <w:right w:val="nil"/>
            </w:tcBorders>
            <w:shd w:val="clear" w:color="auto" w:fill="auto"/>
            <w:noWrap/>
            <w:hideMark/>
          </w:tcPr>
          <w:p w14:paraId="6F24ABF9" w14:textId="77777777" w:rsidR="006278AE" w:rsidRPr="00965341" w:rsidRDefault="006278AE" w:rsidP="006278AE">
            <w:pPr>
              <w:jc w:val="right"/>
              <w:rPr>
                <w:sz w:val="14"/>
                <w:szCs w:val="14"/>
                <w:lang w:val="en-US" w:eastAsia="en-US"/>
              </w:rPr>
            </w:pPr>
            <w:r w:rsidRPr="00965341">
              <w:rPr>
                <w:sz w:val="14"/>
                <w:szCs w:val="14"/>
                <w:lang w:val="en-US" w:eastAsia="en-US"/>
              </w:rPr>
              <w:t>4.27</w:t>
            </w:r>
          </w:p>
        </w:tc>
        <w:tc>
          <w:tcPr>
            <w:tcW w:w="839" w:type="dxa"/>
            <w:gridSpan w:val="2"/>
            <w:tcBorders>
              <w:top w:val="nil"/>
              <w:left w:val="nil"/>
              <w:bottom w:val="nil"/>
              <w:right w:val="nil"/>
            </w:tcBorders>
            <w:shd w:val="clear" w:color="auto" w:fill="auto"/>
            <w:noWrap/>
            <w:hideMark/>
          </w:tcPr>
          <w:p w14:paraId="6CE6658B" w14:textId="77777777" w:rsidR="006278AE" w:rsidRPr="00965341" w:rsidRDefault="006278AE" w:rsidP="006278AE">
            <w:pPr>
              <w:jc w:val="right"/>
              <w:rPr>
                <w:sz w:val="14"/>
                <w:szCs w:val="14"/>
                <w:lang w:val="en-US" w:eastAsia="en-US"/>
              </w:rPr>
            </w:pPr>
            <w:r w:rsidRPr="00965341">
              <w:rPr>
                <w:sz w:val="14"/>
                <w:szCs w:val="14"/>
                <w:lang w:val="en-US" w:eastAsia="en-US"/>
              </w:rPr>
              <w:t>109</w:t>
            </w:r>
          </w:p>
        </w:tc>
        <w:tc>
          <w:tcPr>
            <w:tcW w:w="884" w:type="dxa"/>
            <w:gridSpan w:val="2"/>
            <w:tcBorders>
              <w:top w:val="nil"/>
              <w:left w:val="nil"/>
              <w:bottom w:val="nil"/>
              <w:right w:val="nil"/>
            </w:tcBorders>
            <w:shd w:val="clear" w:color="auto" w:fill="auto"/>
            <w:noWrap/>
            <w:hideMark/>
          </w:tcPr>
          <w:p w14:paraId="5DD2809A" w14:textId="60A5F3E2" w:rsidR="006278AE" w:rsidRPr="00965341" w:rsidRDefault="006278AE" w:rsidP="006278AE">
            <w:pPr>
              <w:jc w:val="right"/>
              <w:rPr>
                <w:sz w:val="14"/>
                <w:szCs w:val="14"/>
                <w:lang w:val="en-US" w:eastAsia="en-US"/>
              </w:rPr>
            </w:pPr>
            <w:r w:rsidRPr="006278AE">
              <w:rPr>
                <w:sz w:val="14"/>
                <w:szCs w:val="14"/>
                <w:lang w:val="en-US" w:eastAsia="en-US"/>
              </w:rPr>
              <w:t>465</w:t>
            </w:r>
          </w:p>
        </w:tc>
        <w:tc>
          <w:tcPr>
            <w:tcW w:w="653" w:type="dxa"/>
            <w:gridSpan w:val="2"/>
            <w:tcBorders>
              <w:top w:val="nil"/>
              <w:left w:val="nil"/>
              <w:bottom w:val="nil"/>
              <w:right w:val="nil"/>
            </w:tcBorders>
            <w:shd w:val="clear" w:color="auto" w:fill="auto"/>
            <w:noWrap/>
            <w:hideMark/>
          </w:tcPr>
          <w:p w14:paraId="6F9C7E91" w14:textId="77777777" w:rsidR="006278AE" w:rsidRPr="00965341" w:rsidRDefault="006278AE" w:rsidP="006278AE">
            <w:pPr>
              <w:jc w:val="right"/>
              <w:rPr>
                <w:sz w:val="14"/>
                <w:szCs w:val="14"/>
                <w:lang w:val="en-US" w:eastAsia="en-US"/>
              </w:rPr>
            </w:pPr>
            <w:r w:rsidRPr="00965341">
              <w:rPr>
                <w:sz w:val="14"/>
                <w:szCs w:val="14"/>
                <w:lang w:val="en-US" w:eastAsia="en-US"/>
              </w:rPr>
              <w:t>0.31</w:t>
            </w:r>
          </w:p>
        </w:tc>
        <w:tc>
          <w:tcPr>
            <w:tcW w:w="653" w:type="dxa"/>
            <w:gridSpan w:val="2"/>
            <w:tcBorders>
              <w:top w:val="nil"/>
              <w:left w:val="nil"/>
              <w:bottom w:val="nil"/>
              <w:right w:val="nil"/>
            </w:tcBorders>
            <w:shd w:val="clear" w:color="auto" w:fill="auto"/>
            <w:noWrap/>
            <w:hideMark/>
          </w:tcPr>
          <w:p w14:paraId="61B06CB8"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53" w:type="dxa"/>
            <w:gridSpan w:val="2"/>
            <w:tcBorders>
              <w:top w:val="nil"/>
              <w:left w:val="nil"/>
              <w:bottom w:val="nil"/>
              <w:right w:val="nil"/>
            </w:tcBorders>
            <w:shd w:val="clear" w:color="auto" w:fill="auto"/>
            <w:noWrap/>
            <w:hideMark/>
          </w:tcPr>
          <w:p w14:paraId="4847CC59"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91" w:type="dxa"/>
            <w:gridSpan w:val="2"/>
            <w:tcBorders>
              <w:top w:val="nil"/>
              <w:left w:val="nil"/>
              <w:bottom w:val="nil"/>
              <w:right w:val="nil"/>
            </w:tcBorders>
            <w:shd w:val="clear" w:color="auto" w:fill="auto"/>
            <w:noWrap/>
            <w:hideMark/>
          </w:tcPr>
          <w:p w14:paraId="057755B1" w14:textId="77777777" w:rsidR="006278AE" w:rsidRPr="00965341" w:rsidRDefault="006278AE" w:rsidP="006278AE">
            <w:pPr>
              <w:jc w:val="right"/>
              <w:rPr>
                <w:sz w:val="14"/>
                <w:szCs w:val="14"/>
                <w:lang w:val="en-US" w:eastAsia="en-US"/>
              </w:rPr>
            </w:pPr>
            <w:r w:rsidRPr="00965341">
              <w:rPr>
                <w:sz w:val="14"/>
                <w:szCs w:val="14"/>
                <w:lang w:val="en-US" w:eastAsia="en-US"/>
              </w:rPr>
              <w:t>33.0</w:t>
            </w:r>
          </w:p>
        </w:tc>
        <w:tc>
          <w:tcPr>
            <w:tcW w:w="691" w:type="dxa"/>
            <w:gridSpan w:val="2"/>
            <w:tcBorders>
              <w:top w:val="nil"/>
              <w:left w:val="nil"/>
              <w:bottom w:val="nil"/>
              <w:right w:val="nil"/>
            </w:tcBorders>
            <w:shd w:val="clear" w:color="auto" w:fill="auto"/>
            <w:noWrap/>
            <w:hideMark/>
          </w:tcPr>
          <w:p w14:paraId="4E1F153B" w14:textId="77777777" w:rsidR="006278AE" w:rsidRPr="00965341" w:rsidRDefault="006278AE" w:rsidP="006278AE">
            <w:pPr>
              <w:jc w:val="right"/>
              <w:rPr>
                <w:sz w:val="14"/>
                <w:szCs w:val="14"/>
                <w:lang w:val="en-US" w:eastAsia="en-US"/>
              </w:rPr>
            </w:pPr>
            <w:r w:rsidRPr="00965341">
              <w:rPr>
                <w:sz w:val="14"/>
                <w:szCs w:val="14"/>
                <w:lang w:val="en-US" w:eastAsia="en-US"/>
              </w:rPr>
              <w:t xml:space="preserve">7 </w:t>
            </w:r>
          </w:p>
        </w:tc>
        <w:tc>
          <w:tcPr>
            <w:tcW w:w="839" w:type="dxa"/>
            <w:gridSpan w:val="2"/>
            <w:tcBorders>
              <w:top w:val="nil"/>
              <w:left w:val="nil"/>
              <w:bottom w:val="nil"/>
              <w:right w:val="nil"/>
            </w:tcBorders>
            <w:shd w:val="clear" w:color="auto" w:fill="auto"/>
            <w:noWrap/>
            <w:hideMark/>
          </w:tcPr>
          <w:p w14:paraId="197E5F8A" w14:textId="77777777" w:rsidR="006278AE" w:rsidRPr="00965341" w:rsidRDefault="006278AE" w:rsidP="006278AE">
            <w:pPr>
              <w:jc w:val="right"/>
              <w:rPr>
                <w:sz w:val="14"/>
                <w:szCs w:val="14"/>
                <w:lang w:val="en-US" w:eastAsia="en-US"/>
              </w:rPr>
            </w:pPr>
            <w:r w:rsidRPr="00965341">
              <w:rPr>
                <w:sz w:val="14"/>
                <w:szCs w:val="14"/>
                <w:lang w:val="en-US" w:eastAsia="en-US"/>
              </w:rPr>
              <w:t>2,915</w:t>
            </w:r>
          </w:p>
        </w:tc>
      </w:tr>
      <w:tr w:rsidR="006278AE" w:rsidRPr="00965341" w14:paraId="46F563B7" w14:textId="77777777" w:rsidTr="00A23161">
        <w:trPr>
          <w:gridAfter w:val="1"/>
          <w:wAfter w:w="34" w:type="dxa"/>
          <w:trHeight w:hRule="exact" w:val="284"/>
        </w:trPr>
        <w:tc>
          <w:tcPr>
            <w:tcW w:w="709" w:type="dxa"/>
            <w:tcBorders>
              <w:top w:val="nil"/>
              <w:left w:val="nil"/>
              <w:bottom w:val="nil"/>
              <w:right w:val="nil"/>
            </w:tcBorders>
            <w:shd w:val="clear" w:color="auto" w:fill="auto"/>
            <w:noWrap/>
            <w:hideMark/>
          </w:tcPr>
          <w:p w14:paraId="1BAA0A7C" w14:textId="77777777" w:rsidR="006278AE" w:rsidRPr="00965341" w:rsidRDefault="006278AE" w:rsidP="006278AE">
            <w:pPr>
              <w:jc w:val="center"/>
              <w:rPr>
                <w:sz w:val="14"/>
                <w:szCs w:val="14"/>
                <w:lang w:val="en-US" w:eastAsia="en-US"/>
              </w:rPr>
            </w:pPr>
            <w:r w:rsidRPr="00965341">
              <w:rPr>
                <w:sz w:val="14"/>
                <w:szCs w:val="14"/>
                <w:lang w:val="en-US" w:eastAsia="en-US"/>
              </w:rPr>
              <w:t>Yes</w:t>
            </w:r>
          </w:p>
        </w:tc>
        <w:tc>
          <w:tcPr>
            <w:tcW w:w="691" w:type="dxa"/>
            <w:tcBorders>
              <w:top w:val="nil"/>
              <w:left w:val="nil"/>
              <w:bottom w:val="nil"/>
              <w:right w:val="nil"/>
            </w:tcBorders>
            <w:shd w:val="clear" w:color="auto" w:fill="auto"/>
            <w:noWrap/>
            <w:hideMark/>
          </w:tcPr>
          <w:p w14:paraId="6560FADB" w14:textId="77777777" w:rsidR="006278AE" w:rsidRPr="00965341" w:rsidRDefault="006278AE" w:rsidP="006278AE">
            <w:pPr>
              <w:jc w:val="center"/>
              <w:rPr>
                <w:sz w:val="14"/>
                <w:szCs w:val="14"/>
                <w:lang w:val="en-US" w:eastAsia="en-US"/>
              </w:rPr>
            </w:pPr>
            <w:r w:rsidRPr="00965341">
              <w:rPr>
                <w:sz w:val="14"/>
                <w:szCs w:val="14"/>
                <w:lang w:val="en-US" w:eastAsia="en-US"/>
              </w:rPr>
              <w:t>16</w:t>
            </w:r>
          </w:p>
        </w:tc>
        <w:tc>
          <w:tcPr>
            <w:tcW w:w="600" w:type="dxa"/>
            <w:tcBorders>
              <w:top w:val="nil"/>
              <w:left w:val="nil"/>
              <w:bottom w:val="nil"/>
              <w:right w:val="nil"/>
            </w:tcBorders>
            <w:shd w:val="clear" w:color="auto" w:fill="auto"/>
            <w:noWrap/>
            <w:hideMark/>
          </w:tcPr>
          <w:p w14:paraId="54848C28" w14:textId="77777777" w:rsidR="006278AE" w:rsidRPr="00965341" w:rsidRDefault="006278AE" w:rsidP="006278AE">
            <w:pPr>
              <w:rPr>
                <w:sz w:val="14"/>
                <w:szCs w:val="14"/>
                <w:lang w:val="en-US" w:eastAsia="en-US"/>
              </w:rPr>
            </w:pPr>
            <w:r w:rsidRPr="00965341">
              <w:rPr>
                <w:sz w:val="14"/>
                <w:szCs w:val="14"/>
                <w:lang w:val="en-US" w:eastAsia="en-US"/>
              </w:rPr>
              <w:t>G01A</w:t>
            </w:r>
          </w:p>
        </w:tc>
        <w:tc>
          <w:tcPr>
            <w:tcW w:w="4637" w:type="dxa"/>
            <w:tcBorders>
              <w:top w:val="nil"/>
              <w:left w:val="nil"/>
              <w:bottom w:val="nil"/>
              <w:right w:val="nil"/>
            </w:tcBorders>
            <w:shd w:val="clear" w:color="auto" w:fill="auto"/>
            <w:noWrap/>
            <w:hideMark/>
          </w:tcPr>
          <w:p w14:paraId="7C01CA3F" w14:textId="77777777" w:rsidR="006278AE" w:rsidRPr="00965341" w:rsidRDefault="006278AE" w:rsidP="006278AE">
            <w:pPr>
              <w:rPr>
                <w:sz w:val="14"/>
                <w:szCs w:val="14"/>
                <w:lang w:val="en-US" w:eastAsia="en-US"/>
              </w:rPr>
            </w:pPr>
            <w:r w:rsidRPr="00965341">
              <w:rPr>
                <w:sz w:val="14"/>
                <w:szCs w:val="14"/>
                <w:lang w:val="en-US" w:eastAsia="en-US"/>
              </w:rPr>
              <w:t>Rectal Resection, Major Complexity</w:t>
            </w:r>
          </w:p>
        </w:tc>
        <w:tc>
          <w:tcPr>
            <w:tcW w:w="962" w:type="dxa"/>
            <w:gridSpan w:val="3"/>
            <w:tcBorders>
              <w:top w:val="nil"/>
              <w:left w:val="nil"/>
              <w:bottom w:val="nil"/>
              <w:right w:val="nil"/>
            </w:tcBorders>
            <w:shd w:val="clear" w:color="auto" w:fill="auto"/>
            <w:noWrap/>
            <w:hideMark/>
          </w:tcPr>
          <w:p w14:paraId="6BB8CC6B" w14:textId="77777777" w:rsidR="006278AE" w:rsidRPr="00965341" w:rsidRDefault="006278AE" w:rsidP="006278AE">
            <w:pPr>
              <w:jc w:val="right"/>
              <w:rPr>
                <w:b/>
                <w:sz w:val="14"/>
                <w:szCs w:val="14"/>
                <w:lang w:val="en-US" w:eastAsia="en-US"/>
              </w:rPr>
            </w:pPr>
            <w:r w:rsidRPr="00965341">
              <w:rPr>
                <w:b/>
                <w:sz w:val="14"/>
                <w:szCs w:val="14"/>
                <w:lang w:val="en-US" w:eastAsia="en-US"/>
              </w:rPr>
              <w:t>26.7</w:t>
            </w:r>
          </w:p>
        </w:tc>
        <w:tc>
          <w:tcPr>
            <w:tcW w:w="500" w:type="dxa"/>
            <w:tcBorders>
              <w:top w:val="nil"/>
              <w:left w:val="nil"/>
              <w:bottom w:val="nil"/>
              <w:right w:val="nil"/>
            </w:tcBorders>
            <w:shd w:val="clear" w:color="auto" w:fill="auto"/>
            <w:noWrap/>
            <w:hideMark/>
          </w:tcPr>
          <w:p w14:paraId="2B8716B0" w14:textId="77777777" w:rsidR="006278AE" w:rsidRPr="00965341" w:rsidRDefault="006278AE" w:rsidP="006278AE">
            <w:pPr>
              <w:jc w:val="right"/>
              <w:rPr>
                <w:sz w:val="14"/>
                <w:szCs w:val="14"/>
                <w:lang w:val="en-US" w:eastAsia="en-US"/>
              </w:rPr>
            </w:pPr>
            <w:r w:rsidRPr="00965341">
              <w:rPr>
                <w:sz w:val="14"/>
                <w:szCs w:val="14"/>
                <w:lang w:val="en-US" w:eastAsia="en-US"/>
              </w:rPr>
              <w:t>3</w:t>
            </w:r>
          </w:p>
        </w:tc>
        <w:tc>
          <w:tcPr>
            <w:tcW w:w="653" w:type="dxa"/>
            <w:gridSpan w:val="2"/>
            <w:tcBorders>
              <w:top w:val="nil"/>
              <w:left w:val="nil"/>
              <w:bottom w:val="nil"/>
              <w:right w:val="nil"/>
            </w:tcBorders>
            <w:shd w:val="clear" w:color="auto" w:fill="auto"/>
            <w:noWrap/>
            <w:hideMark/>
          </w:tcPr>
          <w:p w14:paraId="787E347A" w14:textId="77777777" w:rsidR="006278AE" w:rsidRPr="00965341" w:rsidRDefault="006278AE" w:rsidP="006278AE">
            <w:pPr>
              <w:jc w:val="right"/>
              <w:rPr>
                <w:sz w:val="14"/>
                <w:szCs w:val="14"/>
                <w:lang w:val="en-US" w:eastAsia="en-US"/>
              </w:rPr>
            </w:pPr>
            <w:r w:rsidRPr="00965341">
              <w:rPr>
                <w:sz w:val="14"/>
                <w:szCs w:val="14"/>
                <w:lang w:val="en-US" w:eastAsia="en-US"/>
              </w:rPr>
              <w:t>90</w:t>
            </w:r>
          </w:p>
        </w:tc>
        <w:tc>
          <w:tcPr>
            <w:tcW w:w="691" w:type="dxa"/>
            <w:gridSpan w:val="2"/>
            <w:tcBorders>
              <w:top w:val="nil"/>
              <w:left w:val="nil"/>
              <w:bottom w:val="nil"/>
              <w:right w:val="nil"/>
            </w:tcBorders>
            <w:shd w:val="clear" w:color="auto" w:fill="auto"/>
            <w:noWrap/>
            <w:hideMark/>
          </w:tcPr>
          <w:p w14:paraId="1CB024A8" w14:textId="77777777" w:rsidR="006278AE" w:rsidRPr="00965341" w:rsidRDefault="006278AE" w:rsidP="006278AE">
            <w:pPr>
              <w:jc w:val="right"/>
              <w:rPr>
                <w:sz w:val="14"/>
                <w:szCs w:val="14"/>
                <w:lang w:val="en-US" w:eastAsia="en-US"/>
              </w:rPr>
            </w:pPr>
            <w:r w:rsidRPr="00965341">
              <w:rPr>
                <w:sz w:val="14"/>
                <w:szCs w:val="14"/>
                <w:lang w:val="en-US" w:eastAsia="en-US"/>
              </w:rPr>
              <w:t>11.45</w:t>
            </w:r>
          </w:p>
        </w:tc>
        <w:tc>
          <w:tcPr>
            <w:tcW w:w="839" w:type="dxa"/>
            <w:gridSpan w:val="2"/>
            <w:tcBorders>
              <w:top w:val="nil"/>
              <w:left w:val="nil"/>
              <w:bottom w:val="nil"/>
              <w:right w:val="nil"/>
            </w:tcBorders>
            <w:shd w:val="clear" w:color="auto" w:fill="auto"/>
            <w:noWrap/>
            <w:hideMark/>
          </w:tcPr>
          <w:p w14:paraId="2C7B1015" w14:textId="77777777" w:rsidR="006278AE" w:rsidRPr="00965341" w:rsidRDefault="006278AE" w:rsidP="006278AE">
            <w:pPr>
              <w:jc w:val="right"/>
              <w:rPr>
                <w:sz w:val="14"/>
                <w:szCs w:val="14"/>
                <w:lang w:val="en-US" w:eastAsia="en-US"/>
              </w:rPr>
            </w:pPr>
            <w:r w:rsidRPr="00965341">
              <w:rPr>
                <w:sz w:val="14"/>
                <w:szCs w:val="14"/>
                <w:lang w:val="en-US" w:eastAsia="en-US"/>
              </w:rPr>
              <w:t>300</w:t>
            </w:r>
          </w:p>
        </w:tc>
        <w:tc>
          <w:tcPr>
            <w:tcW w:w="884" w:type="dxa"/>
            <w:gridSpan w:val="2"/>
            <w:tcBorders>
              <w:top w:val="nil"/>
              <w:left w:val="nil"/>
              <w:bottom w:val="nil"/>
              <w:right w:val="nil"/>
            </w:tcBorders>
            <w:shd w:val="clear" w:color="auto" w:fill="auto"/>
            <w:noWrap/>
            <w:hideMark/>
          </w:tcPr>
          <w:p w14:paraId="0824C14F" w14:textId="598A0D2D" w:rsidR="006278AE" w:rsidRPr="00965341" w:rsidRDefault="006278AE" w:rsidP="006278AE">
            <w:pPr>
              <w:jc w:val="right"/>
              <w:rPr>
                <w:sz w:val="14"/>
                <w:szCs w:val="14"/>
                <w:lang w:val="en-US" w:eastAsia="en-US"/>
              </w:rPr>
            </w:pPr>
            <w:r w:rsidRPr="006278AE">
              <w:rPr>
                <w:sz w:val="14"/>
                <w:szCs w:val="14"/>
                <w:lang w:val="en-US" w:eastAsia="en-US"/>
              </w:rPr>
              <w:t>3,435</w:t>
            </w:r>
          </w:p>
        </w:tc>
        <w:tc>
          <w:tcPr>
            <w:tcW w:w="653" w:type="dxa"/>
            <w:gridSpan w:val="2"/>
            <w:tcBorders>
              <w:top w:val="nil"/>
              <w:left w:val="nil"/>
              <w:bottom w:val="nil"/>
              <w:right w:val="nil"/>
            </w:tcBorders>
            <w:shd w:val="clear" w:color="auto" w:fill="auto"/>
            <w:noWrap/>
            <w:hideMark/>
          </w:tcPr>
          <w:p w14:paraId="0518B8B6" w14:textId="77777777" w:rsidR="006278AE" w:rsidRPr="00965341" w:rsidRDefault="006278AE" w:rsidP="006278AE">
            <w:pPr>
              <w:jc w:val="right"/>
              <w:rPr>
                <w:sz w:val="14"/>
                <w:szCs w:val="14"/>
                <w:lang w:val="en-US" w:eastAsia="en-US"/>
              </w:rPr>
            </w:pPr>
            <w:r w:rsidRPr="00965341">
              <w:rPr>
                <w:sz w:val="14"/>
                <w:szCs w:val="14"/>
                <w:lang w:val="en-US" w:eastAsia="en-US"/>
              </w:rPr>
              <w:t>0.47</w:t>
            </w:r>
          </w:p>
        </w:tc>
        <w:tc>
          <w:tcPr>
            <w:tcW w:w="653" w:type="dxa"/>
            <w:gridSpan w:val="2"/>
            <w:tcBorders>
              <w:top w:val="nil"/>
              <w:left w:val="nil"/>
              <w:bottom w:val="nil"/>
              <w:right w:val="nil"/>
            </w:tcBorders>
            <w:shd w:val="clear" w:color="auto" w:fill="auto"/>
            <w:noWrap/>
            <w:hideMark/>
          </w:tcPr>
          <w:p w14:paraId="2072DCC2"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53" w:type="dxa"/>
            <w:gridSpan w:val="2"/>
            <w:tcBorders>
              <w:top w:val="nil"/>
              <w:left w:val="nil"/>
              <w:bottom w:val="nil"/>
              <w:right w:val="nil"/>
            </w:tcBorders>
            <w:shd w:val="clear" w:color="auto" w:fill="auto"/>
            <w:noWrap/>
            <w:hideMark/>
          </w:tcPr>
          <w:p w14:paraId="718BD29E" w14:textId="77777777" w:rsidR="006278AE" w:rsidRPr="00965341" w:rsidRDefault="006278AE" w:rsidP="006278AE">
            <w:pPr>
              <w:jc w:val="right"/>
              <w:rPr>
                <w:sz w:val="14"/>
                <w:szCs w:val="14"/>
                <w:lang w:val="en-US" w:eastAsia="en-US"/>
              </w:rPr>
            </w:pPr>
            <w:r w:rsidRPr="00965341">
              <w:rPr>
                <w:sz w:val="14"/>
                <w:szCs w:val="14"/>
                <w:lang w:val="en-US" w:eastAsia="en-US"/>
              </w:rPr>
              <w:t>0.1%</w:t>
            </w:r>
          </w:p>
        </w:tc>
        <w:tc>
          <w:tcPr>
            <w:tcW w:w="691" w:type="dxa"/>
            <w:gridSpan w:val="2"/>
            <w:tcBorders>
              <w:top w:val="nil"/>
              <w:left w:val="nil"/>
              <w:bottom w:val="nil"/>
              <w:right w:val="nil"/>
            </w:tcBorders>
            <w:shd w:val="clear" w:color="auto" w:fill="auto"/>
            <w:noWrap/>
            <w:hideMark/>
          </w:tcPr>
          <w:p w14:paraId="1C1BF6EE" w14:textId="77777777" w:rsidR="006278AE" w:rsidRPr="00965341" w:rsidRDefault="006278AE" w:rsidP="006278AE">
            <w:pPr>
              <w:jc w:val="right"/>
              <w:rPr>
                <w:sz w:val="14"/>
                <w:szCs w:val="14"/>
                <w:lang w:val="en-US" w:eastAsia="en-US"/>
              </w:rPr>
            </w:pPr>
            <w:r w:rsidRPr="00965341">
              <w:rPr>
                <w:sz w:val="14"/>
                <w:szCs w:val="14"/>
                <w:lang w:val="en-US" w:eastAsia="en-US"/>
              </w:rPr>
              <w:t>25.2</w:t>
            </w:r>
          </w:p>
        </w:tc>
        <w:tc>
          <w:tcPr>
            <w:tcW w:w="691" w:type="dxa"/>
            <w:gridSpan w:val="2"/>
            <w:tcBorders>
              <w:top w:val="nil"/>
              <w:left w:val="nil"/>
              <w:bottom w:val="nil"/>
              <w:right w:val="nil"/>
            </w:tcBorders>
            <w:shd w:val="clear" w:color="auto" w:fill="auto"/>
            <w:noWrap/>
            <w:hideMark/>
          </w:tcPr>
          <w:p w14:paraId="77DCC1EE" w14:textId="77777777" w:rsidR="006278AE" w:rsidRPr="00965341" w:rsidRDefault="006278AE" w:rsidP="006278AE">
            <w:pPr>
              <w:jc w:val="right"/>
              <w:rPr>
                <w:sz w:val="14"/>
                <w:szCs w:val="14"/>
                <w:lang w:val="en-US" w:eastAsia="en-US"/>
              </w:rPr>
            </w:pPr>
            <w:r w:rsidRPr="00965341">
              <w:rPr>
                <w:sz w:val="14"/>
                <w:szCs w:val="14"/>
                <w:lang w:val="en-US" w:eastAsia="en-US"/>
              </w:rPr>
              <w:t xml:space="preserve">20 </w:t>
            </w:r>
          </w:p>
        </w:tc>
        <w:tc>
          <w:tcPr>
            <w:tcW w:w="839" w:type="dxa"/>
            <w:gridSpan w:val="2"/>
            <w:tcBorders>
              <w:top w:val="nil"/>
              <w:left w:val="nil"/>
              <w:bottom w:val="nil"/>
              <w:right w:val="nil"/>
            </w:tcBorders>
            <w:shd w:val="clear" w:color="auto" w:fill="auto"/>
            <w:noWrap/>
            <w:hideMark/>
          </w:tcPr>
          <w:p w14:paraId="6B08AD83" w14:textId="77777777" w:rsidR="006278AE" w:rsidRPr="00965341" w:rsidRDefault="006278AE" w:rsidP="006278AE">
            <w:pPr>
              <w:jc w:val="right"/>
              <w:rPr>
                <w:sz w:val="14"/>
                <w:szCs w:val="14"/>
                <w:lang w:val="en-US" w:eastAsia="en-US"/>
              </w:rPr>
            </w:pPr>
            <w:r w:rsidRPr="00965341">
              <w:rPr>
                <w:sz w:val="14"/>
                <w:szCs w:val="14"/>
                <w:lang w:val="en-US" w:eastAsia="en-US"/>
              </w:rPr>
              <w:t>8,013</w:t>
            </w:r>
          </w:p>
        </w:tc>
      </w:tr>
      <w:tr w:rsidR="006278AE" w:rsidRPr="00965341" w14:paraId="1326A895" w14:textId="77777777" w:rsidTr="00A23161">
        <w:trPr>
          <w:gridAfter w:val="1"/>
          <w:wAfter w:w="34" w:type="dxa"/>
          <w:trHeight w:hRule="exact" w:val="284"/>
        </w:trPr>
        <w:tc>
          <w:tcPr>
            <w:tcW w:w="709" w:type="dxa"/>
            <w:tcBorders>
              <w:top w:val="nil"/>
              <w:left w:val="nil"/>
              <w:bottom w:val="nil"/>
              <w:right w:val="nil"/>
            </w:tcBorders>
            <w:shd w:val="clear" w:color="auto" w:fill="auto"/>
            <w:noWrap/>
            <w:hideMark/>
          </w:tcPr>
          <w:p w14:paraId="4EFF3753" w14:textId="77777777" w:rsidR="006278AE" w:rsidRPr="00965341" w:rsidRDefault="006278AE" w:rsidP="006278AE">
            <w:pPr>
              <w:jc w:val="center"/>
              <w:rPr>
                <w:sz w:val="14"/>
                <w:szCs w:val="14"/>
                <w:lang w:val="en-US" w:eastAsia="en-US"/>
              </w:rPr>
            </w:pPr>
            <w:r w:rsidRPr="00965341">
              <w:rPr>
                <w:sz w:val="14"/>
                <w:szCs w:val="14"/>
                <w:lang w:val="en-US" w:eastAsia="en-US"/>
              </w:rPr>
              <w:t>Yes</w:t>
            </w:r>
          </w:p>
        </w:tc>
        <w:tc>
          <w:tcPr>
            <w:tcW w:w="691" w:type="dxa"/>
            <w:tcBorders>
              <w:top w:val="nil"/>
              <w:left w:val="nil"/>
              <w:bottom w:val="nil"/>
              <w:right w:val="nil"/>
            </w:tcBorders>
            <w:shd w:val="clear" w:color="auto" w:fill="auto"/>
            <w:noWrap/>
            <w:hideMark/>
          </w:tcPr>
          <w:p w14:paraId="2FFA4ECF" w14:textId="77777777" w:rsidR="006278AE" w:rsidRPr="00965341" w:rsidRDefault="006278AE" w:rsidP="006278AE">
            <w:pPr>
              <w:jc w:val="center"/>
              <w:rPr>
                <w:sz w:val="14"/>
                <w:szCs w:val="14"/>
                <w:lang w:val="en-US" w:eastAsia="en-US"/>
              </w:rPr>
            </w:pPr>
            <w:r w:rsidRPr="00965341">
              <w:rPr>
                <w:sz w:val="14"/>
                <w:szCs w:val="14"/>
                <w:lang w:val="en-US" w:eastAsia="en-US"/>
              </w:rPr>
              <w:t>17</w:t>
            </w:r>
          </w:p>
        </w:tc>
        <w:tc>
          <w:tcPr>
            <w:tcW w:w="600" w:type="dxa"/>
            <w:tcBorders>
              <w:top w:val="nil"/>
              <w:left w:val="nil"/>
              <w:bottom w:val="nil"/>
              <w:right w:val="nil"/>
            </w:tcBorders>
            <w:shd w:val="clear" w:color="auto" w:fill="auto"/>
            <w:noWrap/>
            <w:hideMark/>
          </w:tcPr>
          <w:p w14:paraId="30AE2501" w14:textId="77777777" w:rsidR="006278AE" w:rsidRPr="00965341" w:rsidRDefault="006278AE" w:rsidP="006278AE">
            <w:pPr>
              <w:rPr>
                <w:sz w:val="14"/>
                <w:szCs w:val="14"/>
                <w:lang w:val="en-US" w:eastAsia="en-US"/>
              </w:rPr>
            </w:pPr>
            <w:r w:rsidRPr="00965341">
              <w:rPr>
                <w:sz w:val="14"/>
                <w:szCs w:val="14"/>
                <w:lang w:val="en-US" w:eastAsia="en-US"/>
              </w:rPr>
              <w:t>P64B</w:t>
            </w:r>
          </w:p>
        </w:tc>
        <w:tc>
          <w:tcPr>
            <w:tcW w:w="4637" w:type="dxa"/>
            <w:tcBorders>
              <w:top w:val="nil"/>
              <w:left w:val="nil"/>
              <w:bottom w:val="nil"/>
              <w:right w:val="nil"/>
            </w:tcBorders>
            <w:shd w:val="clear" w:color="auto" w:fill="auto"/>
            <w:noWrap/>
            <w:hideMark/>
          </w:tcPr>
          <w:p w14:paraId="23CE6DFC" w14:textId="77777777" w:rsidR="006278AE" w:rsidRPr="00965341" w:rsidRDefault="006278AE" w:rsidP="006278AE">
            <w:pPr>
              <w:rPr>
                <w:sz w:val="14"/>
                <w:szCs w:val="14"/>
                <w:lang w:val="en-US" w:eastAsia="en-US"/>
              </w:rPr>
            </w:pPr>
            <w:r w:rsidRPr="00965341">
              <w:rPr>
                <w:sz w:val="14"/>
                <w:szCs w:val="14"/>
                <w:lang w:val="en-US" w:eastAsia="en-US"/>
              </w:rPr>
              <w:t xml:space="preserve">Neonate, </w:t>
            </w:r>
            <w:proofErr w:type="spellStart"/>
            <w:r w:rsidRPr="00965341">
              <w:rPr>
                <w:sz w:val="14"/>
                <w:szCs w:val="14"/>
                <w:lang w:val="en-US" w:eastAsia="en-US"/>
              </w:rPr>
              <w:t>AdmWt</w:t>
            </w:r>
            <w:proofErr w:type="spellEnd"/>
            <w:r w:rsidRPr="00965341">
              <w:rPr>
                <w:sz w:val="14"/>
                <w:szCs w:val="14"/>
                <w:lang w:val="en-US" w:eastAsia="en-US"/>
              </w:rPr>
              <w:t xml:space="preserve"> 1250-1499g W/O Significant OR Proc/Vent&gt;=96hrs, Minor Complexity</w:t>
            </w:r>
          </w:p>
        </w:tc>
        <w:tc>
          <w:tcPr>
            <w:tcW w:w="962" w:type="dxa"/>
            <w:gridSpan w:val="3"/>
            <w:tcBorders>
              <w:top w:val="nil"/>
              <w:left w:val="nil"/>
              <w:bottom w:val="nil"/>
              <w:right w:val="nil"/>
            </w:tcBorders>
            <w:shd w:val="clear" w:color="auto" w:fill="auto"/>
            <w:noWrap/>
            <w:hideMark/>
          </w:tcPr>
          <w:p w14:paraId="415E0F20" w14:textId="77777777" w:rsidR="006278AE" w:rsidRPr="00965341" w:rsidRDefault="006278AE" w:rsidP="006278AE">
            <w:pPr>
              <w:jc w:val="right"/>
              <w:rPr>
                <w:b/>
                <w:sz w:val="14"/>
                <w:szCs w:val="14"/>
                <w:lang w:val="en-US" w:eastAsia="en-US"/>
              </w:rPr>
            </w:pPr>
            <w:r w:rsidRPr="00965341">
              <w:rPr>
                <w:b/>
                <w:sz w:val="14"/>
                <w:szCs w:val="14"/>
                <w:lang w:val="en-US" w:eastAsia="en-US"/>
              </w:rPr>
              <w:t>26.5</w:t>
            </w:r>
          </w:p>
        </w:tc>
        <w:tc>
          <w:tcPr>
            <w:tcW w:w="500" w:type="dxa"/>
            <w:tcBorders>
              <w:top w:val="nil"/>
              <w:left w:val="nil"/>
              <w:bottom w:val="nil"/>
              <w:right w:val="nil"/>
            </w:tcBorders>
            <w:shd w:val="clear" w:color="auto" w:fill="auto"/>
            <w:noWrap/>
            <w:hideMark/>
          </w:tcPr>
          <w:p w14:paraId="50770967" w14:textId="77777777" w:rsidR="006278AE" w:rsidRPr="00965341" w:rsidRDefault="006278AE" w:rsidP="006278AE">
            <w:pPr>
              <w:jc w:val="right"/>
              <w:rPr>
                <w:sz w:val="14"/>
                <w:szCs w:val="14"/>
                <w:lang w:val="en-US" w:eastAsia="en-US"/>
              </w:rPr>
            </w:pPr>
            <w:r w:rsidRPr="00965341">
              <w:rPr>
                <w:sz w:val="14"/>
                <w:szCs w:val="14"/>
                <w:lang w:val="en-US" w:eastAsia="en-US"/>
              </w:rPr>
              <w:t>1</w:t>
            </w:r>
          </w:p>
        </w:tc>
        <w:tc>
          <w:tcPr>
            <w:tcW w:w="653" w:type="dxa"/>
            <w:gridSpan w:val="2"/>
            <w:tcBorders>
              <w:top w:val="nil"/>
              <w:left w:val="nil"/>
              <w:bottom w:val="nil"/>
              <w:right w:val="nil"/>
            </w:tcBorders>
            <w:shd w:val="clear" w:color="auto" w:fill="auto"/>
            <w:noWrap/>
            <w:hideMark/>
          </w:tcPr>
          <w:p w14:paraId="01B098E7" w14:textId="77777777" w:rsidR="006278AE" w:rsidRPr="00965341" w:rsidRDefault="006278AE" w:rsidP="006278AE">
            <w:pPr>
              <w:jc w:val="right"/>
              <w:rPr>
                <w:sz w:val="14"/>
                <w:szCs w:val="14"/>
                <w:lang w:val="en-US" w:eastAsia="en-US"/>
              </w:rPr>
            </w:pPr>
            <w:r w:rsidRPr="00965341">
              <w:rPr>
                <w:sz w:val="14"/>
                <w:szCs w:val="14"/>
                <w:lang w:val="en-US" w:eastAsia="en-US"/>
              </w:rPr>
              <w:t>60</w:t>
            </w:r>
          </w:p>
        </w:tc>
        <w:tc>
          <w:tcPr>
            <w:tcW w:w="691" w:type="dxa"/>
            <w:gridSpan w:val="2"/>
            <w:tcBorders>
              <w:top w:val="nil"/>
              <w:left w:val="nil"/>
              <w:bottom w:val="nil"/>
              <w:right w:val="nil"/>
            </w:tcBorders>
            <w:shd w:val="clear" w:color="auto" w:fill="auto"/>
            <w:noWrap/>
            <w:hideMark/>
          </w:tcPr>
          <w:p w14:paraId="6EE67948" w14:textId="77777777" w:rsidR="006278AE" w:rsidRPr="00965341" w:rsidRDefault="006278AE" w:rsidP="006278AE">
            <w:pPr>
              <w:jc w:val="right"/>
              <w:rPr>
                <w:sz w:val="14"/>
                <w:szCs w:val="14"/>
                <w:lang w:val="en-US" w:eastAsia="en-US"/>
              </w:rPr>
            </w:pPr>
            <w:r w:rsidRPr="00965341">
              <w:rPr>
                <w:sz w:val="14"/>
                <w:szCs w:val="14"/>
                <w:lang w:val="en-US" w:eastAsia="en-US"/>
              </w:rPr>
              <w:t>6.79</w:t>
            </w:r>
          </w:p>
        </w:tc>
        <w:tc>
          <w:tcPr>
            <w:tcW w:w="839" w:type="dxa"/>
            <w:gridSpan w:val="2"/>
            <w:tcBorders>
              <w:top w:val="nil"/>
              <w:left w:val="nil"/>
              <w:bottom w:val="nil"/>
              <w:right w:val="nil"/>
            </w:tcBorders>
            <w:shd w:val="clear" w:color="auto" w:fill="auto"/>
            <w:noWrap/>
            <w:hideMark/>
          </w:tcPr>
          <w:p w14:paraId="1AC7B52C" w14:textId="77777777" w:rsidR="006278AE" w:rsidRPr="00965341" w:rsidRDefault="006278AE" w:rsidP="006278AE">
            <w:pPr>
              <w:jc w:val="right"/>
              <w:rPr>
                <w:sz w:val="14"/>
                <w:szCs w:val="14"/>
                <w:lang w:val="en-US" w:eastAsia="en-US"/>
              </w:rPr>
            </w:pPr>
            <w:r w:rsidRPr="00965341">
              <w:rPr>
                <w:sz w:val="14"/>
                <w:szCs w:val="14"/>
                <w:lang w:val="en-US" w:eastAsia="en-US"/>
              </w:rPr>
              <w:t>69</w:t>
            </w:r>
          </w:p>
        </w:tc>
        <w:tc>
          <w:tcPr>
            <w:tcW w:w="884" w:type="dxa"/>
            <w:gridSpan w:val="2"/>
            <w:tcBorders>
              <w:top w:val="nil"/>
              <w:left w:val="nil"/>
              <w:bottom w:val="nil"/>
              <w:right w:val="nil"/>
            </w:tcBorders>
            <w:shd w:val="clear" w:color="auto" w:fill="auto"/>
            <w:noWrap/>
            <w:hideMark/>
          </w:tcPr>
          <w:p w14:paraId="7A7E26AF" w14:textId="20285CA7" w:rsidR="006278AE" w:rsidRPr="00965341" w:rsidRDefault="006278AE" w:rsidP="006278AE">
            <w:pPr>
              <w:jc w:val="right"/>
              <w:rPr>
                <w:sz w:val="14"/>
                <w:szCs w:val="14"/>
                <w:lang w:val="en-US" w:eastAsia="en-US"/>
              </w:rPr>
            </w:pPr>
            <w:r w:rsidRPr="006278AE">
              <w:rPr>
                <w:sz w:val="14"/>
                <w:szCs w:val="14"/>
                <w:lang w:val="en-US" w:eastAsia="en-US"/>
              </w:rPr>
              <w:t>469</w:t>
            </w:r>
          </w:p>
        </w:tc>
        <w:tc>
          <w:tcPr>
            <w:tcW w:w="653" w:type="dxa"/>
            <w:gridSpan w:val="2"/>
            <w:tcBorders>
              <w:top w:val="nil"/>
              <w:left w:val="nil"/>
              <w:bottom w:val="nil"/>
              <w:right w:val="nil"/>
            </w:tcBorders>
            <w:shd w:val="clear" w:color="auto" w:fill="auto"/>
            <w:noWrap/>
            <w:hideMark/>
          </w:tcPr>
          <w:p w14:paraId="549EEF46" w14:textId="77777777" w:rsidR="006278AE" w:rsidRPr="00965341" w:rsidRDefault="006278AE" w:rsidP="006278AE">
            <w:pPr>
              <w:jc w:val="right"/>
              <w:rPr>
                <w:sz w:val="14"/>
                <w:szCs w:val="14"/>
                <w:lang w:val="en-US" w:eastAsia="en-US"/>
              </w:rPr>
            </w:pPr>
            <w:r w:rsidRPr="00965341">
              <w:rPr>
                <w:sz w:val="14"/>
                <w:szCs w:val="14"/>
                <w:lang w:val="en-US" w:eastAsia="en-US"/>
              </w:rPr>
              <w:t>0.74</w:t>
            </w:r>
          </w:p>
        </w:tc>
        <w:tc>
          <w:tcPr>
            <w:tcW w:w="653" w:type="dxa"/>
            <w:gridSpan w:val="2"/>
            <w:tcBorders>
              <w:top w:val="nil"/>
              <w:left w:val="nil"/>
              <w:bottom w:val="nil"/>
              <w:right w:val="nil"/>
            </w:tcBorders>
            <w:shd w:val="clear" w:color="auto" w:fill="auto"/>
            <w:noWrap/>
            <w:hideMark/>
          </w:tcPr>
          <w:p w14:paraId="704E3940"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53" w:type="dxa"/>
            <w:gridSpan w:val="2"/>
            <w:tcBorders>
              <w:top w:val="nil"/>
              <w:left w:val="nil"/>
              <w:bottom w:val="nil"/>
              <w:right w:val="nil"/>
            </w:tcBorders>
            <w:shd w:val="clear" w:color="auto" w:fill="auto"/>
            <w:noWrap/>
            <w:hideMark/>
          </w:tcPr>
          <w:p w14:paraId="03F750E1"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91" w:type="dxa"/>
            <w:gridSpan w:val="2"/>
            <w:tcBorders>
              <w:top w:val="nil"/>
              <w:left w:val="nil"/>
              <w:bottom w:val="nil"/>
              <w:right w:val="nil"/>
            </w:tcBorders>
            <w:shd w:val="clear" w:color="auto" w:fill="auto"/>
            <w:noWrap/>
            <w:hideMark/>
          </w:tcPr>
          <w:p w14:paraId="41E66855" w14:textId="77777777" w:rsidR="006278AE" w:rsidRPr="00965341" w:rsidRDefault="006278AE" w:rsidP="006278AE">
            <w:pPr>
              <w:jc w:val="right"/>
              <w:rPr>
                <w:sz w:val="14"/>
                <w:szCs w:val="14"/>
                <w:lang w:val="en-US" w:eastAsia="en-US"/>
              </w:rPr>
            </w:pPr>
            <w:r w:rsidRPr="00965341">
              <w:rPr>
                <w:sz w:val="14"/>
                <w:szCs w:val="14"/>
                <w:lang w:val="en-US" w:eastAsia="en-US"/>
              </w:rPr>
              <w:t>27.1</w:t>
            </w:r>
          </w:p>
        </w:tc>
        <w:tc>
          <w:tcPr>
            <w:tcW w:w="691" w:type="dxa"/>
            <w:gridSpan w:val="2"/>
            <w:tcBorders>
              <w:top w:val="nil"/>
              <w:left w:val="nil"/>
              <w:bottom w:val="nil"/>
              <w:right w:val="nil"/>
            </w:tcBorders>
            <w:shd w:val="clear" w:color="auto" w:fill="auto"/>
            <w:noWrap/>
            <w:hideMark/>
          </w:tcPr>
          <w:p w14:paraId="3F3D5F3E" w14:textId="77777777" w:rsidR="006278AE" w:rsidRPr="00965341" w:rsidRDefault="006278AE" w:rsidP="006278AE">
            <w:pPr>
              <w:jc w:val="right"/>
              <w:rPr>
                <w:sz w:val="14"/>
                <w:szCs w:val="14"/>
                <w:lang w:val="en-US" w:eastAsia="en-US"/>
              </w:rPr>
            </w:pPr>
            <w:r w:rsidRPr="00965341">
              <w:rPr>
                <w:sz w:val="14"/>
                <w:szCs w:val="14"/>
                <w:lang w:val="en-US" w:eastAsia="en-US"/>
              </w:rPr>
              <w:t xml:space="preserve">15 </w:t>
            </w:r>
          </w:p>
        </w:tc>
        <w:tc>
          <w:tcPr>
            <w:tcW w:w="839" w:type="dxa"/>
            <w:gridSpan w:val="2"/>
            <w:tcBorders>
              <w:top w:val="nil"/>
              <w:left w:val="nil"/>
              <w:bottom w:val="nil"/>
              <w:right w:val="nil"/>
            </w:tcBorders>
            <w:shd w:val="clear" w:color="auto" w:fill="auto"/>
            <w:noWrap/>
            <w:hideMark/>
          </w:tcPr>
          <w:p w14:paraId="307BA99D" w14:textId="77777777" w:rsidR="006278AE" w:rsidRPr="00965341" w:rsidRDefault="006278AE" w:rsidP="006278AE">
            <w:pPr>
              <w:jc w:val="right"/>
              <w:rPr>
                <w:sz w:val="14"/>
                <w:szCs w:val="14"/>
                <w:lang w:val="en-US" w:eastAsia="en-US"/>
              </w:rPr>
            </w:pPr>
            <w:r w:rsidRPr="00965341">
              <w:rPr>
                <w:sz w:val="14"/>
                <w:szCs w:val="14"/>
                <w:lang w:val="en-US" w:eastAsia="en-US"/>
              </w:rPr>
              <w:t>1,824</w:t>
            </w:r>
          </w:p>
        </w:tc>
      </w:tr>
      <w:tr w:rsidR="006278AE" w:rsidRPr="00965341" w14:paraId="7290A2B3" w14:textId="77777777" w:rsidTr="00A23161">
        <w:trPr>
          <w:gridAfter w:val="1"/>
          <w:wAfter w:w="34" w:type="dxa"/>
          <w:trHeight w:hRule="exact" w:val="284"/>
        </w:trPr>
        <w:tc>
          <w:tcPr>
            <w:tcW w:w="709" w:type="dxa"/>
            <w:tcBorders>
              <w:top w:val="nil"/>
              <w:left w:val="nil"/>
              <w:bottom w:val="nil"/>
              <w:right w:val="nil"/>
            </w:tcBorders>
            <w:shd w:val="clear" w:color="auto" w:fill="auto"/>
            <w:noWrap/>
            <w:hideMark/>
          </w:tcPr>
          <w:p w14:paraId="4D1E069D" w14:textId="77777777" w:rsidR="006278AE" w:rsidRPr="00965341" w:rsidRDefault="006278AE" w:rsidP="006278AE">
            <w:pPr>
              <w:jc w:val="center"/>
              <w:rPr>
                <w:sz w:val="14"/>
                <w:szCs w:val="14"/>
                <w:lang w:val="en-US" w:eastAsia="en-US"/>
              </w:rPr>
            </w:pPr>
            <w:r w:rsidRPr="00965341">
              <w:rPr>
                <w:sz w:val="14"/>
                <w:szCs w:val="14"/>
                <w:lang w:val="en-US" w:eastAsia="en-US"/>
              </w:rPr>
              <w:t>No</w:t>
            </w:r>
          </w:p>
        </w:tc>
        <w:tc>
          <w:tcPr>
            <w:tcW w:w="691" w:type="dxa"/>
            <w:tcBorders>
              <w:top w:val="nil"/>
              <w:left w:val="nil"/>
              <w:bottom w:val="nil"/>
              <w:right w:val="nil"/>
            </w:tcBorders>
            <w:shd w:val="clear" w:color="auto" w:fill="auto"/>
            <w:noWrap/>
            <w:hideMark/>
          </w:tcPr>
          <w:p w14:paraId="13F08E81" w14:textId="77777777" w:rsidR="006278AE" w:rsidRPr="00965341" w:rsidRDefault="006278AE" w:rsidP="006278AE">
            <w:pPr>
              <w:jc w:val="center"/>
              <w:rPr>
                <w:sz w:val="14"/>
                <w:szCs w:val="14"/>
                <w:lang w:val="en-US" w:eastAsia="en-US"/>
              </w:rPr>
            </w:pPr>
            <w:r w:rsidRPr="00965341">
              <w:rPr>
                <w:sz w:val="14"/>
                <w:szCs w:val="14"/>
                <w:lang w:val="en-US" w:eastAsia="en-US"/>
              </w:rPr>
              <w:t>18</w:t>
            </w:r>
          </w:p>
        </w:tc>
        <w:tc>
          <w:tcPr>
            <w:tcW w:w="600" w:type="dxa"/>
            <w:tcBorders>
              <w:top w:val="nil"/>
              <w:left w:val="nil"/>
              <w:bottom w:val="nil"/>
              <w:right w:val="nil"/>
            </w:tcBorders>
            <w:shd w:val="clear" w:color="auto" w:fill="auto"/>
            <w:noWrap/>
            <w:hideMark/>
          </w:tcPr>
          <w:p w14:paraId="0E9799B2" w14:textId="77777777" w:rsidR="006278AE" w:rsidRPr="00965341" w:rsidRDefault="006278AE" w:rsidP="006278AE">
            <w:pPr>
              <w:rPr>
                <w:sz w:val="14"/>
                <w:szCs w:val="14"/>
                <w:lang w:val="en-US" w:eastAsia="en-US"/>
              </w:rPr>
            </w:pPr>
            <w:r w:rsidRPr="00965341">
              <w:rPr>
                <w:sz w:val="14"/>
                <w:szCs w:val="14"/>
                <w:lang w:val="en-US" w:eastAsia="en-US"/>
              </w:rPr>
              <w:t>G02A</w:t>
            </w:r>
          </w:p>
        </w:tc>
        <w:tc>
          <w:tcPr>
            <w:tcW w:w="4637" w:type="dxa"/>
            <w:tcBorders>
              <w:top w:val="nil"/>
              <w:left w:val="nil"/>
              <w:bottom w:val="nil"/>
              <w:right w:val="nil"/>
            </w:tcBorders>
            <w:shd w:val="clear" w:color="auto" w:fill="auto"/>
            <w:noWrap/>
            <w:hideMark/>
          </w:tcPr>
          <w:p w14:paraId="68F0094B" w14:textId="77777777" w:rsidR="006278AE" w:rsidRPr="00965341" w:rsidRDefault="006278AE" w:rsidP="006278AE">
            <w:pPr>
              <w:rPr>
                <w:sz w:val="14"/>
                <w:szCs w:val="14"/>
                <w:lang w:val="en-US" w:eastAsia="en-US"/>
              </w:rPr>
            </w:pPr>
            <w:r w:rsidRPr="00965341">
              <w:rPr>
                <w:sz w:val="14"/>
                <w:szCs w:val="14"/>
                <w:lang w:val="en-US" w:eastAsia="en-US"/>
              </w:rPr>
              <w:t>Major Small and Large Bowel Procedures, Major Complexity</w:t>
            </w:r>
          </w:p>
        </w:tc>
        <w:tc>
          <w:tcPr>
            <w:tcW w:w="962" w:type="dxa"/>
            <w:gridSpan w:val="3"/>
            <w:tcBorders>
              <w:top w:val="nil"/>
              <w:left w:val="nil"/>
              <w:bottom w:val="nil"/>
              <w:right w:val="nil"/>
            </w:tcBorders>
            <w:shd w:val="clear" w:color="auto" w:fill="auto"/>
            <w:noWrap/>
            <w:hideMark/>
          </w:tcPr>
          <w:p w14:paraId="5BA174F6" w14:textId="77777777" w:rsidR="006278AE" w:rsidRPr="00965341" w:rsidRDefault="006278AE" w:rsidP="006278AE">
            <w:pPr>
              <w:jc w:val="right"/>
              <w:rPr>
                <w:b/>
                <w:sz w:val="14"/>
                <w:szCs w:val="14"/>
                <w:lang w:val="en-US" w:eastAsia="en-US"/>
              </w:rPr>
            </w:pPr>
            <w:r w:rsidRPr="00965341">
              <w:rPr>
                <w:b/>
                <w:sz w:val="14"/>
                <w:szCs w:val="14"/>
                <w:lang w:val="en-US" w:eastAsia="en-US"/>
              </w:rPr>
              <w:t>26.3</w:t>
            </w:r>
          </w:p>
        </w:tc>
        <w:tc>
          <w:tcPr>
            <w:tcW w:w="500" w:type="dxa"/>
            <w:tcBorders>
              <w:top w:val="nil"/>
              <w:left w:val="nil"/>
              <w:bottom w:val="nil"/>
              <w:right w:val="nil"/>
            </w:tcBorders>
            <w:shd w:val="clear" w:color="auto" w:fill="auto"/>
            <w:noWrap/>
            <w:hideMark/>
          </w:tcPr>
          <w:p w14:paraId="5C10DEBA" w14:textId="77777777" w:rsidR="006278AE" w:rsidRPr="00965341" w:rsidRDefault="006278AE" w:rsidP="006278AE">
            <w:pPr>
              <w:jc w:val="right"/>
              <w:rPr>
                <w:sz w:val="14"/>
                <w:szCs w:val="14"/>
                <w:lang w:val="en-US" w:eastAsia="en-US"/>
              </w:rPr>
            </w:pPr>
            <w:r w:rsidRPr="00965341">
              <w:rPr>
                <w:sz w:val="14"/>
                <w:szCs w:val="14"/>
                <w:lang w:val="en-US" w:eastAsia="en-US"/>
              </w:rPr>
              <w:t>4</w:t>
            </w:r>
          </w:p>
        </w:tc>
        <w:tc>
          <w:tcPr>
            <w:tcW w:w="653" w:type="dxa"/>
            <w:gridSpan w:val="2"/>
            <w:tcBorders>
              <w:top w:val="nil"/>
              <w:left w:val="nil"/>
              <w:bottom w:val="nil"/>
              <w:right w:val="nil"/>
            </w:tcBorders>
            <w:shd w:val="clear" w:color="auto" w:fill="auto"/>
            <w:noWrap/>
            <w:hideMark/>
          </w:tcPr>
          <w:p w14:paraId="0E3D6BDA" w14:textId="77777777" w:rsidR="006278AE" w:rsidRPr="00965341" w:rsidRDefault="006278AE" w:rsidP="006278AE">
            <w:pPr>
              <w:jc w:val="right"/>
              <w:rPr>
                <w:sz w:val="14"/>
                <w:szCs w:val="14"/>
                <w:lang w:val="en-US" w:eastAsia="en-US"/>
              </w:rPr>
            </w:pPr>
            <w:r w:rsidRPr="00965341">
              <w:rPr>
                <w:sz w:val="14"/>
                <w:szCs w:val="14"/>
                <w:lang w:val="en-US" w:eastAsia="en-US"/>
              </w:rPr>
              <w:t>130</w:t>
            </w:r>
          </w:p>
        </w:tc>
        <w:tc>
          <w:tcPr>
            <w:tcW w:w="691" w:type="dxa"/>
            <w:gridSpan w:val="2"/>
            <w:tcBorders>
              <w:top w:val="nil"/>
              <w:left w:val="nil"/>
              <w:bottom w:val="nil"/>
              <w:right w:val="nil"/>
            </w:tcBorders>
            <w:shd w:val="clear" w:color="auto" w:fill="auto"/>
            <w:noWrap/>
            <w:hideMark/>
          </w:tcPr>
          <w:p w14:paraId="655F3B59" w14:textId="77777777" w:rsidR="006278AE" w:rsidRPr="00965341" w:rsidRDefault="006278AE" w:rsidP="006278AE">
            <w:pPr>
              <w:jc w:val="right"/>
              <w:rPr>
                <w:sz w:val="14"/>
                <w:szCs w:val="14"/>
                <w:lang w:val="en-US" w:eastAsia="en-US"/>
              </w:rPr>
            </w:pPr>
            <w:r w:rsidRPr="00965341">
              <w:rPr>
                <w:sz w:val="14"/>
                <w:szCs w:val="14"/>
                <w:lang w:val="en-US" w:eastAsia="en-US"/>
              </w:rPr>
              <w:t>10.93</w:t>
            </w:r>
          </w:p>
        </w:tc>
        <w:tc>
          <w:tcPr>
            <w:tcW w:w="839" w:type="dxa"/>
            <w:gridSpan w:val="2"/>
            <w:tcBorders>
              <w:top w:val="nil"/>
              <w:left w:val="nil"/>
              <w:bottom w:val="nil"/>
              <w:right w:val="nil"/>
            </w:tcBorders>
            <w:shd w:val="clear" w:color="auto" w:fill="auto"/>
            <w:noWrap/>
            <w:hideMark/>
          </w:tcPr>
          <w:p w14:paraId="1174A52B" w14:textId="77777777" w:rsidR="006278AE" w:rsidRPr="00965341" w:rsidRDefault="006278AE" w:rsidP="006278AE">
            <w:pPr>
              <w:jc w:val="right"/>
              <w:rPr>
                <w:sz w:val="14"/>
                <w:szCs w:val="14"/>
                <w:lang w:val="en-US" w:eastAsia="en-US"/>
              </w:rPr>
            </w:pPr>
            <w:r w:rsidRPr="00965341">
              <w:rPr>
                <w:sz w:val="14"/>
                <w:szCs w:val="14"/>
                <w:lang w:val="en-US" w:eastAsia="en-US"/>
              </w:rPr>
              <w:t>839</w:t>
            </w:r>
          </w:p>
        </w:tc>
        <w:tc>
          <w:tcPr>
            <w:tcW w:w="884" w:type="dxa"/>
            <w:gridSpan w:val="2"/>
            <w:tcBorders>
              <w:top w:val="nil"/>
              <w:left w:val="nil"/>
              <w:bottom w:val="nil"/>
              <w:right w:val="nil"/>
            </w:tcBorders>
            <w:shd w:val="clear" w:color="auto" w:fill="auto"/>
            <w:noWrap/>
            <w:hideMark/>
          </w:tcPr>
          <w:p w14:paraId="42F1224F" w14:textId="47773C53" w:rsidR="006278AE" w:rsidRPr="00965341" w:rsidRDefault="006278AE" w:rsidP="006278AE">
            <w:pPr>
              <w:jc w:val="right"/>
              <w:rPr>
                <w:sz w:val="14"/>
                <w:szCs w:val="14"/>
                <w:lang w:val="en-US" w:eastAsia="en-US"/>
              </w:rPr>
            </w:pPr>
            <w:r w:rsidRPr="006278AE">
              <w:rPr>
                <w:sz w:val="14"/>
                <w:szCs w:val="14"/>
                <w:lang w:val="en-US" w:eastAsia="en-US"/>
              </w:rPr>
              <w:t>9,170</w:t>
            </w:r>
          </w:p>
        </w:tc>
        <w:tc>
          <w:tcPr>
            <w:tcW w:w="653" w:type="dxa"/>
            <w:gridSpan w:val="2"/>
            <w:tcBorders>
              <w:top w:val="nil"/>
              <w:left w:val="nil"/>
              <w:bottom w:val="nil"/>
              <w:right w:val="nil"/>
            </w:tcBorders>
            <w:shd w:val="clear" w:color="auto" w:fill="auto"/>
            <w:noWrap/>
            <w:hideMark/>
          </w:tcPr>
          <w:p w14:paraId="37BE19AD" w14:textId="77777777" w:rsidR="006278AE" w:rsidRPr="00965341" w:rsidRDefault="006278AE" w:rsidP="006278AE">
            <w:pPr>
              <w:jc w:val="right"/>
              <w:rPr>
                <w:sz w:val="14"/>
                <w:szCs w:val="14"/>
                <w:lang w:val="en-US" w:eastAsia="en-US"/>
              </w:rPr>
            </w:pPr>
            <w:r w:rsidRPr="00965341">
              <w:rPr>
                <w:sz w:val="14"/>
                <w:szCs w:val="14"/>
                <w:lang w:val="en-US" w:eastAsia="en-US"/>
              </w:rPr>
              <w:t>0.33</w:t>
            </w:r>
          </w:p>
        </w:tc>
        <w:tc>
          <w:tcPr>
            <w:tcW w:w="653" w:type="dxa"/>
            <w:gridSpan w:val="2"/>
            <w:tcBorders>
              <w:top w:val="nil"/>
              <w:left w:val="nil"/>
              <w:bottom w:val="nil"/>
              <w:right w:val="nil"/>
            </w:tcBorders>
            <w:shd w:val="clear" w:color="auto" w:fill="auto"/>
            <w:noWrap/>
            <w:hideMark/>
          </w:tcPr>
          <w:p w14:paraId="12EBC7AF"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53" w:type="dxa"/>
            <w:gridSpan w:val="2"/>
            <w:tcBorders>
              <w:top w:val="nil"/>
              <w:left w:val="nil"/>
              <w:bottom w:val="nil"/>
              <w:right w:val="nil"/>
            </w:tcBorders>
            <w:shd w:val="clear" w:color="auto" w:fill="auto"/>
            <w:noWrap/>
            <w:hideMark/>
          </w:tcPr>
          <w:p w14:paraId="7A584323" w14:textId="77777777" w:rsidR="006278AE" w:rsidRPr="00965341" w:rsidRDefault="006278AE" w:rsidP="006278AE">
            <w:pPr>
              <w:jc w:val="right"/>
              <w:rPr>
                <w:sz w:val="14"/>
                <w:szCs w:val="14"/>
                <w:lang w:val="en-US" w:eastAsia="en-US"/>
              </w:rPr>
            </w:pPr>
            <w:r w:rsidRPr="00965341">
              <w:rPr>
                <w:sz w:val="14"/>
                <w:szCs w:val="14"/>
                <w:lang w:val="en-US" w:eastAsia="en-US"/>
              </w:rPr>
              <w:t>0.3%</w:t>
            </w:r>
          </w:p>
        </w:tc>
        <w:tc>
          <w:tcPr>
            <w:tcW w:w="691" w:type="dxa"/>
            <w:gridSpan w:val="2"/>
            <w:tcBorders>
              <w:top w:val="nil"/>
              <w:left w:val="nil"/>
              <w:bottom w:val="nil"/>
              <w:right w:val="nil"/>
            </w:tcBorders>
            <w:shd w:val="clear" w:color="auto" w:fill="auto"/>
            <w:noWrap/>
            <w:hideMark/>
          </w:tcPr>
          <w:p w14:paraId="27148942" w14:textId="77777777" w:rsidR="006278AE" w:rsidRPr="00965341" w:rsidRDefault="006278AE" w:rsidP="006278AE">
            <w:pPr>
              <w:jc w:val="right"/>
              <w:rPr>
                <w:sz w:val="14"/>
                <w:szCs w:val="14"/>
                <w:lang w:val="en-US" w:eastAsia="en-US"/>
              </w:rPr>
            </w:pPr>
            <w:r w:rsidRPr="00965341">
              <w:rPr>
                <w:sz w:val="14"/>
                <w:szCs w:val="14"/>
                <w:lang w:val="en-US" w:eastAsia="en-US"/>
              </w:rPr>
              <w:t>24.9</w:t>
            </w:r>
          </w:p>
        </w:tc>
        <w:tc>
          <w:tcPr>
            <w:tcW w:w="691" w:type="dxa"/>
            <w:gridSpan w:val="2"/>
            <w:tcBorders>
              <w:top w:val="nil"/>
              <w:left w:val="nil"/>
              <w:bottom w:val="nil"/>
              <w:right w:val="nil"/>
            </w:tcBorders>
            <w:shd w:val="clear" w:color="auto" w:fill="auto"/>
            <w:noWrap/>
            <w:hideMark/>
          </w:tcPr>
          <w:p w14:paraId="59E2600C" w14:textId="77777777" w:rsidR="006278AE" w:rsidRPr="00965341" w:rsidRDefault="006278AE" w:rsidP="006278AE">
            <w:pPr>
              <w:jc w:val="right"/>
              <w:rPr>
                <w:sz w:val="14"/>
                <w:szCs w:val="14"/>
                <w:lang w:val="en-US" w:eastAsia="en-US"/>
              </w:rPr>
            </w:pPr>
            <w:r w:rsidRPr="00965341">
              <w:rPr>
                <w:sz w:val="14"/>
                <w:szCs w:val="14"/>
                <w:lang w:val="en-US" w:eastAsia="en-US"/>
              </w:rPr>
              <w:t xml:space="preserve">24 </w:t>
            </w:r>
          </w:p>
        </w:tc>
        <w:tc>
          <w:tcPr>
            <w:tcW w:w="839" w:type="dxa"/>
            <w:gridSpan w:val="2"/>
            <w:tcBorders>
              <w:top w:val="nil"/>
              <w:left w:val="nil"/>
              <w:bottom w:val="nil"/>
              <w:right w:val="nil"/>
            </w:tcBorders>
            <w:shd w:val="clear" w:color="auto" w:fill="auto"/>
            <w:noWrap/>
            <w:hideMark/>
          </w:tcPr>
          <w:p w14:paraId="5C8B999A" w14:textId="77777777" w:rsidR="006278AE" w:rsidRPr="00965341" w:rsidRDefault="006278AE" w:rsidP="006278AE">
            <w:pPr>
              <w:jc w:val="right"/>
              <w:rPr>
                <w:sz w:val="14"/>
                <w:szCs w:val="14"/>
                <w:lang w:val="en-US" w:eastAsia="en-US"/>
              </w:rPr>
            </w:pPr>
            <w:r w:rsidRPr="00965341">
              <w:rPr>
                <w:sz w:val="14"/>
                <w:szCs w:val="14"/>
                <w:lang w:val="en-US" w:eastAsia="en-US"/>
              </w:rPr>
              <w:t>22,067</w:t>
            </w:r>
          </w:p>
        </w:tc>
      </w:tr>
      <w:tr w:rsidR="006278AE" w:rsidRPr="00965341" w14:paraId="3AB94BE7" w14:textId="77777777" w:rsidTr="00A23161">
        <w:trPr>
          <w:gridAfter w:val="1"/>
          <w:wAfter w:w="34" w:type="dxa"/>
          <w:trHeight w:hRule="exact" w:val="284"/>
        </w:trPr>
        <w:tc>
          <w:tcPr>
            <w:tcW w:w="709" w:type="dxa"/>
            <w:tcBorders>
              <w:top w:val="nil"/>
              <w:left w:val="nil"/>
              <w:bottom w:val="nil"/>
              <w:right w:val="nil"/>
            </w:tcBorders>
            <w:shd w:val="clear" w:color="auto" w:fill="auto"/>
            <w:noWrap/>
            <w:hideMark/>
          </w:tcPr>
          <w:p w14:paraId="31BEB39A" w14:textId="77777777" w:rsidR="006278AE" w:rsidRPr="00965341" w:rsidRDefault="006278AE" w:rsidP="006278AE">
            <w:pPr>
              <w:jc w:val="center"/>
              <w:rPr>
                <w:sz w:val="14"/>
                <w:szCs w:val="14"/>
                <w:lang w:val="en-US" w:eastAsia="en-US"/>
              </w:rPr>
            </w:pPr>
            <w:r w:rsidRPr="00965341">
              <w:rPr>
                <w:sz w:val="14"/>
                <w:szCs w:val="14"/>
                <w:lang w:val="en-US" w:eastAsia="en-US"/>
              </w:rPr>
              <w:t>Yes</w:t>
            </w:r>
          </w:p>
        </w:tc>
        <w:tc>
          <w:tcPr>
            <w:tcW w:w="691" w:type="dxa"/>
            <w:tcBorders>
              <w:top w:val="nil"/>
              <w:left w:val="nil"/>
              <w:bottom w:val="nil"/>
              <w:right w:val="nil"/>
            </w:tcBorders>
            <w:shd w:val="clear" w:color="auto" w:fill="auto"/>
            <w:noWrap/>
            <w:hideMark/>
          </w:tcPr>
          <w:p w14:paraId="7BFCD71C" w14:textId="77777777" w:rsidR="006278AE" w:rsidRPr="00965341" w:rsidRDefault="006278AE" w:rsidP="006278AE">
            <w:pPr>
              <w:jc w:val="center"/>
              <w:rPr>
                <w:sz w:val="14"/>
                <w:szCs w:val="14"/>
                <w:lang w:val="en-US" w:eastAsia="en-US"/>
              </w:rPr>
            </w:pPr>
            <w:r w:rsidRPr="00965341">
              <w:rPr>
                <w:sz w:val="14"/>
                <w:szCs w:val="14"/>
                <w:lang w:val="en-US" w:eastAsia="en-US"/>
              </w:rPr>
              <w:t>19</w:t>
            </w:r>
          </w:p>
        </w:tc>
        <w:tc>
          <w:tcPr>
            <w:tcW w:w="600" w:type="dxa"/>
            <w:tcBorders>
              <w:top w:val="nil"/>
              <w:left w:val="nil"/>
              <w:bottom w:val="nil"/>
              <w:right w:val="nil"/>
            </w:tcBorders>
            <w:shd w:val="clear" w:color="auto" w:fill="auto"/>
            <w:noWrap/>
            <w:hideMark/>
          </w:tcPr>
          <w:p w14:paraId="2DD547E8" w14:textId="77777777" w:rsidR="006278AE" w:rsidRPr="00965341" w:rsidRDefault="006278AE" w:rsidP="006278AE">
            <w:pPr>
              <w:rPr>
                <w:sz w:val="14"/>
                <w:szCs w:val="14"/>
                <w:lang w:val="en-US" w:eastAsia="en-US"/>
              </w:rPr>
            </w:pPr>
            <w:r w:rsidRPr="00965341">
              <w:rPr>
                <w:sz w:val="14"/>
                <w:szCs w:val="14"/>
                <w:lang w:val="en-US" w:eastAsia="en-US"/>
              </w:rPr>
              <w:t>F61A</w:t>
            </w:r>
          </w:p>
        </w:tc>
        <w:tc>
          <w:tcPr>
            <w:tcW w:w="4637" w:type="dxa"/>
            <w:tcBorders>
              <w:top w:val="nil"/>
              <w:left w:val="nil"/>
              <w:bottom w:val="nil"/>
              <w:right w:val="nil"/>
            </w:tcBorders>
            <w:shd w:val="clear" w:color="auto" w:fill="auto"/>
            <w:noWrap/>
            <w:hideMark/>
          </w:tcPr>
          <w:p w14:paraId="6A345723" w14:textId="77777777" w:rsidR="006278AE" w:rsidRPr="00965341" w:rsidRDefault="006278AE" w:rsidP="006278AE">
            <w:pPr>
              <w:rPr>
                <w:sz w:val="14"/>
                <w:szCs w:val="14"/>
                <w:lang w:val="en-US" w:eastAsia="en-US"/>
              </w:rPr>
            </w:pPr>
            <w:r w:rsidRPr="00965341">
              <w:rPr>
                <w:sz w:val="14"/>
                <w:szCs w:val="14"/>
                <w:lang w:val="en-US" w:eastAsia="en-US"/>
              </w:rPr>
              <w:t>Infective Endocarditis, Major Complexity</w:t>
            </w:r>
          </w:p>
        </w:tc>
        <w:tc>
          <w:tcPr>
            <w:tcW w:w="962" w:type="dxa"/>
            <w:gridSpan w:val="3"/>
            <w:tcBorders>
              <w:top w:val="nil"/>
              <w:left w:val="nil"/>
              <w:bottom w:val="nil"/>
              <w:right w:val="nil"/>
            </w:tcBorders>
            <w:shd w:val="clear" w:color="auto" w:fill="auto"/>
            <w:noWrap/>
            <w:hideMark/>
          </w:tcPr>
          <w:p w14:paraId="74FFBAF8" w14:textId="77777777" w:rsidR="006278AE" w:rsidRPr="00965341" w:rsidRDefault="006278AE" w:rsidP="006278AE">
            <w:pPr>
              <w:jc w:val="right"/>
              <w:rPr>
                <w:b/>
                <w:sz w:val="14"/>
                <w:szCs w:val="14"/>
                <w:lang w:val="en-US" w:eastAsia="en-US"/>
              </w:rPr>
            </w:pPr>
            <w:r w:rsidRPr="00965341">
              <w:rPr>
                <w:b/>
                <w:sz w:val="14"/>
                <w:szCs w:val="14"/>
                <w:lang w:val="en-US" w:eastAsia="en-US"/>
              </w:rPr>
              <w:t>26.2</w:t>
            </w:r>
          </w:p>
        </w:tc>
        <w:tc>
          <w:tcPr>
            <w:tcW w:w="500" w:type="dxa"/>
            <w:tcBorders>
              <w:top w:val="nil"/>
              <w:left w:val="nil"/>
              <w:bottom w:val="nil"/>
              <w:right w:val="nil"/>
            </w:tcBorders>
            <w:shd w:val="clear" w:color="auto" w:fill="auto"/>
            <w:noWrap/>
            <w:hideMark/>
          </w:tcPr>
          <w:p w14:paraId="11B4B375" w14:textId="77777777" w:rsidR="006278AE" w:rsidRPr="00965341" w:rsidRDefault="006278AE" w:rsidP="006278AE">
            <w:pPr>
              <w:jc w:val="right"/>
              <w:rPr>
                <w:sz w:val="14"/>
                <w:szCs w:val="14"/>
                <w:lang w:val="en-US" w:eastAsia="en-US"/>
              </w:rPr>
            </w:pPr>
            <w:r w:rsidRPr="00965341">
              <w:rPr>
                <w:sz w:val="14"/>
                <w:szCs w:val="14"/>
                <w:lang w:val="en-US" w:eastAsia="en-US"/>
              </w:rPr>
              <w:t>1</w:t>
            </w:r>
          </w:p>
        </w:tc>
        <w:tc>
          <w:tcPr>
            <w:tcW w:w="653" w:type="dxa"/>
            <w:gridSpan w:val="2"/>
            <w:tcBorders>
              <w:top w:val="nil"/>
              <w:left w:val="nil"/>
              <w:bottom w:val="nil"/>
              <w:right w:val="nil"/>
            </w:tcBorders>
            <w:shd w:val="clear" w:color="auto" w:fill="auto"/>
            <w:noWrap/>
            <w:hideMark/>
          </w:tcPr>
          <w:p w14:paraId="5C55509D" w14:textId="77777777" w:rsidR="006278AE" w:rsidRPr="00965341" w:rsidRDefault="006278AE" w:rsidP="006278AE">
            <w:pPr>
              <w:jc w:val="right"/>
              <w:rPr>
                <w:sz w:val="14"/>
                <w:szCs w:val="14"/>
                <w:lang w:val="en-US" w:eastAsia="en-US"/>
              </w:rPr>
            </w:pPr>
            <w:r w:rsidRPr="00965341">
              <w:rPr>
                <w:sz w:val="14"/>
                <w:szCs w:val="14"/>
                <w:lang w:val="en-US" w:eastAsia="en-US"/>
              </w:rPr>
              <w:t>100</w:t>
            </w:r>
          </w:p>
        </w:tc>
        <w:tc>
          <w:tcPr>
            <w:tcW w:w="691" w:type="dxa"/>
            <w:gridSpan w:val="2"/>
            <w:tcBorders>
              <w:top w:val="nil"/>
              <w:left w:val="nil"/>
              <w:bottom w:val="nil"/>
              <w:right w:val="nil"/>
            </w:tcBorders>
            <w:shd w:val="clear" w:color="auto" w:fill="auto"/>
            <w:noWrap/>
            <w:hideMark/>
          </w:tcPr>
          <w:p w14:paraId="50029151" w14:textId="77777777" w:rsidR="006278AE" w:rsidRPr="00965341" w:rsidRDefault="006278AE" w:rsidP="006278AE">
            <w:pPr>
              <w:jc w:val="right"/>
              <w:rPr>
                <w:sz w:val="14"/>
                <w:szCs w:val="14"/>
                <w:lang w:val="en-US" w:eastAsia="en-US"/>
              </w:rPr>
            </w:pPr>
            <w:r w:rsidRPr="00965341">
              <w:rPr>
                <w:sz w:val="14"/>
                <w:szCs w:val="14"/>
                <w:lang w:val="en-US" w:eastAsia="en-US"/>
              </w:rPr>
              <w:t>6.02</w:t>
            </w:r>
          </w:p>
        </w:tc>
        <w:tc>
          <w:tcPr>
            <w:tcW w:w="839" w:type="dxa"/>
            <w:gridSpan w:val="2"/>
            <w:tcBorders>
              <w:top w:val="nil"/>
              <w:left w:val="nil"/>
              <w:bottom w:val="nil"/>
              <w:right w:val="nil"/>
            </w:tcBorders>
            <w:shd w:val="clear" w:color="auto" w:fill="auto"/>
            <w:noWrap/>
            <w:hideMark/>
          </w:tcPr>
          <w:p w14:paraId="0D8DBB0D" w14:textId="77777777" w:rsidR="006278AE" w:rsidRPr="00965341" w:rsidRDefault="006278AE" w:rsidP="006278AE">
            <w:pPr>
              <w:jc w:val="right"/>
              <w:rPr>
                <w:sz w:val="14"/>
                <w:szCs w:val="14"/>
                <w:lang w:val="en-US" w:eastAsia="en-US"/>
              </w:rPr>
            </w:pPr>
            <w:r w:rsidRPr="00965341">
              <w:rPr>
                <w:sz w:val="14"/>
                <w:szCs w:val="14"/>
                <w:lang w:val="en-US" w:eastAsia="en-US"/>
              </w:rPr>
              <w:t>86</w:t>
            </w:r>
          </w:p>
        </w:tc>
        <w:tc>
          <w:tcPr>
            <w:tcW w:w="884" w:type="dxa"/>
            <w:gridSpan w:val="2"/>
            <w:tcBorders>
              <w:top w:val="nil"/>
              <w:left w:val="nil"/>
              <w:bottom w:val="nil"/>
              <w:right w:val="nil"/>
            </w:tcBorders>
            <w:shd w:val="clear" w:color="auto" w:fill="auto"/>
            <w:noWrap/>
            <w:hideMark/>
          </w:tcPr>
          <w:p w14:paraId="114DA769" w14:textId="445204D5" w:rsidR="006278AE" w:rsidRPr="00965341" w:rsidRDefault="006278AE" w:rsidP="006278AE">
            <w:pPr>
              <w:jc w:val="right"/>
              <w:rPr>
                <w:sz w:val="14"/>
                <w:szCs w:val="14"/>
                <w:lang w:val="en-US" w:eastAsia="en-US"/>
              </w:rPr>
            </w:pPr>
            <w:r w:rsidRPr="006278AE">
              <w:rPr>
                <w:sz w:val="14"/>
                <w:szCs w:val="14"/>
                <w:lang w:val="en-US" w:eastAsia="en-US"/>
              </w:rPr>
              <w:t>518</w:t>
            </w:r>
          </w:p>
        </w:tc>
        <w:tc>
          <w:tcPr>
            <w:tcW w:w="653" w:type="dxa"/>
            <w:gridSpan w:val="2"/>
            <w:tcBorders>
              <w:top w:val="nil"/>
              <w:left w:val="nil"/>
              <w:bottom w:val="nil"/>
              <w:right w:val="nil"/>
            </w:tcBorders>
            <w:shd w:val="clear" w:color="auto" w:fill="auto"/>
            <w:noWrap/>
            <w:hideMark/>
          </w:tcPr>
          <w:p w14:paraId="6B1C17C5" w14:textId="77777777" w:rsidR="006278AE" w:rsidRPr="00965341" w:rsidRDefault="006278AE" w:rsidP="006278AE">
            <w:pPr>
              <w:jc w:val="right"/>
              <w:rPr>
                <w:sz w:val="14"/>
                <w:szCs w:val="14"/>
                <w:lang w:val="en-US" w:eastAsia="en-US"/>
              </w:rPr>
            </w:pPr>
            <w:r w:rsidRPr="00965341">
              <w:rPr>
                <w:sz w:val="14"/>
                <w:szCs w:val="14"/>
                <w:lang w:val="en-US" w:eastAsia="en-US"/>
              </w:rPr>
              <w:t>0.71</w:t>
            </w:r>
          </w:p>
        </w:tc>
        <w:tc>
          <w:tcPr>
            <w:tcW w:w="653" w:type="dxa"/>
            <w:gridSpan w:val="2"/>
            <w:tcBorders>
              <w:top w:val="nil"/>
              <w:left w:val="nil"/>
              <w:bottom w:val="nil"/>
              <w:right w:val="nil"/>
            </w:tcBorders>
            <w:shd w:val="clear" w:color="auto" w:fill="auto"/>
            <w:noWrap/>
            <w:hideMark/>
          </w:tcPr>
          <w:p w14:paraId="2FC8DC59"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53" w:type="dxa"/>
            <w:gridSpan w:val="2"/>
            <w:tcBorders>
              <w:top w:val="nil"/>
              <w:left w:val="nil"/>
              <w:bottom w:val="nil"/>
              <w:right w:val="nil"/>
            </w:tcBorders>
            <w:shd w:val="clear" w:color="auto" w:fill="auto"/>
            <w:noWrap/>
            <w:hideMark/>
          </w:tcPr>
          <w:p w14:paraId="47BA1EDE"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91" w:type="dxa"/>
            <w:gridSpan w:val="2"/>
            <w:tcBorders>
              <w:top w:val="nil"/>
              <w:left w:val="nil"/>
              <w:bottom w:val="nil"/>
              <w:right w:val="nil"/>
            </w:tcBorders>
            <w:shd w:val="clear" w:color="auto" w:fill="auto"/>
            <w:noWrap/>
            <w:hideMark/>
          </w:tcPr>
          <w:p w14:paraId="4A3F1100" w14:textId="77777777" w:rsidR="006278AE" w:rsidRPr="00965341" w:rsidRDefault="006278AE" w:rsidP="006278AE">
            <w:pPr>
              <w:jc w:val="right"/>
              <w:rPr>
                <w:sz w:val="14"/>
                <w:szCs w:val="14"/>
                <w:lang w:val="en-US" w:eastAsia="en-US"/>
              </w:rPr>
            </w:pPr>
            <w:r w:rsidRPr="00965341">
              <w:rPr>
                <w:sz w:val="14"/>
                <w:szCs w:val="14"/>
                <w:lang w:val="en-US" w:eastAsia="en-US"/>
              </w:rPr>
              <w:t>27.3</w:t>
            </w:r>
          </w:p>
        </w:tc>
        <w:tc>
          <w:tcPr>
            <w:tcW w:w="691" w:type="dxa"/>
            <w:gridSpan w:val="2"/>
            <w:tcBorders>
              <w:top w:val="nil"/>
              <w:left w:val="nil"/>
              <w:bottom w:val="nil"/>
              <w:right w:val="nil"/>
            </w:tcBorders>
            <w:shd w:val="clear" w:color="auto" w:fill="auto"/>
            <w:noWrap/>
            <w:hideMark/>
          </w:tcPr>
          <w:p w14:paraId="707C0B7B" w14:textId="77777777" w:rsidR="006278AE" w:rsidRPr="00965341" w:rsidRDefault="006278AE" w:rsidP="006278AE">
            <w:pPr>
              <w:jc w:val="right"/>
              <w:rPr>
                <w:sz w:val="14"/>
                <w:szCs w:val="14"/>
                <w:lang w:val="en-US" w:eastAsia="en-US"/>
              </w:rPr>
            </w:pPr>
            <w:r w:rsidRPr="00965341">
              <w:rPr>
                <w:sz w:val="14"/>
                <w:szCs w:val="14"/>
                <w:lang w:val="en-US" w:eastAsia="en-US"/>
              </w:rPr>
              <w:t xml:space="preserve">14 </w:t>
            </w:r>
          </w:p>
        </w:tc>
        <w:tc>
          <w:tcPr>
            <w:tcW w:w="839" w:type="dxa"/>
            <w:gridSpan w:val="2"/>
            <w:tcBorders>
              <w:top w:val="nil"/>
              <w:left w:val="nil"/>
              <w:bottom w:val="nil"/>
              <w:right w:val="nil"/>
            </w:tcBorders>
            <w:shd w:val="clear" w:color="auto" w:fill="auto"/>
            <w:noWrap/>
            <w:hideMark/>
          </w:tcPr>
          <w:p w14:paraId="61D16FC2" w14:textId="77777777" w:rsidR="006278AE" w:rsidRPr="00965341" w:rsidRDefault="006278AE" w:rsidP="006278AE">
            <w:pPr>
              <w:jc w:val="right"/>
              <w:rPr>
                <w:sz w:val="14"/>
                <w:szCs w:val="14"/>
                <w:lang w:val="en-US" w:eastAsia="en-US"/>
              </w:rPr>
            </w:pPr>
            <w:r w:rsidRPr="00965341">
              <w:rPr>
                <w:sz w:val="14"/>
                <w:szCs w:val="14"/>
                <w:lang w:val="en-US" w:eastAsia="en-US"/>
              </w:rPr>
              <w:t>2,264</w:t>
            </w:r>
          </w:p>
        </w:tc>
      </w:tr>
      <w:tr w:rsidR="006278AE" w:rsidRPr="00965341" w14:paraId="46ED6751" w14:textId="77777777" w:rsidTr="00A23161">
        <w:trPr>
          <w:gridAfter w:val="1"/>
          <w:wAfter w:w="34" w:type="dxa"/>
          <w:trHeight w:hRule="exact" w:val="284"/>
        </w:trPr>
        <w:tc>
          <w:tcPr>
            <w:tcW w:w="709" w:type="dxa"/>
            <w:tcBorders>
              <w:top w:val="nil"/>
              <w:left w:val="nil"/>
              <w:bottom w:val="nil"/>
              <w:right w:val="nil"/>
            </w:tcBorders>
            <w:shd w:val="clear" w:color="auto" w:fill="auto"/>
            <w:noWrap/>
            <w:hideMark/>
          </w:tcPr>
          <w:p w14:paraId="71A1C25E" w14:textId="77777777" w:rsidR="006278AE" w:rsidRPr="00965341" w:rsidRDefault="006278AE" w:rsidP="006278AE">
            <w:pPr>
              <w:jc w:val="center"/>
              <w:rPr>
                <w:sz w:val="14"/>
                <w:szCs w:val="14"/>
                <w:lang w:val="en-US" w:eastAsia="en-US"/>
              </w:rPr>
            </w:pPr>
            <w:r w:rsidRPr="00965341">
              <w:rPr>
                <w:sz w:val="14"/>
                <w:szCs w:val="14"/>
                <w:lang w:val="en-US" w:eastAsia="en-US"/>
              </w:rPr>
              <w:t>No</w:t>
            </w:r>
          </w:p>
        </w:tc>
        <w:tc>
          <w:tcPr>
            <w:tcW w:w="691" w:type="dxa"/>
            <w:tcBorders>
              <w:top w:val="nil"/>
              <w:left w:val="nil"/>
              <w:bottom w:val="nil"/>
              <w:right w:val="nil"/>
            </w:tcBorders>
            <w:shd w:val="clear" w:color="auto" w:fill="auto"/>
            <w:noWrap/>
            <w:hideMark/>
          </w:tcPr>
          <w:p w14:paraId="65AA8E1A" w14:textId="77777777" w:rsidR="006278AE" w:rsidRPr="00965341" w:rsidRDefault="006278AE" w:rsidP="006278AE">
            <w:pPr>
              <w:jc w:val="center"/>
              <w:rPr>
                <w:sz w:val="14"/>
                <w:szCs w:val="14"/>
                <w:lang w:val="en-US" w:eastAsia="en-US"/>
              </w:rPr>
            </w:pPr>
            <w:r w:rsidRPr="00965341">
              <w:rPr>
                <w:sz w:val="14"/>
                <w:szCs w:val="14"/>
                <w:lang w:val="en-US" w:eastAsia="en-US"/>
              </w:rPr>
              <w:t>20</w:t>
            </w:r>
          </w:p>
        </w:tc>
        <w:tc>
          <w:tcPr>
            <w:tcW w:w="600" w:type="dxa"/>
            <w:tcBorders>
              <w:top w:val="nil"/>
              <w:left w:val="nil"/>
              <w:bottom w:val="nil"/>
              <w:right w:val="nil"/>
            </w:tcBorders>
            <w:shd w:val="clear" w:color="auto" w:fill="auto"/>
            <w:noWrap/>
            <w:hideMark/>
          </w:tcPr>
          <w:p w14:paraId="5B1A6252" w14:textId="77777777" w:rsidR="006278AE" w:rsidRPr="00965341" w:rsidRDefault="006278AE" w:rsidP="006278AE">
            <w:pPr>
              <w:rPr>
                <w:sz w:val="14"/>
                <w:szCs w:val="14"/>
                <w:lang w:val="en-US" w:eastAsia="en-US"/>
              </w:rPr>
            </w:pPr>
            <w:r w:rsidRPr="00965341">
              <w:rPr>
                <w:sz w:val="14"/>
                <w:szCs w:val="14"/>
                <w:lang w:val="en-US" w:eastAsia="en-US"/>
              </w:rPr>
              <w:t>I61A</w:t>
            </w:r>
          </w:p>
        </w:tc>
        <w:tc>
          <w:tcPr>
            <w:tcW w:w="4637" w:type="dxa"/>
            <w:tcBorders>
              <w:top w:val="nil"/>
              <w:left w:val="nil"/>
              <w:bottom w:val="nil"/>
              <w:right w:val="nil"/>
            </w:tcBorders>
            <w:shd w:val="clear" w:color="auto" w:fill="auto"/>
            <w:noWrap/>
            <w:hideMark/>
          </w:tcPr>
          <w:p w14:paraId="1E3ACCB1" w14:textId="77777777" w:rsidR="006278AE" w:rsidRPr="00965341" w:rsidRDefault="006278AE" w:rsidP="006278AE">
            <w:pPr>
              <w:rPr>
                <w:sz w:val="14"/>
                <w:szCs w:val="14"/>
                <w:lang w:val="en-US" w:eastAsia="en-US"/>
              </w:rPr>
            </w:pPr>
            <w:r w:rsidRPr="00965341">
              <w:rPr>
                <w:sz w:val="14"/>
                <w:szCs w:val="14"/>
                <w:lang w:val="en-US" w:eastAsia="en-US"/>
              </w:rPr>
              <w:t>Distal Femoral Fractures, Major Complexity</w:t>
            </w:r>
          </w:p>
        </w:tc>
        <w:tc>
          <w:tcPr>
            <w:tcW w:w="962" w:type="dxa"/>
            <w:gridSpan w:val="3"/>
            <w:tcBorders>
              <w:top w:val="nil"/>
              <w:left w:val="nil"/>
              <w:bottom w:val="nil"/>
              <w:right w:val="nil"/>
            </w:tcBorders>
            <w:shd w:val="clear" w:color="auto" w:fill="auto"/>
            <w:noWrap/>
            <w:hideMark/>
          </w:tcPr>
          <w:p w14:paraId="50CB612A" w14:textId="77777777" w:rsidR="006278AE" w:rsidRPr="00965341" w:rsidRDefault="006278AE" w:rsidP="006278AE">
            <w:pPr>
              <w:jc w:val="right"/>
              <w:rPr>
                <w:b/>
                <w:sz w:val="14"/>
                <w:szCs w:val="14"/>
                <w:lang w:val="en-US" w:eastAsia="en-US"/>
              </w:rPr>
            </w:pPr>
            <w:r w:rsidRPr="00965341">
              <w:rPr>
                <w:b/>
                <w:sz w:val="14"/>
                <w:szCs w:val="14"/>
                <w:lang w:val="en-US" w:eastAsia="en-US"/>
              </w:rPr>
              <w:t>25.8</w:t>
            </w:r>
          </w:p>
        </w:tc>
        <w:tc>
          <w:tcPr>
            <w:tcW w:w="500" w:type="dxa"/>
            <w:tcBorders>
              <w:top w:val="nil"/>
              <w:left w:val="nil"/>
              <w:bottom w:val="nil"/>
              <w:right w:val="nil"/>
            </w:tcBorders>
            <w:shd w:val="clear" w:color="auto" w:fill="auto"/>
            <w:noWrap/>
            <w:hideMark/>
          </w:tcPr>
          <w:p w14:paraId="255B714F" w14:textId="77777777" w:rsidR="006278AE" w:rsidRPr="00965341" w:rsidRDefault="006278AE" w:rsidP="006278AE">
            <w:pPr>
              <w:jc w:val="right"/>
              <w:rPr>
                <w:sz w:val="14"/>
                <w:szCs w:val="14"/>
                <w:lang w:val="en-US" w:eastAsia="en-US"/>
              </w:rPr>
            </w:pPr>
            <w:r w:rsidRPr="00965341">
              <w:rPr>
                <w:sz w:val="14"/>
                <w:szCs w:val="14"/>
                <w:lang w:val="en-US" w:eastAsia="en-US"/>
              </w:rPr>
              <w:t>4</w:t>
            </w:r>
          </w:p>
        </w:tc>
        <w:tc>
          <w:tcPr>
            <w:tcW w:w="653" w:type="dxa"/>
            <w:gridSpan w:val="2"/>
            <w:tcBorders>
              <w:top w:val="nil"/>
              <w:left w:val="nil"/>
              <w:bottom w:val="nil"/>
              <w:right w:val="nil"/>
            </w:tcBorders>
            <w:shd w:val="clear" w:color="auto" w:fill="auto"/>
            <w:noWrap/>
            <w:hideMark/>
          </w:tcPr>
          <w:p w14:paraId="4016B080" w14:textId="77777777" w:rsidR="006278AE" w:rsidRPr="00965341" w:rsidRDefault="006278AE" w:rsidP="006278AE">
            <w:pPr>
              <w:jc w:val="right"/>
              <w:rPr>
                <w:sz w:val="14"/>
                <w:szCs w:val="14"/>
                <w:lang w:val="en-US" w:eastAsia="en-US"/>
              </w:rPr>
            </w:pPr>
            <w:r w:rsidRPr="00965341">
              <w:rPr>
                <w:sz w:val="14"/>
                <w:szCs w:val="14"/>
                <w:lang w:val="en-US" w:eastAsia="en-US"/>
              </w:rPr>
              <w:t>122</w:t>
            </w:r>
          </w:p>
        </w:tc>
        <w:tc>
          <w:tcPr>
            <w:tcW w:w="691" w:type="dxa"/>
            <w:gridSpan w:val="2"/>
            <w:tcBorders>
              <w:top w:val="nil"/>
              <w:left w:val="nil"/>
              <w:bottom w:val="nil"/>
              <w:right w:val="nil"/>
            </w:tcBorders>
            <w:shd w:val="clear" w:color="auto" w:fill="auto"/>
            <w:noWrap/>
            <w:hideMark/>
          </w:tcPr>
          <w:p w14:paraId="417DFF4F" w14:textId="77777777" w:rsidR="006278AE" w:rsidRPr="00965341" w:rsidRDefault="006278AE" w:rsidP="006278AE">
            <w:pPr>
              <w:jc w:val="right"/>
              <w:rPr>
                <w:sz w:val="14"/>
                <w:szCs w:val="14"/>
                <w:lang w:val="en-US" w:eastAsia="en-US"/>
              </w:rPr>
            </w:pPr>
            <w:r w:rsidRPr="00965341">
              <w:rPr>
                <w:sz w:val="14"/>
                <w:szCs w:val="14"/>
                <w:lang w:val="en-US" w:eastAsia="en-US"/>
              </w:rPr>
              <w:t>4.25</w:t>
            </w:r>
          </w:p>
        </w:tc>
        <w:tc>
          <w:tcPr>
            <w:tcW w:w="839" w:type="dxa"/>
            <w:gridSpan w:val="2"/>
            <w:tcBorders>
              <w:top w:val="nil"/>
              <w:left w:val="nil"/>
              <w:bottom w:val="nil"/>
              <w:right w:val="nil"/>
            </w:tcBorders>
            <w:shd w:val="clear" w:color="auto" w:fill="auto"/>
            <w:noWrap/>
            <w:hideMark/>
          </w:tcPr>
          <w:p w14:paraId="19B84741" w14:textId="77777777" w:rsidR="006278AE" w:rsidRPr="00965341" w:rsidRDefault="006278AE" w:rsidP="006278AE">
            <w:pPr>
              <w:jc w:val="right"/>
              <w:rPr>
                <w:sz w:val="14"/>
                <w:szCs w:val="14"/>
                <w:lang w:val="en-US" w:eastAsia="en-US"/>
              </w:rPr>
            </w:pPr>
            <w:r w:rsidRPr="00965341">
              <w:rPr>
                <w:sz w:val="14"/>
                <w:szCs w:val="14"/>
                <w:lang w:val="en-US" w:eastAsia="en-US"/>
              </w:rPr>
              <w:t>41</w:t>
            </w:r>
          </w:p>
        </w:tc>
        <w:tc>
          <w:tcPr>
            <w:tcW w:w="884" w:type="dxa"/>
            <w:gridSpan w:val="2"/>
            <w:tcBorders>
              <w:top w:val="nil"/>
              <w:left w:val="nil"/>
              <w:bottom w:val="nil"/>
              <w:right w:val="nil"/>
            </w:tcBorders>
            <w:shd w:val="clear" w:color="auto" w:fill="auto"/>
            <w:noWrap/>
            <w:hideMark/>
          </w:tcPr>
          <w:p w14:paraId="4D923C03" w14:textId="19904090" w:rsidR="006278AE" w:rsidRPr="00965341" w:rsidRDefault="006278AE" w:rsidP="006278AE">
            <w:pPr>
              <w:jc w:val="right"/>
              <w:rPr>
                <w:sz w:val="14"/>
                <w:szCs w:val="14"/>
                <w:lang w:val="en-US" w:eastAsia="en-US"/>
              </w:rPr>
            </w:pPr>
            <w:r w:rsidRPr="006278AE">
              <w:rPr>
                <w:sz w:val="14"/>
                <w:szCs w:val="14"/>
                <w:lang w:val="en-US" w:eastAsia="en-US"/>
              </w:rPr>
              <w:t>174</w:t>
            </w:r>
          </w:p>
        </w:tc>
        <w:tc>
          <w:tcPr>
            <w:tcW w:w="653" w:type="dxa"/>
            <w:gridSpan w:val="2"/>
            <w:tcBorders>
              <w:top w:val="nil"/>
              <w:left w:val="nil"/>
              <w:bottom w:val="nil"/>
              <w:right w:val="nil"/>
            </w:tcBorders>
            <w:shd w:val="clear" w:color="auto" w:fill="auto"/>
            <w:noWrap/>
            <w:hideMark/>
          </w:tcPr>
          <w:p w14:paraId="7E153027" w14:textId="136ADB46" w:rsidR="006278AE" w:rsidRPr="00965341" w:rsidRDefault="006278AE" w:rsidP="006278AE">
            <w:pPr>
              <w:jc w:val="right"/>
              <w:rPr>
                <w:sz w:val="14"/>
                <w:szCs w:val="14"/>
                <w:lang w:val="en-US" w:eastAsia="en-US"/>
              </w:rPr>
            </w:pPr>
            <w:r w:rsidRPr="00965341">
              <w:rPr>
                <w:sz w:val="14"/>
                <w:szCs w:val="14"/>
                <w:lang w:val="en-US" w:eastAsia="en-US"/>
              </w:rPr>
              <w:t>0.91</w:t>
            </w:r>
          </w:p>
        </w:tc>
        <w:tc>
          <w:tcPr>
            <w:tcW w:w="653" w:type="dxa"/>
            <w:gridSpan w:val="2"/>
            <w:tcBorders>
              <w:top w:val="nil"/>
              <w:left w:val="nil"/>
              <w:bottom w:val="nil"/>
              <w:right w:val="nil"/>
            </w:tcBorders>
            <w:shd w:val="clear" w:color="auto" w:fill="auto"/>
            <w:noWrap/>
            <w:hideMark/>
          </w:tcPr>
          <w:p w14:paraId="0DE54C0C"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53" w:type="dxa"/>
            <w:gridSpan w:val="2"/>
            <w:tcBorders>
              <w:top w:val="nil"/>
              <w:left w:val="nil"/>
              <w:bottom w:val="nil"/>
              <w:right w:val="nil"/>
            </w:tcBorders>
            <w:shd w:val="clear" w:color="auto" w:fill="auto"/>
            <w:noWrap/>
            <w:hideMark/>
          </w:tcPr>
          <w:p w14:paraId="30A30FD9" w14:textId="77777777" w:rsidR="006278AE" w:rsidRPr="00965341" w:rsidRDefault="006278AE" w:rsidP="006278AE">
            <w:pPr>
              <w:jc w:val="right"/>
              <w:rPr>
                <w:sz w:val="14"/>
                <w:szCs w:val="14"/>
                <w:lang w:val="en-US" w:eastAsia="en-US"/>
              </w:rPr>
            </w:pPr>
            <w:r w:rsidRPr="00965341">
              <w:rPr>
                <w:sz w:val="14"/>
                <w:szCs w:val="14"/>
                <w:lang w:val="en-US" w:eastAsia="en-US"/>
              </w:rPr>
              <w:t>0.0%</w:t>
            </w:r>
          </w:p>
        </w:tc>
        <w:tc>
          <w:tcPr>
            <w:tcW w:w="691" w:type="dxa"/>
            <w:gridSpan w:val="2"/>
            <w:tcBorders>
              <w:top w:val="nil"/>
              <w:left w:val="nil"/>
              <w:bottom w:val="nil"/>
              <w:right w:val="nil"/>
            </w:tcBorders>
            <w:shd w:val="clear" w:color="auto" w:fill="auto"/>
            <w:noWrap/>
            <w:hideMark/>
          </w:tcPr>
          <w:p w14:paraId="7AA3C71A" w14:textId="77777777" w:rsidR="006278AE" w:rsidRPr="00965341" w:rsidRDefault="006278AE" w:rsidP="006278AE">
            <w:pPr>
              <w:jc w:val="right"/>
              <w:rPr>
                <w:sz w:val="14"/>
                <w:szCs w:val="14"/>
                <w:lang w:val="en-US" w:eastAsia="en-US"/>
              </w:rPr>
            </w:pPr>
            <w:r w:rsidRPr="00965341">
              <w:rPr>
                <w:sz w:val="14"/>
                <w:szCs w:val="14"/>
                <w:lang w:val="en-US" w:eastAsia="en-US"/>
              </w:rPr>
              <w:t>24.3</w:t>
            </w:r>
          </w:p>
        </w:tc>
        <w:tc>
          <w:tcPr>
            <w:tcW w:w="691" w:type="dxa"/>
            <w:gridSpan w:val="2"/>
            <w:tcBorders>
              <w:top w:val="nil"/>
              <w:left w:val="nil"/>
              <w:bottom w:val="nil"/>
              <w:right w:val="nil"/>
            </w:tcBorders>
            <w:shd w:val="clear" w:color="auto" w:fill="auto"/>
            <w:noWrap/>
            <w:hideMark/>
          </w:tcPr>
          <w:p w14:paraId="781A3763" w14:textId="77777777" w:rsidR="006278AE" w:rsidRPr="00965341" w:rsidRDefault="006278AE" w:rsidP="006278AE">
            <w:pPr>
              <w:jc w:val="right"/>
              <w:rPr>
                <w:sz w:val="14"/>
                <w:szCs w:val="14"/>
                <w:lang w:val="en-US" w:eastAsia="en-US"/>
              </w:rPr>
            </w:pPr>
            <w:r w:rsidRPr="00965341">
              <w:rPr>
                <w:sz w:val="14"/>
                <w:szCs w:val="14"/>
                <w:lang w:val="en-US" w:eastAsia="en-US"/>
              </w:rPr>
              <w:t xml:space="preserve">26 </w:t>
            </w:r>
          </w:p>
        </w:tc>
        <w:tc>
          <w:tcPr>
            <w:tcW w:w="839" w:type="dxa"/>
            <w:gridSpan w:val="2"/>
            <w:tcBorders>
              <w:top w:val="nil"/>
              <w:left w:val="nil"/>
              <w:bottom w:val="nil"/>
              <w:right w:val="nil"/>
            </w:tcBorders>
            <w:shd w:val="clear" w:color="auto" w:fill="auto"/>
            <w:noWrap/>
            <w:hideMark/>
          </w:tcPr>
          <w:p w14:paraId="20CBD66A" w14:textId="77777777" w:rsidR="006278AE" w:rsidRPr="00965341" w:rsidRDefault="006278AE" w:rsidP="006278AE">
            <w:pPr>
              <w:jc w:val="right"/>
              <w:rPr>
                <w:sz w:val="14"/>
                <w:szCs w:val="14"/>
                <w:lang w:val="en-US" w:eastAsia="en-US"/>
              </w:rPr>
            </w:pPr>
            <w:r w:rsidRPr="00965341">
              <w:rPr>
                <w:sz w:val="14"/>
                <w:szCs w:val="14"/>
                <w:lang w:val="en-US" w:eastAsia="en-US"/>
              </w:rPr>
              <w:t>1,053</w:t>
            </w:r>
          </w:p>
        </w:tc>
      </w:tr>
      <w:tr w:rsidR="00B95C7E" w:rsidRPr="00965341" w14:paraId="3A95F55F" w14:textId="77777777" w:rsidTr="00A23161">
        <w:trPr>
          <w:trHeight w:val="254"/>
        </w:trPr>
        <w:tc>
          <w:tcPr>
            <w:tcW w:w="709" w:type="dxa"/>
            <w:tcBorders>
              <w:top w:val="single" w:sz="4" w:space="0" w:color="auto"/>
              <w:left w:val="nil"/>
              <w:bottom w:val="nil"/>
              <w:right w:val="nil"/>
            </w:tcBorders>
            <w:shd w:val="clear" w:color="auto" w:fill="auto"/>
            <w:noWrap/>
            <w:hideMark/>
          </w:tcPr>
          <w:p w14:paraId="1CA15ADB" w14:textId="77777777" w:rsidR="00B95C7E" w:rsidRPr="00965341" w:rsidRDefault="00B95C7E" w:rsidP="005C22AC">
            <w:pPr>
              <w:spacing w:after="0"/>
              <w:jc w:val="center"/>
              <w:rPr>
                <w:sz w:val="14"/>
                <w:szCs w:val="14"/>
                <w:lang w:val="en-US" w:eastAsia="en-US"/>
              </w:rPr>
            </w:pPr>
            <w:r w:rsidRPr="00965341">
              <w:rPr>
                <w:sz w:val="14"/>
                <w:szCs w:val="14"/>
                <w:lang w:val="en-US" w:eastAsia="en-US"/>
              </w:rPr>
              <w:t>14</w:t>
            </w:r>
          </w:p>
        </w:tc>
        <w:tc>
          <w:tcPr>
            <w:tcW w:w="6277" w:type="dxa"/>
            <w:gridSpan w:val="4"/>
            <w:tcBorders>
              <w:top w:val="single" w:sz="4" w:space="0" w:color="auto"/>
              <w:left w:val="nil"/>
              <w:bottom w:val="nil"/>
              <w:right w:val="nil"/>
            </w:tcBorders>
            <w:shd w:val="clear" w:color="auto" w:fill="auto"/>
            <w:noWrap/>
            <w:hideMark/>
          </w:tcPr>
          <w:p w14:paraId="75274185" w14:textId="77777777" w:rsidR="00B95C7E" w:rsidRPr="00965341" w:rsidRDefault="00B95C7E" w:rsidP="005C22AC">
            <w:pPr>
              <w:spacing w:after="0"/>
              <w:rPr>
                <w:b/>
                <w:bCs/>
                <w:sz w:val="14"/>
                <w:szCs w:val="14"/>
                <w:lang w:val="en-US" w:eastAsia="en-US"/>
              </w:rPr>
            </w:pPr>
            <w:r w:rsidRPr="00965341">
              <w:rPr>
                <w:b/>
                <w:bCs/>
                <w:sz w:val="14"/>
                <w:szCs w:val="14"/>
                <w:lang w:val="en-US" w:eastAsia="en-US"/>
              </w:rPr>
              <w:t xml:space="preserve">Sub-total, top 20 longest </w:t>
            </w:r>
            <w:proofErr w:type="spellStart"/>
            <w:r w:rsidRPr="00965341">
              <w:rPr>
                <w:b/>
                <w:bCs/>
                <w:sz w:val="14"/>
                <w:szCs w:val="14"/>
                <w:lang w:val="en-US" w:eastAsia="en-US"/>
              </w:rPr>
              <w:t>ALoS</w:t>
            </w:r>
            <w:proofErr w:type="spellEnd"/>
            <w:r w:rsidRPr="00965341">
              <w:rPr>
                <w:b/>
                <w:bCs/>
                <w:sz w:val="14"/>
                <w:szCs w:val="14"/>
                <w:lang w:val="en-US" w:eastAsia="en-US"/>
              </w:rPr>
              <w:t xml:space="preserve"> separations</w:t>
            </w:r>
          </w:p>
        </w:tc>
        <w:tc>
          <w:tcPr>
            <w:tcW w:w="489" w:type="dxa"/>
            <w:tcBorders>
              <w:top w:val="single" w:sz="4" w:space="0" w:color="auto"/>
              <w:left w:val="nil"/>
              <w:bottom w:val="nil"/>
              <w:right w:val="nil"/>
            </w:tcBorders>
            <w:shd w:val="clear" w:color="auto" w:fill="auto"/>
            <w:noWrap/>
            <w:hideMark/>
          </w:tcPr>
          <w:p w14:paraId="7E0993D5" w14:textId="77777777" w:rsidR="00B95C7E" w:rsidRPr="00965341" w:rsidRDefault="00B95C7E" w:rsidP="005C22AC">
            <w:pPr>
              <w:spacing w:after="0"/>
              <w:jc w:val="right"/>
              <w:rPr>
                <w:b/>
                <w:bCs/>
                <w:sz w:val="14"/>
                <w:szCs w:val="14"/>
                <w:lang w:val="en-US" w:eastAsia="en-US"/>
              </w:rPr>
            </w:pPr>
            <w:r w:rsidRPr="00965341">
              <w:rPr>
                <w:b/>
                <w:bCs/>
                <w:sz w:val="14"/>
                <w:szCs w:val="14"/>
                <w:lang w:val="en-US" w:eastAsia="en-US"/>
              </w:rPr>
              <w:t>30.8</w:t>
            </w:r>
          </w:p>
        </w:tc>
        <w:tc>
          <w:tcPr>
            <w:tcW w:w="658" w:type="dxa"/>
            <w:gridSpan w:val="3"/>
            <w:tcBorders>
              <w:top w:val="single" w:sz="4" w:space="0" w:color="auto"/>
              <w:left w:val="nil"/>
              <w:bottom w:val="nil"/>
              <w:right w:val="nil"/>
            </w:tcBorders>
            <w:shd w:val="clear" w:color="auto" w:fill="auto"/>
            <w:noWrap/>
            <w:hideMark/>
          </w:tcPr>
          <w:p w14:paraId="507950C8" w14:textId="77777777" w:rsidR="00B95C7E" w:rsidRPr="00965341" w:rsidRDefault="00B95C7E" w:rsidP="005C22AC">
            <w:pPr>
              <w:spacing w:after="0"/>
              <w:rPr>
                <w:sz w:val="14"/>
                <w:szCs w:val="14"/>
                <w:lang w:val="en-US" w:eastAsia="en-US"/>
              </w:rPr>
            </w:pPr>
            <w:r w:rsidRPr="00965341">
              <w:rPr>
                <w:sz w:val="14"/>
                <w:szCs w:val="14"/>
                <w:lang w:val="en-US" w:eastAsia="en-US"/>
              </w:rPr>
              <w:t> </w:t>
            </w:r>
          </w:p>
        </w:tc>
        <w:tc>
          <w:tcPr>
            <w:tcW w:w="653" w:type="dxa"/>
            <w:gridSpan w:val="2"/>
            <w:tcBorders>
              <w:top w:val="single" w:sz="4" w:space="0" w:color="auto"/>
              <w:left w:val="nil"/>
              <w:bottom w:val="nil"/>
              <w:right w:val="nil"/>
            </w:tcBorders>
            <w:shd w:val="clear" w:color="auto" w:fill="auto"/>
            <w:noWrap/>
            <w:hideMark/>
          </w:tcPr>
          <w:p w14:paraId="591CF2FA" w14:textId="77777777" w:rsidR="00B95C7E" w:rsidRPr="00965341" w:rsidRDefault="00B95C7E" w:rsidP="005C22AC">
            <w:pPr>
              <w:spacing w:after="0"/>
              <w:rPr>
                <w:sz w:val="14"/>
                <w:szCs w:val="14"/>
                <w:lang w:val="en-US" w:eastAsia="en-US"/>
              </w:rPr>
            </w:pPr>
            <w:r w:rsidRPr="00965341">
              <w:rPr>
                <w:sz w:val="14"/>
                <w:szCs w:val="14"/>
                <w:lang w:val="en-US" w:eastAsia="en-US"/>
              </w:rPr>
              <w:t> </w:t>
            </w:r>
          </w:p>
        </w:tc>
        <w:tc>
          <w:tcPr>
            <w:tcW w:w="691" w:type="dxa"/>
            <w:gridSpan w:val="2"/>
            <w:tcBorders>
              <w:top w:val="single" w:sz="4" w:space="0" w:color="auto"/>
              <w:left w:val="nil"/>
              <w:bottom w:val="nil"/>
              <w:right w:val="nil"/>
            </w:tcBorders>
            <w:shd w:val="clear" w:color="auto" w:fill="auto"/>
            <w:noWrap/>
            <w:hideMark/>
          </w:tcPr>
          <w:p w14:paraId="46A2575B" w14:textId="77777777" w:rsidR="00B95C7E" w:rsidRPr="00965341" w:rsidRDefault="00B95C7E" w:rsidP="005C22AC">
            <w:pPr>
              <w:spacing w:after="0"/>
              <w:jc w:val="right"/>
              <w:rPr>
                <w:b/>
                <w:bCs/>
                <w:sz w:val="14"/>
                <w:szCs w:val="14"/>
                <w:lang w:val="en-US" w:eastAsia="en-US"/>
              </w:rPr>
            </w:pPr>
            <w:r w:rsidRPr="00965341">
              <w:rPr>
                <w:b/>
                <w:bCs/>
                <w:sz w:val="14"/>
                <w:szCs w:val="14"/>
                <w:lang w:val="en-US" w:eastAsia="en-US"/>
              </w:rPr>
              <w:t>12.27</w:t>
            </w:r>
          </w:p>
        </w:tc>
        <w:tc>
          <w:tcPr>
            <w:tcW w:w="839" w:type="dxa"/>
            <w:gridSpan w:val="2"/>
            <w:tcBorders>
              <w:top w:val="single" w:sz="4" w:space="0" w:color="auto"/>
              <w:left w:val="nil"/>
              <w:bottom w:val="nil"/>
              <w:right w:val="nil"/>
            </w:tcBorders>
            <w:shd w:val="clear" w:color="auto" w:fill="auto"/>
            <w:noWrap/>
            <w:hideMark/>
          </w:tcPr>
          <w:p w14:paraId="5CFE2588" w14:textId="77777777" w:rsidR="00B95C7E" w:rsidRPr="00965341" w:rsidRDefault="00B95C7E" w:rsidP="005C22AC">
            <w:pPr>
              <w:spacing w:after="0"/>
              <w:jc w:val="right"/>
              <w:rPr>
                <w:b/>
                <w:bCs/>
                <w:sz w:val="14"/>
                <w:szCs w:val="14"/>
                <w:lang w:val="en-US" w:eastAsia="en-US"/>
              </w:rPr>
            </w:pPr>
            <w:r w:rsidRPr="00965341">
              <w:rPr>
                <w:b/>
                <w:bCs/>
                <w:sz w:val="14"/>
                <w:szCs w:val="14"/>
                <w:lang w:val="en-US" w:eastAsia="en-US"/>
              </w:rPr>
              <w:t>3,816</w:t>
            </w:r>
          </w:p>
        </w:tc>
        <w:tc>
          <w:tcPr>
            <w:tcW w:w="884" w:type="dxa"/>
            <w:gridSpan w:val="2"/>
            <w:tcBorders>
              <w:top w:val="single" w:sz="4" w:space="0" w:color="auto"/>
              <w:left w:val="nil"/>
              <w:bottom w:val="nil"/>
              <w:right w:val="nil"/>
            </w:tcBorders>
            <w:shd w:val="clear" w:color="auto" w:fill="auto"/>
            <w:noWrap/>
            <w:hideMark/>
          </w:tcPr>
          <w:p w14:paraId="1CF2CCB1" w14:textId="4E099E57" w:rsidR="00B95C7E" w:rsidRPr="00965341" w:rsidRDefault="00B95C7E" w:rsidP="006278AE">
            <w:pPr>
              <w:spacing w:after="0"/>
              <w:jc w:val="right"/>
              <w:rPr>
                <w:b/>
                <w:bCs/>
                <w:sz w:val="14"/>
                <w:szCs w:val="14"/>
                <w:lang w:val="en-US" w:eastAsia="en-US"/>
              </w:rPr>
            </w:pPr>
            <w:r w:rsidRPr="00965341">
              <w:rPr>
                <w:b/>
                <w:bCs/>
                <w:sz w:val="14"/>
                <w:szCs w:val="14"/>
                <w:lang w:val="en-US" w:eastAsia="en-US"/>
              </w:rPr>
              <w:t>46,80</w:t>
            </w:r>
            <w:r w:rsidR="006278AE">
              <w:rPr>
                <w:b/>
                <w:bCs/>
                <w:sz w:val="14"/>
                <w:szCs w:val="14"/>
                <w:lang w:val="en-US" w:eastAsia="en-US"/>
              </w:rPr>
              <w:t>8</w:t>
            </w:r>
          </w:p>
        </w:tc>
        <w:tc>
          <w:tcPr>
            <w:tcW w:w="653" w:type="dxa"/>
            <w:gridSpan w:val="2"/>
            <w:tcBorders>
              <w:top w:val="single" w:sz="4" w:space="0" w:color="auto"/>
              <w:left w:val="nil"/>
              <w:bottom w:val="nil"/>
              <w:right w:val="nil"/>
            </w:tcBorders>
            <w:shd w:val="clear" w:color="auto" w:fill="auto"/>
            <w:noWrap/>
            <w:hideMark/>
          </w:tcPr>
          <w:p w14:paraId="29A36690" w14:textId="77777777" w:rsidR="00B95C7E" w:rsidRPr="00965341" w:rsidRDefault="00B95C7E" w:rsidP="005C22AC">
            <w:pPr>
              <w:spacing w:after="0"/>
              <w:rPr>
                <w:sz w:val="14"/>
                <w:szCs w:val="14"/>
                <w:lang w:val="en-US" w:eastAsia="en-US"/>
              </w:rPr>
            </w:pPr>
            <w:r w:rsidRPr="00965341">
              <w:rPr>
                <w:sz w:val="14"/>
                <w:szCs w:val="14"/>
                <w:lang w:val="en-US" w:eastAsia="en-US"/>
              </w:rPr>
              <w:t> </w:t>
            </w:r>
          </w:p>
        </w:tc>
        <w:tc>
          <w:tcPr>
            <w:tcW w:w="653" w:type="dxa"/>
            <w:gridSpan w:val="2"/>
            <w:tcBorders>
              <w:top w:val="single" w:sz="4" w:space="0" w:color="auto"/>
              <w:left w:val="nil"/>
              <w:bottom w:val="nil"/>
              <w:right w:val="nil"/>
            </w:tcBorders>
            <w:shd w:val="clear" w:color="auto" w:fill="auto"/>
            <w:noWrap/>
            <w:hideMark/>
          </w:tcPr>
          <w:p w14:paraId="7CA267FE" w14:textId="77777777" w:rsidR="00B95C7E" w:rsidRPr="00965341" w:rsidRDefault="00B95C7E" w:rsidP="005C22AC">
            <w:pPr>
              <w:spacing w:after="0"/>
              <w:jc w:val="right"/>
              <w:rPr>
                <w:sz w:val="14"/>
                <w:szCs w:val="14"/>
                <w:lang w:val="en-US" w:eastAsia="en-US"/>
              </w:rPr>
            </w:pPr>
            <w:r w:rsidRPr="00965341">
              <w:rPr>
                <w:sz w:val="14"/>
                <w:szCs w:val="14"/>
                <w:lang w:val="en-US" w:eastAsia="en-US"/>
              </w:rPr>
              <w:t>0.1%</w:t>
            </w:r>
          </w:p>
        </w:tc>
        <w:tc>
          <w:tcPr>
            <w:tcW w:w="653" w:type="dxa"/>
            <w:gridSpan w:val="2"/>
            <w:tcBorders>
              <w:top w:val="single" w:sz="4" w:space="0" w:color="auto"/>
              <w:left w:val="nil"/>
              <w:bottom w:val="nil"/>
              <w:right w:val="nil"/>
            </w:tcBorders>
            <w:shd w:val="clear" w:color="auto" w:fill="auto"/>
            <w:noWrap/>
            <w:hideMark/>
          </w:tcPr>
          <w:p w14:paraId="7D7C78A0" w14:textId="77777777" w:rsidR="00B95C7E" w:rsidRPr="00965341" w:rsidRDefault="00B95C7E" w:rsidP="005C22AC">
            <w:pPr>
              <w:spacing w:after="0"/>
              <w:jc w:val="right"/>
              <w:rPr>
                <w:sz w:val="14"/>
                <w:szCs w:val="14"/>
                <w:lang w:val="en-US" w:eastAsia="en-US"/>
              </w:rPr>
            </w:pPr>
            <w:r w:rsidRPr="00965341">
              <w:rPr>
                <w:sz w:val="14"/>
                <w:szCs w:val="14"/>
                <w:lang w:val="en-US" w:eastAsia="en-US"/>
              </w:rPr>
              <w:t>1.5%</w:t>
            </w:r>
          </w:p>
        </w:tc>
        <w:tc>
          <w:tcPr>
            <w:tcW w:w="691" w:type="dxa"/>
            <w:gridSpan w:val="2"/>
            <w:tcBorders>
              <w:top w:val="single" w:sz="4" w:space="0" w:color="auto"/>
              <w:left w:val="nil"/>
              <w:bottom w:val="nil"/>
              <w:right w:val="nil"/>
            </w:tcBorders>
            <w:shd w:val="clear" w:color="auto" w:fill="auto"/>
            <w:noWrap/>
            <w:hideMark/>
          </w:tcPr>
          <w:p w14:paraId="2B2C8DFC" w14:textId="77777777" w:rsidR="00B95C7E" w:rsidRPr="00965341" w:rsidRDefault="00B95C7E" w:rsidP="005C22AC">
            <w:pPr>
              <w:spacing w:after="0"/>
              <w:rPr>
                <w:b/>
                <w:bCs/>
                <w:sz w:val="14"/>
                <w:szCs w:val="14"/>
                <w:lang w:val="en-US" w:eastAsia="en-US"/>
              </w:rPr>
            </w:pPr>
            <w:r w:rsidRPr="00965341">
              <w:rPr>
                <w:b/>
                <w:bCs/>
                <w:sz w:val="14"/>
                <w:szCs w:val="14"/>
                <w:lang w:val="en-US" w:eastAsia="en-US"/>
              </w:rPr>
              <w:t> </w:t>
            </w:r>
          </w:p>
        </w:tc>
        <w:tc>
          <w:tcPr>
            <w:tcW w:w="691" w:type="dxa"/>
            <w:gridSpan w:val="2"/>
            <w:tcBorders>
              <w:top w:val="single" w:sz="4" w:space="0" w:color="auto"/>
              <w:left w:val="nil"/>
              <w:bottom w:val="nil"/>
              <w:right w:val="nil"/>
            </w:tcBorders>
            <w:shd w:val="clear" w:color="auto" w:fill="auto"/>
            <w:noWrap/>
            <w:hideMark/>
          </w:tcPr>
          <w:p w14:paraId="674FB9C3" w14:textId="77777777" w:rsidR="00B95C7E" w:rsidRPr="00965341" w:rsidRDefault="00B95C7E" w:rsidP="005C22AC">
            <w:pPr>
              <w:spacing w:after="0"/>
              <w:rPr>
                <w:b/>
                <w:bCs/>
                <w:sz w:val="14"/>
                <w:szCs w:val="14"/>
                <w:lang w:val="en-US" w:eastAsia="en-US"/>
              </w:rPr>
            </w:pPr>
            <w:r w:rsidRPr="00965341">
              <w:rPr>
                <w:b/>
                <w:bCs/>
                <w:sz w:val="14"/>
                <w:szCs w:val="14"/>
                <w:lang w:val="en-US" w:eastAsia="en-US"/>
              </w:rPr>
              <w:t> </w:t>
            </w:r>
          </w:p>
        </w:tc>
        <w:tc>
          <w:tcPr>
            <w:tcW w:w="839" w:type="dxa"/>
            <w:gridSpan w:val="2"/>
            <w:tcBorders>
              <w:top w:val="single" w:sz="4" w:space="0" w:color="auto"/>
              <w:left w:val="nil"/>
              <w:bottom w:val="nil"/>
              <w:right w:val="nil"/>
            </w:tcBorders>
            <w:shd w:val="clear" w:color="auto" w:fill="auto"/>
            <w:noWrap/>
            <w:hideMark/>
          </w:tcPr>
          <w:p w14:paraId="78965709" w14:textId="77777777" w:rsidR="00B95C7E" w:rsidRPr="00965341" w:rsidRDefault="00B95C7E" w:rsidP="005C22AC">
            <w:pPr>
              <w:spacing w:after="0"/>
              <w:jc w:val="right"/>
              <w:rPr>
                <w:b/>
                <w:bCs/>
                <w:sz w:val="14"/>
                <w:szCs w:val="14"/>
                <w:lang w:val="en-US" w:eastAsia="en-US"/>
              </w:rPr>
            </w:pPr>
            <w:r w:rsidRPr="00965341">
              <w:rPr>
                <w:b/>
                <w:bCs/>
                <w:sz w:val="14"/>
                <w:szCs w:val="14"/>
                <w:lang w:val="en-US" w:eastAsia="en-US"/>
              </w:rPr>
              <w:t>117,602</w:t>
            </w:r>
          </w:p>
        </w:tc>
      </w:tr>
      <w:tr w:rsidR="003956FC" w:rsidRPr="00965341" w14:paraId="34978F9F" w14:textId="77777777" w:rsidTr="00A23161">
        <w:trPr>
          <w:trHeight w:val="254"/>
        </w:trPr>
        <w:tc>
          <w:tcPr>
            <w:tcW w:w="709" w:type="dxa"/>
            <w:tcBorders>
              <w:top w:val="nil"/>
              <w:left w:val="nil"/>
              <w:bottom w:val="nil"/>
              <w:right w:val="nil"/>
            </w:tcBorders>
            <w:shd w:val="clear" w:color="auto" w:fill="auto"/>
            <w:noWrap/>
            <w:hideMark/>
          </w:tcPr>
          <w:p w14:paraId="25F31627" w14:textId="77777777" w:rsidR="003956FC" w:rsidRPr="00965341" w:rsidRDefault="003956FC" w:rsidP="005C22AC">
            <w:pPr>
              <w:spacing w:after="0"/>
              <w:jc w:val="center"/>
              <w:rPr>
                <w:sz w:val="14"/>
                <w:szCs w:val="14"/>
                <w:lang w:val="en-US" w:eastAsia="en-US"/>
              </w:rPr>
            </w:pPr>
            <w:r w:rsidRPr="00965341">
              <w:rPr>
                <w:sz w:val="14"/>
                <w:szCs w:val="14"/>
                <w:lang w:val="en-US" w:eastAsia="en-US"/>
              </w:rPr>
              <w:t xml:space="preserve">in </w:t>
            </w:r>
          </w:p>
        </w:tc>
        <w:tc>
          <w:tcPr>
            <w:tcW w:w="6277" w:type="dxa"/>
            <w:gridSpan w:val="4"/>
            <w:tcBorders>
              <w:top w:val="nil"/>
              <w:left w:val="nil"/>
              <w:bottom w:val="nil"/>
              <w:right w:val="nil"/>
            </w:tcBorders>
            <w:shd w:val="clear" w:color="auto" w:fill="auto"/>
            <w:noWrap/>
            <w:hideMark/>
          </w:tcPr>
          <w:p w14:paraId="4093FD30" w14:textId="624C2F8B" w:rsidR="003956FC" w:rsidRPr="00965341" w:rsidRDefault="003956FC" w:rsidP="005C22AC">
            <w:pPr>
              <w:spacing w:after="0"/>
              <w:rPr>
                <w:rFonts w:ascii="Times New Roman" w:hAnsi="Times New Roman"/>
                <w:sz w:val="14"/>
                <w:szCs w:val="14"/>
                <w:lang w:val="en-US" w:eastAsia="en-US"/>
              </w:rPr>
            </w:pPr>
            <w:r w:rsidRPr="00965341">
              <w:rPr>
                <w:b/>
                <w:bCs/>
                <w:sz w:val="14"/>
                <w:szCs w:val="14"/>
                <w:lang w:val="en-US" w:eastAsia="en-US"/>
              </w:rPr>
              <w:t>All DRGs</w:t>
            </w:r>
          </w:p>
        </w:tc>
        <w:tc>
          <w:tcPr>
            <w:tcW w:w="489" w:type="dxa"/>
            <w:tcBorders>
              <w:top w:val="nil"/>
              <w:left w:val="nil"/>
              <w:bottom w:val="nil"/>
              <w:right w:val="nil"/>
            </w:tcBorders>
            <w:shd w:val="clear" w:color="auto" w:fill="auto"/>
            <w:noWrap/>
            <w:hideMark/>
          </w:tcPr>
          <w:p w14:paraId="0864FF25" w14:textId="77777777" w:rsidR="003956FC" w:rsidRPr="00965341" w:rsidRDefault="003956FC" w:rsidP="005C22AC">
            <w:pPr>
              <w:spacing w:after="0"/>
              <w:jc w:val="right"/>
              <w:rPr>
                <w:b/>
                <w:bCs/>
                <w:sz w:val="14"/>
                <w:szCs w:val="14"/>
                <w:lang w:val="en-US" w:eastAsia="en-US"/>
              </w:rPr>
            </w:pPr>
            <w:r w:rsidRPr="00965341">
              <w:rPr>
                <w:b/>
                <w:bCs/>
                <w:sz w:val="14"/>
                <w:szCs w:val="14"/>
                <w:lang w:val="en-US" w:eastAsia="en-US"/>
              </w:rPr>
              <w:t>2.3</w:t>
            </w:r>
          </w:p>
        </w:tc>
        <w:tc>
          <w:tcPr>
            <w:tcW w:w="658" w:type="dxa"/>
            <w:gridSpan w:val="3"/>
            <w:tcBorders>
              <w:top w:val="nil"/>
              <w:left w:val="nil"/>
              <w:bottom w:val="nil"/>
              <w:right w:val="nil"/>
            </w:tcBorders>
            <w:shd w:val="clear" w:color="auto" w:fill="auto"/>
            <w:noWrap/>
            <w:hideMark/>
          </w:tcPr>
          <w:p w14:paraId="259CE6B7" w14:textId="77777777" w:rsidR="003956FC" w:rsidRPr="00965341" w:rsidRDefault="003956FC" w:rsidP="005C22AC">
            <w:pPr>
              <w:spacing w:after="0"/>
              <w:jc w:val="right"/>
              <w:rPr>
                <w:b/>
                <w:bCs/>
                <w:sz w:val="14"/>
                <w:szCs w:val="14"/>
                <w:lang w:val="en-US" w:eastAsia="en-US"/>
              </w:rPr>
            </w:pPr>
          </w:p>
        </w:tc>
        <w:tc>
          <w:tcPr>
            <w:tcW w:w="653" w:type="dxa"/>
            <w:gridSpan w:val="2"/>
            <w:tcBorders>
              <w:top w:val="nil"/>
              <w:left w:val="nil"/>
              <w:bottom w:val="nil"/>
              <w:right w:val="nil"/>
            </w:tcBorders>
            <w:shd w:val="clear" w:color="auto" w:fill="auto"/>
            <w:noWrap/>
            <w:hideMark/>
          </w:tcPr>
          <w:p w14:paraId="0F4BBDC5" w14:textId="77777777" w:rsidR="003956FC" w:rsidRPr="00965341" w:rsidRDefault="003956FC" w:rsidP="005C22AC">
            <w:pPr>
              <w:spacing w:after="0"/>
              <w:rPr>
                <w:rFonts w:ascii="Times New Roman" w:hAnsi="Times New Roman"/>
                <w:sz w:val="14"/>
                <w:szCs w:val="14"/>
                <w:lang w:val="en-US" w:eastAsia="en-US"/>
              </w:rPr>
            </w:pPr>
          </w:p>
        </w:tc>
        <w:tc>
          <w:tcPr>
            <w:tcW w:w="691" w:type="dxa"/>
            <w:gridSpan w:val="2"/>
            <w:tcBorders>
              <w:top w:val="nil"/>
              <w:left w:val="nil"/>
              <w:bottom w:val="nil"/>
              <w:right w:val="nil"/>
            </w:tcBorders>
            <w:shd w:val="clear" w:color="auto" w:fill="auto"/>
            <w:noWrap/>
            <w:hideMark/>
          </w:tcPr>
          <w:p w14:paraId="67BBE663" w14:textId="77777777" w:rsidR="003956FC" w:rsidRPr="00965341" w:rsidRDefault="003956FC" w:rsidP="005C22AC">
            <w:pPr>
              <w:spacing w:after="0"/>
              <w:jc w:val="right"/>
              <w:rPr>
                <w:b/>
                <w:bCs/>
                <w:sz w:val="14"/>
                <w:szCs w:val="14"/>
                <w:lang w:val="en-US" w:eastAsia="en-US"/>
              </w:rPr>
            </w:pPr>
            <w:r w:rsidRPr="00965341">
              <w:rPr>
                <w:b/>
                <w:bCs/>
                <w:sz w:val="14"/>
                <w:szCs w:val="14"/>
                <w:lang w:val="en-US" w:eastAsia="en-US"/>
              </w:rPr>
              <w:t>1.00</w:t>
            </w:r>
          </w:p>
        </w:tc>
        <w:tc>
          <w:tcPr>
            <w:tcW w:w="839" w:type="dxa"/>
            <w:gridSpan w:val="2"/>
            <w:tcBorders>
              <w:top w:val="nil"/>
              <w:left w:val="nil"/>
              <w:bottom w:val="nil"/>
              <w:right w:val="nil"/>
            </w:tcBorders>
            <w:shd w:val="clear" w:color="auto" w:fill="auto"/>
            <w:noWrap/>
            <w:hideMark/>
          </w:tcPr>
          <w:p w14:paraId="2E824A2B" w14:textId="77777777" w:rsidR="003956FC" w:rsidRPr="00965341" w:rsidRDefault="003956FC" w:rsidP="005C22AC">
            <w:pPr>
              <w:spacing w:after="0"/>
              <w:jc w:val="right"/>
              <w:rPr>
                <w:b/>
                <w:bCs/>
                <w:sz w:val="14"/>
                <w:szCs w:val="14"/>
                <w:lang w:val="en-US" w:eastAsia="en-US"/>
              </w:rPr>
            </w:pPr>
            <w:r w:rsidRPr="00965341">
              <w:rPr>
                <w:b/>
                <w:bCs/>
                <w:sz w:val="14"/>
                <w:szCs w:val="14"/>
                <w:lang w:val="en-US" w:eastAsia="en-US"/>
              </w:rPr>
              <w:t>3,051,681</w:t>
            </w:r>
          </w:p>
        </w:tc>
        <w:tc>
          <w:tcPr>
            <w:tcW w:w="884" w:type="dxa"/>
            <w:gridSpan w:val="2"/>
            <w:tcBorders>
              <w:top w:val="nil"/>
              <w:left w:val="nil"/>
              <w:bottom w:val="nil"/>
              <w:right w:val="nil"/>
            </w:tcBorders>
            <w:shd w:val="clear" w:color="auto" w:fill="auto"/>
            <w:noWrap/>
            <w:hideMark/>
          </w:tcPr>
          <w:p w14:paraId="5764242B" w14:textId="77777777" w:rsidR="003956FC" w:rsidRPr="00965341" w:rsidRDefault="003956FC" w:rsidP="005C22AC">
            <w:pPr>
              <w:spacing w:after="0"/>
              <w:jc w:val="right"/>
              <w:rPr>
                <w:b/>
                <w:bCs/>
                <w:sz w:val="14"/>
                <w:szCs w:val="14"/>
                <w:lang w:val="en-US" w:eastAsia="en-US"/>
              </w:rPr>
            </w:pPr>
            <w:r w:rsidRPr="00965341">
              <w:rPr>
                <w:b/>
                <w:bCs/>
                <w:sz w:val="14"/>
                <w:szCs w:val="14"/>
                <w:lang w:val="en-US" w:eastAsia="en-US"/>
              </w:rPr>
              <w:t>3,051,681</w:t>
            </w:r>
          </w:p>
        </w:tc>
        <w:tc>
          <w:tcPr>
            <w:tcW w:w="653" w:type="dxa"/>
            <w:gridSpan w:val="2"/>
            <w:tcBorders>
              <w:top w:val="nil"/>
              <w:left w:val="nil"/>
              <w:bottom w:val="nil"/>
              <w:right w:val="nil"/>
            </w:tcBorders>
            <w:shd w:val="clear" w:color="auto" w:fill="auto"/>
            <w:noWrap/>
            <w:hideMark/>
          </w:tcPr>
          <w:p w14:paraId="37CC6994" w14:textId="20B9742C" w:rsidR="003956FC" w:rsidRPr="00965341" w:rsidRDefault="003956FC" w:rsidP="005C22AC">
            <w:pPr>
              <w:spacing w:after="0"/>
              <w:jc w:val="right"/>
              <w:rPr>
                <w:b/>
                <w:bCs/>
                <w:sz w:val="14"/>
                <w:szCs w:val="14"/>
                <w:lang w:val="en-US" w:eastAsia="en-US"/>
              </w:rPr>
            </w:pPr>
          </w:p>
        </w:tc>
        <w:tc>
          <w:tcPr>
            <w:tcW w:w="653" w:type="dxa"/>
            <w:gridSpan w:val="2"/>
            <w:tcBorders>
              <w:top w:val="nil"/>
              <w:left w:val="nil"/>
              <w:bottom w:val="nil"/>
              <w:right w:val="nil"/>
            </w:tcBorders>
            <w:shd w:val="clear" w:color="auto" w:fill="auto"/>
            <w:noWrap/>
            <w:hideMark/>
          </w:tcPr>
          <w:p w14:paraId="37FB1215" w14:textId="77777777" w:rsidR="003956FC" w:rsidRPr="00965341" w:rsidRDefault="003956FC" w:rsidP="005C22AC">
            <w:pPr>
              <w:spacing w:after="0"/>
              <w:jc w:val="right"/>
              <w:rPr>
                <w:sz w:val="14"/>
                <w:szCs w:val="14"/>
                <w:lang w:val="en-US" w:eastAsia="en-US"/>
              </w:rPr>
            </w:pPr>
            <w:r w:rsidRPr="00965341">
              <w:rPr>
                <w:sz w:val="14"/>
                <w:szCs w:val="14"/>
                <w:lang w:val="en-US" w:eastAsia="en-US"/>
              </w:rPr>
              <w:t>100%</w:t>
            </w:r>
          </w:p>
        </w:tc>
        <w:tc>
          <w:tcPr>
            <w:tcW w:w="653" w:type="dxa"/>
            <w:gridSpan w:val="2"/>
            <w:tcBorders>
              <w:top w:val="nil"/>
              <w:left w:val="nil"/>
              <w:bottom w:val="nil"/>
              <w:right w:val="nil"/>
            </w:tcBorders>
            <w:shd w:val="clear" w:color="auto" w:fill="auto"/>
            <w:noWrap/>
            <w:hideMark/>
          </w:tcPr>
          <w:p w14:paraId="35F175C3" w14:textId="77777777" w:rsidR="003956FC" w:rsidRPr="00965341" w:rsidRDefault="003956FC" w:rsidP="005C22AC">
            <w:pPr>
              <w:spacing w:after="0"/>
              <w:jc w:val="right"/>
              <w:rPr>
                <w:sz w:val="14"/>
                <w:szCs w:val="14"/>
                <w:lang w:val="en-US" w:eastAsia="en-US"/>
              </w:rPr>
            </w:pPr>
            <w:r w:rsidRPr="00965341">
              <w:rPr>
                <w:sz w:val="14"/>
                <w:szCs w:val="14"/>
                <w:lang w:val="en-US" w:eastAsia="en-US"/>
              </w:rPr>
              <w:t>100%</w:t>
            </w:r>
          </w:p>
        </w:tc>
        <w:tc>
          <w:tcPr>
            <w:tcW w:w="691" w:type="dxa"/>
            <w:gridSpan w:val="2"/>
            <w:tcBorders>
              <w:top w:val="nil"/>
              <w:left w:val="nil"/>
              <w:bottom w:val="nil"/>
              <w:right w:val="nil"/>
            </w:tcBorders>
            <w:shd w:val="clear" w:color="auto" w:fill="auto"/>
            <w:noWrap/>
            <w:hideMark/>
          </w:tcPr>
          <w:p w14:paraId="0B3F9448" w14:textId="77777777" w:rsidR="003956FC" w:rsidRPr="00965341" w:rsidRDefault="003956FC" w:rsidP="005C22AC">
            <w:pPr>
              <w:spacing w:after="0"/>
              <w:jc w:val="right"/>
              <w:rPr>
                <w:sz w:val="14"/>
                <w:szCs w:val="14"/>
                <w:lang w:val="en-US" w:eastAsia="en-US"/>
              </w:rPr>
            </w:pPr>
          </w:p>
        </w:tc>
        <w:tc>
          <w:tcPr>
            <w:tcW w:w="691" w:type="dxa"/>
            <w:gridSpan w:val="2"/>
            <w:tcBorders>
              <w:top w:val="nil"/>
              <w:left w:val="nil"/>
              <w:bottom w:val="nil"/>
              <w:right w:val="nil"/>
            </w:tcBorders>
            <w:shd w:val="clear" w:color="auto" w:fill="auto"/>
            <w:noWrap/>
            <w:hideMark/>
          </w:tcPr>
          <w:p w14:paraId="21284ADA" w14:textId="77777777" w:rsidR="003956FC" w:rsidRPr="00965341" w:rsidRDefault="003956FC" w:rsidP="005C22AC">
            <w:pPr>
              <w:spacing w:after="0"/>
              <w:rPr>
                <w:rFonts w:ascii="Times New Roman" w:hAnsi="Times New Roman"/>
                <w:sz w:val="14"/>
                <w:szCs w:val="14"/>
                <w:lang w:val="en-US" w:eastAsia="en-US"/>
              </w:rPr>
            </w:pPr>
          </w:p>
        </w:tc>
        <w:tc>
          <w:tcPr>
            <w:tcW w:w="839" w:type="dxa"/>
            <w:gridSpan w:val="2"/>
            <w:tcBorders>
              <w:top w:val="nil"/>
              <w:left w:val="nil"/>
              <w:bottom w:val="nil"/>
              <w:right w:val="nil"/>
            </w:tcBorders>
            <w:shd w:val="clear" w:color="auto" w:fill="auto"/>
            <w:noWrap/>
            <w:hideMark/>
          </w:tcPr>
          <w:p w14:paraId="21CC459E" w14:textId="77777777" w:rsidR="003956FC" w:rsidRPr="00965341" w:rsidRDefault="003956FC" w:rsidP="005C22AC">
            <w:pPr>
              <w:spacing w:after="0"/>
              <w:jc w:val="right"/>
              <w:rPr>
                <w:b/>
                <w:bCs/>
                <w:sz w:val="14"/>
                <w:szCs w:val="14"/>
                <w:lang w:val="en-US" w:eastAsia="en-US"/>
              </w:rPr>
            </w:pPr>
            <w:r w:rsidRPr="00965341">
              <w:rPr>
                <w:b/>
                <w:bCs/>
                <w:sz w:val="14"/>
                <w:szCs w:val="14"/>
                <w:lang w:val="en-US" w:eastAsia="en-US"/>
              </w:rPr>
              <w:t>7,153,742</w:t>
            </w:r>
          </w:p>
        </w:tc>
      </w:tr>
      <w:tr w:rsidR="00B95C7E" w:rsidRPr="00965341" w14:paraId="49397D16" w14:textId="77777777" w:rsidTr="00A23161">
        <w:trPr>
          <w:trHeight w:val="254"/>
        </w:trPr>
        <w:tc>
          <w:tcPr>
            <w:tcW w:w="709" w:type="dxa"/>
            <w:tcBorders>
              <w:top w:val="nil"/>
              <w:left w:val="nil"/>
              <w:bottom w:val="single" w:sz="4" w:space="0" w:color="auto"/>
              <w:right w:val="nil"/>
            </w:tcBorders>
            <w:shd w:val="clear" w:color="auto" w:fill="auto"/>
            <w:noWrap/>
            <w:hideMark/>
          </w:tcPr>
          <w:p w14:paraId="356D9CB5" w14:textId="77777777" w:rsidR="00B95C7E" w:rsidRPr="00965341" w:rsidRDefault="00B95C7E" w:rsidP="005C22AC">
            <w:pPr>
              <w:spacing w:after="0"/>
              <w:jc w:val="center"/>
              <w:rPr>
                <w:sz w:val="14"/>
                <w:szCs w:val="14"/>
                <w:lang w:val="en-US" w:eastAsia="en-US"/>
              </w:rPr>
            </w:pPr>
            <w:r w:rsidRPr="00965341">
              <w:rPr>
                <w:sz w:val="14"/>
                <w:szCs w:val="14"/>
                <w:lang w:val="en-US" w:eastAsia="en-US"/>
              </w:rPr>
              <w:t>Top 20</w:t>
            </w:r>
          </w:p>
        </w:tc>
        <w:tc>
          <w:tcPr>
            <w:tcW w:w="6277" w:type="dxa"/>
            <w:gridSpan w:val="4"/>
            <w:tcBorders>
              <w:top w:val="nil"/>
              <w:left w:val="nil"/>
              <w:bottom w:val="single" w:sz="4" w:space="0" w:color="auto"/>
              <w:right w:val="nil"/>
            </w:tcBorders>
            <w:shd w:val="clear" w:color="auto" w:fill="auto"/>
            <w:noWrap/>
            <w:hideMark/>
          </w:tcPr>
          <w:p w14:paraId="49218C58" w14:textId="77777777" w:rsidR="00B95C7E" w:rsidRPr="00965341" w:rsidRDefault="00B95C7E" w:rsidP="005C22AC">
            <w:pPr>
              <w:spacing w:after="0"/>
              <w:rPr>
                <w:b/>
                <w:bCs/>
                <w:sz w:val="14"/>
                <w:szCs w:val="14"/>
                <w:lang w:val="en-US" w:eastAsia="en-US"/>
              </w:rPr>
            </w:pPr>
            <w:r w:rsidRPr="00965341">
              <w:rPr>
                <w:b/>
                <w:bCs/>
                <w:sz w:val="14"/>
                <w:szCs w:val="14"/>
                <w:lang w:val="en-US" w:eastAsia="en-US"/>
              </w:rPr>
              <w:t xml:space="preserve">Top 20 longest </w:t>
            </w:r>
            <w:proofErr w:type="spellStart"/>
            <w:r w:rsidRPr="00965341">
              <w:rPr>
                <w:b/>
                <w:bCs/>
                <w:sz w:val="14"/>
                <w:szCs w:val="14"/>
                <w:lang w:val="en-US" w:eastAsia="en-US"/>
              </w:rPr>
              <w:t>ALoS</w:t>
            </w:r>
            <w:proofErr w:type="spellEnd"/>
            <w:r w:rsidRPr="00965341">
              <w:rPr>
                <w:b/>
                <w:bCs/>
                <w:sz w:val="14"/>
                <w:szCs w:val="14"/>
                <w:lang w:val="en-US" w:eastAsia="en-US"/>
              </w:rPr>
              <w:t xml:space="preserve"> separations, % of all DRGs</w:t>
            </w:r>
          </w:p>
        </w:tc>
        <w:tc>
          <w:tcPr>
            <w:tcW w:w="489" w:type="dxa"/>
            <w:tcBorders>
              <w:top w:val="nil"/>
              <w:left w:val="nil"/>
              <w:bottom w:val="single" w:sz="4" w:space="0" w:color="auto"/>
              <w:right w:val="nil"/>
            </w:tcBorders>
            <w:shd w:val="clear" w:color="auto" w:fill="auto"/>
            <w:noWrap/>
            <w:hideMark/>
          </w:tcPr>
          <w:p w14:paraId="2711D57A" w14:textId="77777777" w:rsidR="00B95C7E" w:rsidRPr="00965341" w:rsidRDefault="00B95C7E" w:rsidP="005C22AC">
            <w:pPr>
              <w:spacing w:after="0"/>
              <w:rPr>
                <w:b/>
                <w:bCs/>
                <w:sz w:val="14"/>
                <w:szCs w:val="14"/>
                <w:lang w:val="en-US" w:eastAsia="en-US"/>
              </w:rPr>
            </w:pPr>
            <w:r w:rsidRPr="00965341">
              <w:rPr>
                <w:b/>
                <w:bCs/>
                <w:sz w:val="14"/>
                <w:szCs w:val="14"/>
                <w:lang w:val="en-US" w:eastAsia="en-US"/>
              </w:rPr>
              <w:t> </w:t>
            </w:r>
          </w:p>
        </w:tc>
        <w:tc>
          <w:tcPr>
            <w:tcW w:w="658" w:type="dxa"/>
            <w:gridSpan w:val="3"/>
            <w:tcBorders>
              <w:top w:val="nil"/>
              <w:left w:val="nil"/>
              <w:bottom w:val="single" w:sz="4" w:space="0" w:color="auto"/>
              <w:right w:val="nil"/>
            </w:tcBorders>
            <w:shd w:val="clear" w:color="auto" w:fill="auto"/>
            <w:noWrap/>
            <w:hideMark/>
          </w:tcPr>
          <w:p w14:paraId="72376410" w14:textId="77777777" w:rsidR="00B95C7E" w:rsidRPr="00965341" w:rsidRDefault="00B95C7E" w:rsidP="005C22AC">
            <w:pPr>
              <w:spacing w:after="0"/>
              <w:rPr>
                <w:b/>
                <w:bCs/>
                <w:sz w:val="14"/>
                <w:szCs w:val="14"/>
                <w:lang w:val="en-US" w:eastAsia="en-US"/>
              </w:rPr>
            </w:pPr>
            <w:r w:rsidRPr="00965341">
              <w:rPr>
                <w:b/>
                <w:bCs/>
                <w:sz w:val="14"/>
                <w:szCs w:val="14"/>
                <w:lang w:val="en-US" w:eastAsia="en-US"/>
              </w:rPr>
              <w:t> </w:t>
            </w:r>
          </w:p>
        </w:tc>
        <w:tc>
          <w:tcPr>
            <w:tcW w:w="653" w:type="dxa"/>
            <w:gridSpan w:val="2"/>
            <w:tcBorders>
              <w:top w:val="nil"/>
              <w:left w:val="nil"/>
              <w:bottom w:val="single" w:sz="4" w:space="0" w:color="auto"/>
              <w:right w:val="nil"/>
            </w:tcBorders>
            <w:shd w:val="clear" w:color="auto" w:fill="auto"/>
            <w:noWrap/>
            <w:hideMark/>
          </w:tcPr>
          <w:p w14:paraId="5206A33C" w14:textId="77777777" w:rsidR="00B95C7E" w:rsidRPr="00965341" w:rsidRDefault="00B95C7E" w:rsidP="005C22AC">
            <w:pPr>
              <w:spacing w:after="0"/>
              <w:rPr>
                <w:b/>
                <w:bCs/>
                <w:sz w:val="14"/>
                <w:szCs w:val="14"/>
                <w:lang w:val="en-US" w:eastAsia="en-US"/>
              </w:rPr>
            </w:pPr>
            <w:r w:rsidRPr="00965341">
              <w:rPr>
                <w:b/>
                <w:bCs/>
                <w:sz w:val="14"/>
                <w:szCs w:val="14"/>
                <w:lang w:val="en-US" w:eastAsia="en-US"/>
              </w:rPr>
              <w:t> </w:t>
            </w:r>
          </w:p>
        </w:tc>
        <w:tc>
          <w:tcPr>
            <w:tcW w:w="691" w:type="dxa"/>
            <w:gridSpan w:val="2"/>
            <w:tcBorders>
              <w:top w:val="nil"/>
              <w:left w:val="nil"/>
              <w:bottom w:val="single" w:sz="4" w:space="0" w:color="auto"/>
              <w:right w:val="nil"/>
            </w:tcBorders>
            <w:shd w:val="clear" w:color="auto" w:fill="auto"/>
            <w:noWrap/>
            <w:hideMark/>
          </w:tcPr>
          <w:p w14:paraId="63B12483" w14:textId="77777777" w:rsidR="00B95C7E" w:rsidRPr="00965341" w:rsidRDefault="00B95C7E" w:rsidP="005C22AC">
            <w:pPr>
              <w:spacing w:after="0"/>
              <w:rPr>
                <w:b/>
                <w:bCs/>
                <w:sz w:val="14"/>
                <w:szCs w:val="14"/>
                <w:lang w:val="en-US" w:eastAsia="en-US"/>
              </w:rPr>
            </w:pPr>
            <w:r w:rsidRPr="00965341">
              <w:rPr>
                <w:b/>
                <w:bCs/>
                <w:sz w:val="14"/>
                <w:szCs w:val="14"/>
                <w:lang w:val="en-US" w:eastAsia="en-US"/>
              </w:rPr>
              <w:t> </w:t>
            </w:r>
          </w:p>
        </w:tc>
        <w:tc>
          <w:tcPr>
            <w:tcW w:w="839" w:type="dxa"/>
            <w:gridSpan w:val="2"/>
            <w:tcBorders>
              <w:top w:val="nil"/>
              <w:left w:val="nil"/>
              <w:bottom w:val="single" w:sz="4" w:space="0" w:color="auto"/>
              <w:right w:val="nil"/>
            </w:tcBorders>
            <w:shd w:val="clear" w:color="auto" w:fill="auto"/>
            <w:noWrap/>
            <w:hideMark/>
          </w:tcPr>
          <w:p w14:paraId="1DD2AF20" w14:textId="77777777" w:rsidR="00B95C7E" w:rsidRPr="00965341" w:rsidRDefault="00B95C7E" w:rsidP="005C22AC">
            <w:pPr>
              <w:spacing w:after="0"/>
              <w:jc w:val="right"/>
              <w:rPr>
                <w:b/>
                <w:bCs/>
                <w:sz w:val="14"/>
                <w:szCs w:val="14"/>
                <w:lang w:val="en-US" w:eastAsia="en-US"/>
              </w:rPr>
            </w:pPr>
            <w:r w:rsidRPr="00965341">
              <w:rPr>
                <w:b/>
                <w:bCs/>
                <w:sz w:val="14"/>
                <w:szCs w:val="14"/>
                <w:lang w:val="en-US" w:eastAsia="en-US"/>
              </w:rPr>
              <w:t>0.1%</w:t>
            </w:r>
          </w:p>
        </w:tc>
        <w:tc>
          <w:tcPr>
            <w:tcW w:w="884" w:type="dxa"/>
            <w:gridSpan w:val="2"/>
            <w:tcBorders>
              <w:top w:val="nil"/>
              <w:left w:val="nil"/>
              <w:bottom w:val="single" w:sz="4" w:space="0" w:color="auto"/>
              <w:right w:val="nil"/>
            </w:tcBorders>
            <w:shd w:val="clear" w:color="auto" w:fill="auto"/>
            <w:noWrap/>
            <w:hideMark/>
          </w:tcPr>
          <w:p w14:paraId="369529EE" w14:textId="77777777" w:rsidR="00B95C7E" w:rsidRPr="00965341" w:rsidRDefault="00B95C7E" w:rsidP="005C22AC">
            <w:pPr>
              <w:spacing w:after="0"/>
              <w:jc w:val="right"/>
              <w:rPr>
                <w:b/>
                <w:bCs/>
                <w:sz w:val="14"/>
                <w:szCs w:val="14"/>
                <w:lang w:val="en-US" w:eastAsia="en-US"/>
              </w:rPr>
            </w:pPr>
            <w:r w:rsidRPr="00965341">
              <w:rPr>
                <w:b/>
                <w:bCs/>
                <w:sz w:val="14"/>
                <w:szCs w:val="14"/>
                <w:lang w:val="en-US" w:eastAsia="en-US"/>
              </w:rPr>
              <w:t>1.5%</w:t>
            </w:r>
          </w:p>
        </w:tc>
        <w:tc>
          <w:tcPr>
            <w:tcW w:w="653" w:type="dxa"/>
            <w:gridSpan w:val="2"/>
            <w:tcBorders>
              <w:top w:val="nil"/>
              <w:left w:val="nil"/>
              <w:bottom w:val="single" w:sz="4" w:space="0" w:color="auto"/>
              <w:right w:val="nil"/>
            </w:tcBorders>
            <w:shd w:val="clear" w:color="auto" w:fill="auto"/>
            <w:noWrap/>
            <w:hideMark/>
          </w:tcPr>
          <w:p w14:paraId="137657FF" w14:textId="472D46DC" w:rsidR="00B95C7E" w:rsidRPr="00965341" w:rsidRDefault="00B95C7E" w:rsidP="005C22AC">
            <w:pPr>
              <w:spacing w:after="0"/>
              <w:rPr>
                <w:sz w:val="14"/>
                <w:szCs w:val="14"/>
                <w:lang w:val="en-US" w:eastAsia="en-US"/>
              </w:rPr>
            </w:pPr>
            <w:r w:rsidRPr="00965341">
              <w:rPr>
                <w:sz w:val="14"/>
                <w:szCs w:val="14"/>
                <w:lang w:val="en-US" w:eastAsia="en-US"/>
              </w:rPr>
              <w:t> </w:t>
            </w:r>
          </w:p>
        </w:tc>
        <w:tc>
          <w:tcPr>
            <w:tcW w:w="653" w:type="dxa"/>
            <w:gridSpan w:val="2"/>
            <w:tcBorders>
              <w:top w:val="nil"/>
              <w:left w:val="nil"/>
              <w:bottom w:val="single" w:sz="4" w:space="0" w:color="auto"/>
              <w:right w:val="nil"/>
            </w:tcBorders>
            <w:shd w:val="clear" w:color="auto" w:fill="auto"/>
            <w:noWrap/>
            <w:hideMark/>
          </w:tcPr>
          <w:p w14:paraId="3E1A7E85" w14:textId="77777777" w:rsidR="00B95C7E" w:rsidRPr="00965341" w:rsidRDefault="00B95C7E" w:rsidP="005C22AC">
            <w:pPr>
              <w:spacing w:after="0"/>
              <w:rPr>
                <w:sz w:val="14"/>
                <w:szCs w:val="14"/>
                <w:lang w:val="en-US" w:eastAsia="en-US"/>
              </w:rPr>
            </w:pPr>
            <w:r w:rsidRPr="00965341">
              <w:rPr>
                <w:sz w:val="14"/>
                <w:szCs w:val="14"/>
                <w:lang w:val="en-US" w:eastAsia="en-US"/>
              </w:rPr>
              <w:t> </w:t>
            </w:r>
          </w:p>
        </w:tc>
        <w:tc>
          <w:tcPr>
            <w:tcW w:w="653" w:type="dxa"/>
            <w:gridSpan w:val="2"/>
            <w:tcBorders>
              <w:top w:val="nil"/>
              <w:left w:val="nil"/>
              <w:bottom w:val="single" w:sz="4" w:space="0" w:color="auto"/>
              <w:right w:val="nil"/>
            </w:tcBorders>
            <w:shd w:val="clear" w:color="auto" w:fill="auto"/>
            <w:noWrap/>
            <w:hideMark/>
          </w:tcPr>
          <w:p w14:paraId="19748697" w14:textId="77777777" w:rsidR="00B95C7E" w:rsidRPr="00965341" w:rsidRDefault="00B95C7E" w:rsidP="005C22AC">
            <w:pPr>
              <w:spacing w:after="0"/>
              <w:rPr>
                <w:sz w:val="14"/>
                <w:szCs w:val="14"/>
                <w:lang w:val="en-US" w:eastAsia="en-US"/>
              </w:rPr>
            </w:pPr>
            <w:r w:rsidRPr="00965341">
              <w:rPr>
                <w:sz w:val="14"/>
                <w:szCs w:val="14"/>
                <w:lang w:val="en-US" w:eastAsia="en-US"/>
              </w:rPr>
              <w:t> </w:t>
            </w:r>
          </w:p>
        </w:tc>
        <w:tc>
          <w:tcPr>
            <w:tcW w:w="691" w:type="dxa"/>
            <w:gridSpan w:val="2"/>
            <w:tcBorders>
              <w:top w:val="nil"/>
              <w:left w:val="nil"/>
              <w:bottom w:val="single" w:sz="4" w:space="0" w:color="auto"/>
              <w:right w:val="nil"/>
            </w:tcBorders>
            <w:shd w:val="clear" w:color="auto" w:fill="auto"/>
            <w:noWrap/>
            <w:hideMark/>
          </w:tcPr>
          <w:p w14:paraId="265C1344" w14:textId="77777777" w:rsidR="00B95C7E" w:rsidRPr="00965341" w:rsidRDefault="00B95C7E" w:rsidP="005C22AC">
            <w:pPr>
              <w:spacing w:after="0"/>
              <w:rPr>
                <w:sz w:val="14"/>
                <w:szCs w:val="14"/>
                <w:lang w:val="en-US" w:eastAsia="en-US"/>
              </w:rPr>
            </w:pPr>
            <w:r w:rsidRPr="00965341">
              <w:rPr>
                <w:sz w:val="14"/>
                <w:szCs w:val="14"/>
                <w:lang w:val="en-US" w:eastAsia="en-US"/>
              </w:rPr>
              <w:t> </w:t>
            </w:r>
          </w:p>
        </w:tc>
        <w:tc>
          <w:tcPr>
            <w:tcW w:w="691" w:type="dxa"/>
            <w:gridSpan w:val="2"/>
            <w:tcBorders>
              <w:top w:val="nil"/>
              <w:left w:val="nil"/>
              <w:bottom w:val="single" w:sz="4" w:space="0" w:color="auto"/>
              <w:right w:val="nil"/>
            </w:tcBorders>
            <w:shd w:val="clear" w:color="auto" w:fill="auto"/>
            <w:noWrap/>
            <w:hideMark/>
          </w:tcPr>
          <w:p w14:paraId="355BEB53" w14:textId="77777777" w:rsidR="00B95C7E" w:rsidRPr="00965341" w:rsidRDefault="00B95C7E" w:rsidP="005C22AC">
            <w:pPr>
              <w:spacing w:after="0"/>
              <w:rPr>
                <w:sz w:val="14"/>
                <w:szCs w:val="14"/>
                <w:lang w:val="en-US" w:eastAsia="en-US"/>
              </w:rPr>
            </w:pPr>
            <w:r w:rsidRPr="00965341">
              <w:rPr>
                <w:sz w:val="14"/>
                <w:szCs w:val="14"/>
                <w:lang w:val="en-US" w:eastAsia="en-US"/>
              </w:rPr>
              <w:t> </w:t>
            </w:r>
          </w:p>
        </w:tc>
        <w:tc>
          <w:tcPr>
            <w:tcW w:w="839" w:type="dxa"/>
            <w:gridSpan w:val="2"/>
            <w:tcBorders>
              <w:top w:val="nil"/>
              <w:left w:val="nil"/>
              <w:bottom w:val="single" w:sz="4" w:space="0" w:color="auto"/>
              <w:right w:val="nil"/>
            </w:tcBorders>
            <w:shd w:val="clear" w:color="auto" w:fill="auto"/>
            <w:noWrap/>
            <w:hideMark/>
          </w:tcPr>
          <w:p w14:paraId="225F9DE7" w14:textId="77777777" w:rsidR="00B95C7E" w:rsidRPr="00965341" w:rsidRDefault="00B95C7E" w:rsidP="005C22AC">
            <w:pPr>
              <w:spacing w:after="0"/>
              <w:jc w:val="right"/>
              <w:rPr>
                <w:b/>
                <w:bCs/>
                <w:sz w:val="14"/>
                <w:szCs w:val="14"/>
                <w:lang w:val="en-US" w:eastAsia="en-US"/>
              </w:rPr>
            </w:pPr>
            <w:r w:rsidRPr="00965341">
              <w:rPr>
                <w:b/>
                <w:bCs/>
                <w:sz w:val="14"/>
                <w:szCs w:val="14"/>
                <w:lang w:val="en-US" w:eastAsia="en-US"/>
              </w:rPr>
              <w:t>1.6%</w:t>
            </w:r>
          </w:p>
        </w:tc>
      </w:tr>
    </w:tbl>
    <w:p w14:paraId="68608D60" w14:textId="77777777" w:rsidR="00B95C7E" w:rsidRPr="00B95C7E" w:rsidRDefault="00B95C7E" w:rsidP="00A23161">
      <w:pPr>
        <w:spacing w:after="0"/>
        <w:rPr>
          <w:rFonts w:asciiTheme="minorHAnsi" w:hAnsiTheme="minorHAnsi" w:cstheme="minorHAnsi"/>
          <w:sz w:val="16"/>
        </w:rPr>
      </w:pPr>
      <w:r w:rsidRPr="00B95C7E">
        <w:rPr>
          <w:rFonts w:asciiTheme="minorHAnsi" w:hAnsiTheme="minorHAnsi" w:cstheme="minorHAnsi"/>
          <w:color w:val="008A00" w:themeColor="accent2"/>
          <w:sz w:val="16"/>
        </w:rPr>
        <w:t>Notes</w:t>
      </w:r>
      <w:r w:rsidRPr="00B95C7E">
        <w:rPr>
          <w:rFonts w:asciiTheme="minorHAnsi" w:hAnsiTheme="minorHAnsi" w:cstheme="minorHAnsi"/>
          <w:sz w:val="16"/>
        </w:rPr>
        <w:tab/>
      </w:r>
      <w:r w:rsidRPr="00B95C7E">
        <w:rPr>
          <w:rFonts w:asciiTheme="minorHAnsi" w:hAnsiTheme="minorHAnsi" w:cstheme="minorHAnsi"/>
          <w:sz w:val="16"/>
        </w:rPr>
        <w:tab/>
      </w:r>
    </w:p>
    <w:p w14:paraId="5C81A7DE" w14:textId="77777777" w:rsidR="005C22AC" w:rsidRPr="00B95C7E" w:rsidRDefault="005C22AC" w:rsidP="00A23161">
      <w:pPr>
        <w:spacing w:after="0"/>
        <w:rPr>
          <w:rFonts w:asciiTheme="minorHAnsi" w:hAnsiTheme="minorHAnsi" w:cstheme="minorHAnsi"/>
          <w:sz w:val="16"/>
        </w:rPr>
      </w:pPr>
      <w:r w:rsidRPr="00B95C7E">
        <w:rPr>
          <w:rFonts w:asciiTheme="minorHAnsi" w:hAnsiTheme="minorHAnsi" w:cstheme="minorHAnsi"/>
          <w:sz w:val="16"/>
        </w:rPr>
        <w:t>(a) For cost weight (cost bucket specific) calculations please refer to</w:t>
      </w:r>
      <w:r>
        <w:rPr>
          <w:rFonts w:asciiTheme="minorHAnsi" w:hAnsiTheme="minorHAnsi" w:cstheme="minorHAnsi"/>
          <w:sz w:val="16"/>
        </w:rPr>
        <w:t xml:space="preserve"> </w:t>
      </w:r>
      <w:r>
        <w:rPr>
          <w:rFonts w:asciiTheme="minorHAnsi" w:hAnsiTheme="minorHAnsi" w:cstheme="minorHAnsi"/>
          <w:sz w:val="16"/>
        </w:rPr>
        <w:fldChar w:fldCharType="begin"/>
      </w:r>
      <w:r>
        <w:rPr>
          <w:rFonts w:asciiTheme="minorHAnsi" w:hAnsiTheme="minorHAnsi" w:cstheme="minorHAnsi"/>
          <w:sz w:val="16"/>
        </w:rPr>
        <w:instrText xml:space="preserve"> REF _Ref497335615 \h  \* MERGEFORMAT </w:instrText>
      </w:r>
      <w:r>
        <w:rPr>
          <w:rFonts w:asciiTheme="minorHAnsi" w:hAnsiTheme="minorHAnsi" w:cstheme="minorHAnsi"/>
          <w:sz w:val="16"/>
        </w:rPr>
      </w:r>
      <w:r>
        <w:rPr>
          <w:rFonts w:asciiTheme="minorHAnsi" w:hAnsiTheme="minorHAnsi" w:cstheme="minorHAnsi"/>
          <w:sz w:val="16"/>
        </w:rPr>
        <w:fldChar w:fldCharType="separate"/>
      </w:r>
      <w:r w:rsidR="00681CD9" w:rsidRPr="00681CD9">
        <w:rPr>
          <w:rFonts w:asciiTheme="minorHAnsi" w:hAnsiTheme="minorHAnsi" w:cstheme="minorHAnsi"/>
          <w:sz w:val="16"/>
        </w:rPr>
        <w:t>Appendix D: Cost weight tables by AR-DRG Version 8.0</w:t>
      </w:r>
      <w:r>
        <w:rPr>
          <w:rFonts w:asciiTheme="minorHAnsi" w:hAnsiTheme="minorHAnsi" w:cstheme="minorHAnsi"/>
          <w:sz w:val="16"/>
        </w:rPr>
        <w:fldChar w:fldCharType="end"/>
      </w:r>
      <w:r>
        <w:rPr>
          <w:rFonts w:asciiTheme="minorHAnsi" w:hAnsiTheme="minorHAnsi" w:cstheme="minorHAnsi"/>
          <w:sz w:val="16"/>
        </w:rPr>
        <w:tab/>
      </w:r>
      <w:r w:rsidRPr="00B95C7E">
        <w:rPr>
          <w:rFonts w:asciiTheme="minorHAnsi" w:hAnsiTheme="minorHAnsi" w:cstheme="minorHAnsi"/>
          <w:sz w:val="16"/>
        </w:rPr>
        <w:tab/>
      </w:r>
    </w:p>
    <w:p w14:paraId="7511E7AE" w14:textId="77777777" w:rsidR="005C22AC" w:rsidRPr="00B95C7E" w:rsidRDefault="005C22AC" w:rsidP="00A23161">
      <w:pPr>
        <w:spacing w:after="0"/>
        <w:rPr>
          <w:rFonts w:asciiTheme="minorHAnsi" w:hAnsiTheme="minorHAnsi" w:cstheme="minorHAnsi"/>
          <w:sz w:val="16"/>
        </w:rPr>
      </w:pPr>
      <w:r w:rsidRPr="00B95C7E">
        <w:rPr>
          <w:rFonts w:asciiTheme="minorHAnsi" w:hAnsiTheme="minorHAnsi" w:cstheme="minorHAnsi"/>
          <w:sz w:val="16"/>
        </w:rPr>
        <w:t>(b) Separations shown are strata weighted</w:t>
      </w:r>
      <w:r w:rsidRPr="00B95C7E">
        <w:rPr>
          <w:rFonts w:asciiTheme="minorHAnsi" w:hAnsiTheme="minorHAnsi" w:cstheme="minorHAnsi"/>
          <w:sz w:val="16"/>
        </w:rPr>
        <w:tab/>
      </w:r>
    </w:p>
    <w:p w14:paraId="664A33D8" w14:textId="4AF1FDF7" w:rsidR="005D7320" w:rsidRPr="00B95C7E" w:rsidRDefault="005C22AC" w:rsidP="00A23161">
      <w:pPr>
        <w:spacing w:after="0"/>
        <w:rPr>
          <w:rFonts w:asciiTheme="minorHAnsi" w:hAnsiTheme="minorHAnsi" w:cstheme="minorHAnsi"/>
          <w:sz w:val="16"/>
        </w:rPr>
      </w:pPr>
      <w:r w:rsidRPr="00B95C7E">
        <w:rPr>
          <w:rFonts w:asciiTheme="minorHAnsi" w:hAnsiTheme="minorHAnsi" w:cstheme="minorHAnsi"/>
          <w:sz w:val="16"/>
        </w:rPr>
        <w:t xml:space="preserve">(e) </w:t>
      </w:r>
      <w:proofErr w:type="spellStart"/>
      <w:r w:rsidRPr="00B95C7E">
        <w:rPr>
          <w:rFonts w:asciiTheme="minorHAnsi" w:hAnsiTheme="minorHAnsi" w:cstheme="minorHAnsi"/>
          <w:sz w:val="16"/>
        </w:rPr>
        <w:t>ALoS</w:t>
      </w:r>
      <w:proofErr w:type="spellEnd"/>
      <w:r w:rsidRPr="00B95C7E">
        <w:rPr>
          <w:rFonts w:asciiTheme="minorHAnsi" w:hAnsiTheme="minorHAnsi" w:cstheme="minorHAnsi"/>
          <w:sz w:val="16"/>
        </w:rPr>
        <w:t xml:space="preserve"> means average length of stay</w:t>
      </w:r>
      <w:r w:rsidRPr="00B95C7E">
        <w:rPr>
          <w:rFonts w:asciiTheme="minorHAnsi" w:hAnsiTheme="minorHAnsi" w:cstheme="minorHAnsi"/>
          <w:sz w:val="16"/>
        </w:rPr>
        <w:tab/>
      </w:r>
      <w:r w:rsidR="005D7320">
        <w:br w:type="page"/>
      </w:r>
    </w:p>
    <w:p w14:paraId="5218B10B" w14:textId="77777777" w:rsidR="00B95C7E" w:rsidRDefault="00B95C7E" w:rsidP="005D7320">
      <w:pPr>
        <w:pStyle w:val="Figureheadings"/>
        <w:sectPr w:rsidR="00B95C7E" w:rsidSect="00A23161">
          <w:pgSz w:w="16840" w:h="11907" w:orient="landscape" w:code="9"/>
          <w:pgMar w:top="1702" w:right="2041" w:bottom="1440" w:left="709" w:header="680" w:footer="510" w:gutter="0"/>
          <w:cols w:space="708"/>
          <w:docGrid w:linePitch="360"/>
        </w:sectPr>
      </w:pPr>
    </w:p>
    <w:p w14:paraId="6720204A" w14:textId="13C817E1" w:rsidR="005D7320" w:rsidRPr="00E22F35" w:rsidRDefault="00A22971" w:rsidP="00823FE0">
      <w:pPr>
        <w:pStyle w:val="Heading2"/>
      </w:pPr>
      <w:r>
        <w:lastRenderedPageBreak/>
        <w:t xml:space="preserve">Analysis of cost </w:t>
      </w:r>
      <w:r w:rsidR="008C0756">
        <w:t>bucket</w:t>
      </w:r>
      <w:r>
        <w:t>s</w:t>
      </w:r>
    </w:p>
    <w:p w14:paraId="7702B40D" w14:textId="0C658B30" w:rsidR="001B1824" w:rsidRPr="005D7320" w:rsidRDefault="00A23161" w:rsidP="001B1824">
      <w:r>
        <w:t xml:space="preserve">The </w:t>
      </w:r>
      <w:r w:rsidR="001B1824">
        <w:t xml:space="preserve">private sector NHCDC has analysed and reported on the following cost buckets </w:t>
      </w:r>
      <w:r>
        <w:t>since Round </w:t>
      </w:r>
      <w:r w:rsidRPr="005D7320">
        <w:t>17</w:t>
      </w:r>
      <w:r>
        <w:t xml:space="preserve"> (2012-13), </w:t>
      </w:r>
      <w:r w:rsidR="001B1824">
        <w:t xml:space="preserve">as </w:t>
      </w:r>
      <w:r w:rsidR="001B1824" w:rsidRPr="005D7320">
        <w:t>agreed</w:t>
      </w:r>
      <w:r w:rsidR="001B1824">
        <w:t xml:space="preserve"> by the private hospital sector.</w:t>
      </w:r>
      <w:r w:rsidRPr="00A23161">
        <w:t xml:space="preserve"> </w:t>
      </w:r>
      <w:r>
        <w:t>T</w:t>
      </w:r>
      <w:r w:rsidRPr="005D7320">
        <w:t xml:space="preserve">he same cost buckets </w:t>
      </w:r>
      <w:r>
        <w:t xml:space="preserve">have been </w:t>
      </w:r>
      <w:r w:rsidRPr="005D7320">
        <w:t>reported</w:t>
      </w:r>
      <w:r>
        <w:t xml:space="preserve"> in Round 20.</w:t>
      </w:r>
    </w:p>
    <w:p w14:paraId="730EBBC9" w14:textId="6942C24B" w:rsidR="00A23161" w:rsidRDefault="00A23161" w:rsidP="00A23161">
      <w:pPr>
        <w:pStyle w:val="ListParagraph"/>
        <w:numPr>
          <w:ilvl w:val="0"/>
          <w:numId w:val="7"/>
        </w:numPr>
        <w:snapToGrid w:val="0"/>
        <w:spacing w:line="276" w:lineRule="auto"/>
        <w:contextualSpacing/>
      </w:pPr>
      <w:r>
        <w:t>Operating room/Specialised Procedure Suite</w:t>
      </w:r>
      <w:r w:rsidR="00135776">
        <w:t xml:space="preserve"> (OR/SPS)</w:t>
      </w:r>
      <w:r>
        <w:t>;</w:t>
      </w:r>
    </w:p>
    <w:p w14:paraId="15222388" w14:textId="77777777" w:rsidR="005D7320" w:rsidRDefault="005D7320" w:rsidP="000C4242">
      <w:pPr>
        <w:pStyle w:val="ListParagraph"/>
        <w:numPr>
          <w:ilvl w:val="0"/>
          <w:numId w:val="7"/>
        </w:numPr>
        <w:snapToGrid w:val="0"/>
        <w:spacing w:line="276" w:lineRule="auto"/>
        <w:contextualSpacing/>
      </w:pPr>
      <w:r>
        <w:t>Critical care;</w:t>
      </w:r>
    </w:p>
    <w:p w14:paraId="47E0ADFF" w14:textId="77777777" w:rsidR="005D7320" w:rsidRDefault="005D7320" w:rsidP="000C4242">
      <w:pPr>
        <w:pStyle w:val="ListParagraph"/>
        <w:numPr>
          <w:ilvl w:val="0"/>
          <w:numId w:val="7"/>
        </w:numPr>
        <w:snapToGrid w:val="0"/>
        <w:spacing w:line="276" w:lineRule="auto"/>
        <w:contextualSpacing/>
      </w:pPr>
      <w:r>
        <w:t xml:space="preserve">Prostheses; and </w:t>
      </w:r>
    </w:p>
    <w:p w14:paraId="117FF6AB" w14:textId="6639E5DB" w:rsidR="005D7320" w:rsidRDefault="005D7320" w:rsidP="000C4242">
      <w:pPr>
        <w:pStyle w:val="ListParagraph"/>
        <w:numPr>
          <w:ilvl w:val="0"/>
          <w:numId w:val="7"/>
        </w:numPr>
        <w:snapToGrid w:val="0"/>
        <w:spacing w:line="276" w:lineRule="auto"/>
        <w:contextualSpacing/>
      </w:pPr>
      <w:r>
        <w:t>Miscellaneous</w:t>
      </w:r>
      <w:r w:rsidR="001B1824">
        <w:t xml:space="preserve"> </w:t>
      </w:r>
      <w:r w:rsidR="001B1824" w:rsidRPr="005D7320">
        <w:t>(representing the remainder of the cost buckets)</w:t>
      </w:r>
      <w:r>
        <w:t>.</w:t>
      </w:r>
    </w:p>
    <w:p w14:paraId="675E1B60" w14:textId="475986A2" w:rsidR="00A53818" w:rsidRPr="005D7320" w:rsidRDefault="00A23161" w:rsidP="001B1824">
      <w:pPr>
        <w:spacing w:line="276" w:lineRule="auto"/>
      </w:pPr>
      <w:r>
        <w:t>T</w:t>
      </w:r>
      <w:r w:rsidR="001B1824">
        <w:t>his section contains the analysis of the differences between</w:t>
      </w:r>
      <w:r w:rsidR="00E22F35">
        <w:t xml:space="preserve"> cost buckets in</w:t>
      </w:r>
      <w:r w:rsidR="001B1824">
        <w:t xml:space="preserve"> Round 18 and Round 20 as well as the cost buckets by top 20 DRGs.  </w:t>
      </w:r>
    </w:p>
    <w:p w14:paraId="7C0A662C" w14:textId="77777777" w:rsidR="00A53818" w:rsidRPr="005D7320" w:rsidRDefault="00A53818" w:rsidP="00A53818">
      <w:pPr>
        <w:pStyle w:val="Heading3"/>
      </w:pPr>
      <w:r>
        <w:t xml:space="preserve">Differences </w:t>
      </w:r>
      <w:r w:rsidRPr="005D7320">
        <w:t>between Round</w:t>
      </w:r>
      <w:r>
        <w:t xml:space="preserve"> 18 and Round 20</w:t>
      </w:r>
    </w:p>
    <w:p w14:paraId="35FE9E3F" w14:textId="67150FE2" w:rsidR="00A53818" w:rsidRDefault="006654BA" w:rsidP="00A53818">
      <w:r>
        <w:t>Table 9</w:t>
      </w:r>
      <w:r w:rsidR="00A53818" w:rsidRPr="005D7320">
        <w:t xml:space="preserve"> and </w:t>
      </w:r>
      <w:r>
        <w:t>Figure 5</w:t>
      </w:r>
      <w:r w:rsidR="00A53818" w:rsidRPr="005D7320">
        <w:t xml:space="preserve"> illustrate the </w:t>
      </w:r>
      <w:r w:rsidR="00A53818">
        <w:t>differences</w:t>
      </w:r>
      <w:r w:rsidR="00A53818" w:rsidRPr="005D7320">
        <w:t xml:space="preserve"> between the Round</w:t>
      </w:r>
      <w:r w:rsidR="00A53818">
        <w:t>18 and Round 20</w:t>
      </w:r>
      <w:r w:rsidR="00A53818" w:rsidRPr="005D7320">
        <w:t xml:space="preserve"> for the cost buckets.  These </w:t>
      </w:r>
      <w:r w:rsidR="00A53818">
        <w:t xml:space="preserve">movements were expected as the participants undertook their own </w:t>
      </w:r>
      <w:r w:rsidR="00A53818" w:rsidRPr="00E052E9">
        <w:t xml:space="preserve">costing and </w:t>
      </w:r>
      <w:r w:rsidR="00A53818">
        <w:t>67 per cent</w:t>
      </w:r>
      <w:r w:rsidR="00A53818" w:rsidRPr="00E052E9">
        <w:t xml:space="preserve"> of the participants us</w:t>
      </w:r>
      <w:r w:rsidR="00A53818">
        <w:t>ed</w:t>
      </w:r>
      <w:r w:rsidR="00A53818" w:rsidRPr="00E052E9">
        <w:t xml:space="preserve"> their own feeder systems as allocation statistics instead of relying on service weights.</w:t>
      </w:r>
      <w:r w:rsidR="00A53818" w:rsidRPr="005D7320">
        <w:t xml:space="preserve"> </w:t>
      </w:r>
    </w:p>
    <w:p w14:paraId="04099EE6" w14:textId="12AAFF95" w:rsidR="00A53818" w:rsidRDefault="006654BA" w:rsidP="00A53818">
      <w:r>
        <w:t>Figure 5</w:t>
      </w:r>
      <w:r w:rsidR="00A53818" w:rsidRPr="005D7320">
        <w:t xml:space="preserve"> visually shows </w:t>
      </w:r>
      <w:r w:rsidR="00A53818" w:rsidRPr="00CB69B5">
        <w:t>that</w:t>
      </w:r>
      <w:r w:rsidR="00A53818" w:rsidRPr="005D7320">
        <w:t xml:space="preserve"> OR</w:t>
      </w:r>
      <w:r w:rsidR="00135776">
        <w:t xml:space="preserve"> and </w:t>
      </w:r>
      <w:r w:rsidR="00A53818" w:rsidRPr="005D7320">
        <w:t>SP</w:t>
      </w:r>
      <w:r w:rsidR="00135776">
        <w:t>S</w:t>
      </w:r>
      <w:r w:rsidR="00A53818" w:rsidRPr="005D7320">
        <w:t xml:space="preserve"> </w:t>
      </w:r>
      <w:r w:rsidR="00A53818">
        <w:t xml:space="preserve">had </w:t>
      </w:r>
      <w:r w:rsidR="00A53818" w:rsidRPr="005D7320">
        <w:t>the larges</w:t>
      </w:r>
      <w:r w:rsidR="00A53818">
        <w:t>t movement between Rounds with an increase of 3.2 per cent</w:t>
      </w:r>
      <w:r w:rsidR="00A53818" w:rsidRPr="005D7320">
        <w:t xml:space="preserve">.  A potential reason for this change </w:t>
      </w:r>
      <w:r w:rsidR="00A53818">
        <w:t>is</w:t>
      </w:r>
      <w:r w:rsidR="00A53818" w:rsidRPr="005D7320">
        <w:t xml:space="preserve"> the increased use of participant’s own feeder data and allocation statistics providing more accurate cost allocations, changes in service weights between Rounds and increase in same day theatre related separations.</w:t>
      </w:r>
      <w:r w:rsidR="00A53818">
        <w:t xml:space="preserve"> Additionally there was a decrease of 3.0 per cent in prostheses.  A potential reason for this is that participants used feeder systems rather than PHDB data to inform this allocation of cost. The Round 18 results have not been adjusted for CPI changes between the years.</w:t>
      </w:r>
    </w:p>
    <w:p w14:paraId="0EDDB776" w14:textId="7B3AB714" w:rsidR="00A23161" w:rsidRDefault="006654BA" w:rsidP="00A23161">
      <w:pPr>
        <w:pStyle w:val="Tableoffigures3"/>
      </w:pPr>
      <w:bookmarkStart w:id="190" w:name="_Toc497750037"/>
      <w:proofErr w:type="gramStart"/>
      <w:r w:rsidRPr="006654BA">
        <w:t>Figure 5</w:t>
      </w:r>
      <w:r w:rsidR="00AF7FF9" w:rsidRPr="006654BA">
        <w:t>.</w:t>
      </w:r>
      <w:proofErr w:type="gramEnd"/>
      <w:r w:rsidR="00A23161" w:rsidRPr="006654BA">
        <w:t xml:space="preserve"> Breakdo</w:t>
      </w:r>
      <w:r w:rsidR="00A23161">
        <w:t>wn of cost by cost-bucket group, Round 20 versus Round 18</w:t>
      </w:r>
      <w:bookmarkEnd w:id="190"/>
    </w:p>
    <w:p w14:paraId="0910E2EC" w14:textId="67DE3745" w:rsidR="00A22971" w:rsidRPr="004B6B3B" w:rsidRDefault="00A22971" w:rsidP="006654BA">
      <w:r w:rsidRPr="00CB69B5">
        <w:rPr>
          <w:noProof/>
          <w:shd w:val="clear" w:color="auto" w:fill="008A00" w:themeFill="accent2"/>
        </w:rPr>
        <w:drawing>
          <wp:inline distT="0" distB="0" distL="0" distR="0" wp14:anchorId="52FB5377" wp14:editId="03DA9016">
            <wp:extent cx="5419725" cy="3143250"/>
            <wp:effectExtent l="0" t="0" r="9525" b="19050"/>
            <wp:docPr id="16" name="Chart 16" descr="This figure shows the Round 20 versus Round 18 breakdown of cost by the cost buckets Operating Room &amp; Specialist Procedure Suites, Critical Care, Prostheses and Miscellaneous."/>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0218007" w14:textId="18CC5BC2" w:rsidR="00A53818" w:rsidRPr="004B6B3B" w:rsidRDefault="006654BA" w:rsidP="00CF2975">
      <w:pPr>
        <w:pStyle w:val="TableHeadings3"/>
        <w:keepNext/>
      </w:pPr>
      <w:bookmarkStart w:id="191" w:name="_Toc497750023"/>
      <w:proofErr w:type="gramStart"/>
      <w:r>
        <w:lastRenderedPageBreak/>
        <w:t>Table 9</w:t>
      </w:r>
      <w:r w:rsidR="00AF7FF9">
        <w:t>.</w:t>
      </w:r>
      <w:proofErr w:type="gramEnd"/>
      <w:r w:rsidR="00A53818">
        <w:t xml:space="preserve"> </w:t>
      </w:r>
      <w:r w:rsidR="00A53818" w:rsidRPr="004B6B3B">
        <w:t>Breakdown of cost by cost-bucket group, Round 20 versus Round 18</w:t>
      </w:r>
      <w:bookmarkEnd w:id="191"/>
    </w:p>
    <w:tbl>
      <w:tblPr>
        <w:tblW w:w="8700" w:type="dxa"/>
        <w:tblLook w:val="04A0" w:firstRow="1" w:lastRow="0" w:firstColumn="1" w:lastColumn="0" w:noHBand="0" w:noVBand="1"/>
      </w:tblPr>
      <w:tblGrid>
        <w:gridCol w:w="4440"/>
        <w:gridCol w:w="1332"/>
        <w:gridCol w:w="1332"/>
        <w:gridCol w:w="1596"/>
      </w:tblGrid>
      <w:tr w:rsidR="00A53818" w:rsidRPr="007C40BB" w14:paraId="408330A8" w14:textId="77777777" w:rsidTr="00D363C9">
        <w:trPr>
          <w:trHeight w:val="327"/>
        </w:trPr>
        <w:tc>
          <w:tcPr>
            <w:tcW w:w="4440" w:type="dxa"/>
            <w:vMerge w:val="restart"/>
            <w:tcBorders>
              <w:top w:val="single" w:sz="4" w:space="0" w:color="auto"/>
              <w:left w:val="nil"/>
              <w:bottom w:val="single" w:sz="8" w:space="0" w:color="000000"/>
              <w:right w:val="nil"/>
            </w:tcBorders>
            <w:shd w:val="clear" w:color="auto" w:fill="auto"/>
            <w:noWrap/>
            <w:hideMark/>
          </w:tcPr>
          <w:p w14:paraId="20392EF0" w14:textId="77777777" w:rsidR="00A53818" w:rsidRPr="007C40BB" w:rsidRDefault="00A53818" w:rsidP="00D363C9">
            <w:pPr>
              <w:rPr>
                <w:rFonts w:asciiTheme="minorHAnsi" w:hAnsiTheme="minorHAnsi" w:cstheme="minorHAnsi"/>
                <w:b/>
                <w:bCs/>
                <w:color w:val="000000"/>
                <w:sz w:val="18"/>
                <w:szCs w:val="18"/>
                <w:lang w:val="en-US" w:eastAsia="en-US"/>
              </w:rPr>
            </w:pPr>
            <w:r w:rsidRPr="007C40BB">
              <w:rPr>
                <w:rFonts w:asciiTheme="minorHAnsi" w:hAnsiTheme="minorHAnsi" w:cstheme="minorHAnsi"/>
                <w:b/>
                <w:bCs/>
                <w:color w:val="000000"/>
                <w:sz w:val="18"/>
                <w:szCs w:val="18"/>
                <w:lang w:val="en-US" w:eastAsia="en-US"/>
              </w:rPr>
              <w:t>Cost Bucket</w:t>
            </w:r>
          </w:p>
        </w:tc>
        <w:tc>
          <w:tcPr>
            <w:tcW w:w="1332" w:type="dxa"/>
            <w:vMerge w:val="restart"/>
            <w:tcBorders>
              <w:top w:val="single" w:sz="4" w:space="0" w:color="auto"/>
              <w:left w:val="nil"/>
              <w:bottom w:val="single" w:sz="8" w:space="0" w:color="000000"/>
              <w:right w:val="nil"/>
            </w:tcBorders>
            <w:shd w:val="clear" w:color="auto" w:fill="auto"/>
            <w:hideMark/>
          </w:tcPr>
          <w:p w14:paraId="4CCA6EFA" w14:textId="77777777" w:rsidR="00A53818" w:rsidRPr="007C40BB" w:rsidRDefault="00A53818" w:rsidP="00D363C9">
            <w:pPr>
              <w:jc w:val="center"/>
              <w:rPr>
                <w:rFonts w:asciiTheme="minorHAnsi" w:hAnsiTheme="minorHAnsi" w:cstheme="minorHAnsi"/>
                <w:b/>
                <w:bCs/>
                <w:color w:val="000000"/>
                <w:sz w:val="18"/>
                <w:szCs w:val="18"/>
                <w:lang w:val="en-US" w:eastAsia="en-US"/>
              </w:rPr>
            </w:pPr>
            <w:r w:rsidRPr="007C40BB">
              <w:rPr>
                <w:rFonts w:asciiTheme="minorHAnsi" w:hAnsiTheme="minorHAnsi" w:cstheme="minorHAnsi"/>
                <w:b/>
                <w:bCs/>
                <w:color w:val="000000"/>
                <w:sz w:val="18"/>
                <w:szCs w:val="18"/>
                <w:lang w:val="en-US" w:eastAsia="en-US"/>
              </w:rPr>
              <w:t>Round 18 2013-14</w:t>
            </w:r>
          </w:p>
        </w:tc>
        <w:tc>
          <w:tcPr>
            <w:tcW w:w="1332" w:type="dxa"/>
            <w:vMerge w:val="restart"/>
            <w:tcBorders>
              <w:top w:val="single" w:sz="4" w:space="0" w:color="auto"/>
              <w:left w:val="nil"/>
              <w:bottom w:val="single" w:sz="8" w:space="0" w:color="000000"/>
              <w:right w:val="nil"/>
            </w:tcBorders>
            <w:shd w:val="clear" w:color="auto" w:fill="auto"/>
            <w:hideMark/>
          </w:tcPr>
          <w:p w14:paraId="0D10411E" w14:textId="77777777" w:rsidR="00A53818" w:rsidRPr="007C40BB" w:rsidRDefault="00A53818" w:rsidP="00D363C9">
            <w:pPr>
              <w:jc w:val="center"/>
              <w:rPr>
                <w:rFonts w:asciiTheme="minorHAnsi" w:hAnsiTheme="minorHAnsi" w:cstheme="minorHAnsi"/>
                <w:b/>
                <w:bCs/>
                <w:color w:val="000000"/>
                <w:sz w:val="18"/>
                <w:szCs w:val="18"/>
                <w:lang w:val="en-US" w:eastAsia="en-US"/>
              </w:rPr>
            </w:pPr>
            <w:r w:rsidRPr="007C40BB">
              <w:rPr>
                <w:rFonts w:asciiTheme="minorHAnsi" w:hAnsiTheme="minorHAnsi" w:cstheme="minorHAnsi"/>
                <w:b/>
                <w:bCs/>
                <w:color w:val="000000"/>
                <w:sz w:val="18"/>
                <w:szCs w:val="18"/>
                <w:lang w:val="en-US" w:eastAsia="en-US"/>
              </w:rPr>
              <w:t>Round 20 2015-16</w:t>
            </w:r>
          </w:p>
        </w:tc>
        <w:tc>
          <w:tcPr>
            <w:tcW w:w="1596" w:type="dxa"/>
            <w:vMerge w:val="restart"/>
            <w:tcBorders>
              <w:top w:val="single" w:sz="4" w:space="0" w:color="auto"/>
              <w:left w:val="nil"/>
              <w:bottom w:val="single" w:sz="8" w:space="0" w:color="000000"/>
              <w:right w:val="nil"/>
            </w:tcBorders>
            <w:shd w:val="clear" w:color="auto" w:fill="auto"/>
            <w:noWrap/>
            <w:hideMark/>
          </w:tcPr>
          <w:p w14:paraId="439EDCA3" w14:textId="77777777" w:rsidR="00A53818" w:rsidRPr="007C40BB" w:rsidRDefault="00A53818" w:rsidP="00D363C9">
            <w:pPr>
              <w:jc w:val="center"/>
              <w:rPr>
                <w:rFonts w:asciiTheme="minorHAnsi" w:hAnsiTheme="minorHAnsi" w:cstheme="minorHAnsi"/>
                <w:b/>
                <w:bCs/>
                <w:color w:val="000000"/>
                <w:sz w:val="18"/>
                <w:szCs w:val="18"/>
                <w:lang w:val="en-US" w:eastAsia="en-US"/>
              </w:rPr>
            </w:pPr>
            <w:r w:rsidRPr="007C40BB">
              <w:rPr>
                <w:rFonts w:asciiTheme="minorHAnsi" w:hAnsiTheme="minorHAnsi" w:cstheme="minorHAnsi"/>
                <w:b/>
                <w:bCs/>
                <w:color w:val="000000"/>
                <w:sz w:val="18"/>
                <w:szCs w:val="18"/>
                <w:lang w:val="en-US" w:eastAsia="en-US"/>
              </w:rPr>
              <w:t>Movement</w:t>
            </w:r>
          </w:p>
        </w:tc>
      </w:tr>
      <w:tr w:rsidR="00A53818" w:rsidRPr="007C40BB" w14:paraId="250C2409" w14:textId="77777777" w:rsidTr="00D363C9">
        <w:trPr>
          <w:trHeight w:val="327"/>
        </w:trPr>
        <w:tc>
          <w:tcPr>
            <w:tcW w:w="4440" w:type="dxa"/>
            <w:vMerge/>
            <w:tcBorders>
              <w:top w:val="single" w:sz="4" w:space="0" w:color="auto"/>
              <w:left w:val="nil"/>
              <w:bottom w:val="single" w:sz="8" w:space="0" w:color="000000"/>
              <w:right w:val="nil"/>
            </w:tcBorders>
            <w:vAlign w:val="center"/>
            <w:hideMark/>
          </w:tcPr>
          <w:p w14:paraId="03EE75E6" w14:textId="77777777" w:rsidR="00A53818" w:rsidRPr="007C40BB" w:rsidRDefault="00A53818" w:rsidP="00D363C9">
            <w:pPr>
              <w:rPr>
                <w:rFonts w:asciiTheme="minorHAnsi" w:hAnsiTheme="minorHAnsi" w:cstheme="minorHAnsi"/>
                <w:b/>
                <w:bCs/>
                <w:color w:val="000000"/>
                <w:sz w:val="18"/>
                <w:szCs w:val="18"/>
                <w:lang w:val="en-US" w:eastAsia="en-US"/>
              </w:rPr>
            </w:pPr>
          </w:p>
        </w:tc>
        <w:tc>
          <w:tcPr>
            <w:tcW w:w="1332" w:type="dxa"/>
            <w:vMerge/>
            <w:tcBorders>
              <w:top w:val="single" w:sz="4" w:space="0" w:color="auto"/>
              <w:left w:val="nil"/>
              <w:bottom w:val="single" w:sz="8" w:space="0" w:color="000000"/>
              <w:right w:val="nil"/>
            </w:tcBorders>
            <w:vAlign w:val="center"/>
            <w:hideMark/>
          </w:tcPr>
          <w:p w14:paraId="6E2DBC5D" w14:textId="77777777" w:rsidR="00A53818" w:rsidRPr="007C40BB" w:rsidRDefault="00A53818" w:rsidP="00D363C9">
            <w:pPr>
              <w:rPr>
                <w:rFonts w:asciiTheme="minorHAnsi" w:hAnsiTheme="minorHAnsi" w:cstheme="minorHAnsi"/>
                <w:b/>
                <w:bCs/>
                <w:color w:val="000000"/>
                <w:sz w:val="18"/>
                <w:szCs w:val="18"/>
                <w:lang w:val="en-US" w:eastAsia="en-US"/>
              </w:rPr>
            </w:pPr>
          </w:p>
        </w:tc>
        <w:tc>
          <w:tcPr>
            <w:tcW w:w="1332" w:type="dxa"/>
            <w:vMerge/>
            <w:tcBorders>
              <w:top w:val="single" w:sz="4" w:space="0" w:color="auto"/>
              <w:left w:val="nil"/>
              <w:bottom w:val="single" w:sz="8" w:space="0" w:color="000000"/>
              <w:right w:val="nil"/>
            </w:tcBorders>
            <w:vAlign w:val="center"/>
            <w:hideMark/>
          </w:tcPr>
          <w:p w14:paraId="6BA02462" w14:textId="77777777" w:rsidR="00A53818" w:rsidRPr="007C40BB" w:rsidRDefault="00A53818" w:rsidP="00D363C9">
            <w:pPr>
              <w:rPr>
                <w:rFonts w:asciiTheme="minorHAnsi" w:hAnsiTheme="minorHAnsi" w:cstheme="minorHAnsi"/>
                <w:b/>
                <w:bCs/>
                <w:color w:val="000000"/>
                <w:sz w:val="18"/>
                <w:szCs w:val="18"/>
                <w:lang w:val="en-US" w:eastAsia="en-US"/>
              </w:rPr>
            </w:pPr>
          </w:p>
        </w:tc>
        <w:tc>
          <w:tcPr>
            <w:tcW w:w="1596" w:type="dxa"/>
            <w:vMerge/>
            <w:tcBorders>
              <w:top w:val="single" w:sz="4" w:space="0" w:color="auto"/>
              <w:left w:val="nil"/>
              <w:bottom w:val="single" w:sz="8" w:space="0" w:color="000000"/>
              <w:right w:val="nil"/>
            </w:tcBorders>
            <w:vAlign w:val="center"/>
            <w:hideMark/>
          </w:tcPr>
          <w:p w14:paraId="79A0B351" w14:textId="77777777" w:rsidR="00A53818" w:rsidRPr="007C40BB" w:rsidRDefault="00A53818" w:rsidP="00D363C9">
            <w:pPr>
              <w:rPr>
                <w:rFonts w:asciiTheme="minorHAnsi" w:hAnsiTheme="minorHAnsi" w:cstheme="minorHAnsi"/>
                <w:b/>
                <w:bCs/>
                <w:color w:val="000000"/>
                <w:sz w:val="18"/>
                <w:szCs w:val="18"/>
                <w:lang w:val="en-US" w:eastAsia="en-US"/>
              </w:rPr>
            </w:pPr>
          </w:p>
        </w:tc>
      </w:tr>
      <w:tr w:rsidR="00A53818" w:rsidRPr="007C40BB" w14:paraId="16D85F88" w14:textId="77777777" w:rsidTr="00D363C9">
        <w:trPr>
          <w:trHeight w:val="285"/>
        </w:trPr>
        <w:tc>
          <w:tcPr>
            <w:tcW w:w="4440" w:type="dxa"/>
            <w:tcBorders>
              <w:top w:val="nil"/>
              <w:left w:val="nil"/>
              <w:bottom w:val="nil"/>
              <w:right w:val="nil"/>
            </w:tcBorders>
            <w:shd w:val="clear" w:color="000000" w:fill="FFFFFF"/>
            <w:noWrap/>
            <w:hideMark/>
          </w:tcPr>
          <w:p w14:paraId="5DCF3F9D" w14:textId="77777777" w:rsidR="00A53818" w:rsidRPr="007C40BB" w:rsidRDefault="00A53818" w:rsidP="00D363C9">
            <w:pPr>
              <w:rPr>
                <w:rFonts w:asciiTheme="minorHAnsi" w:hAnsiTheme="minorHAnsi" w:cstheme="minorHAnsi"/>
                <w:color w:val="000000"/>
                <w:sz w:val="18"/>
                <w:szCs w:val="18"/>
                <w:lang w:val="en-US" w:eastAsia="en-US"/>
              </w:rPr>
            </w:pPr>
            <w:r w:rsidRPr="007C40BB">
              <w:rPr>
                <w:rFonts w:asciiTheme="minorHAnsi" w:hAnsiTheme="minorHAnsi" w:cstheme="minorHAnsi"/>
                <w:color w:val="000000"/>
                <w:sz w:val="18"/>
                <w:szCs w:val="18"/>
                <w:lang w:val="en-US" w:eastAsia="en-US"/>
              </w:rPr>
              <w:t>Operating Rooms and Specialist Procedure Suites</w:t>
            </w:r>
          </w:p>
        </w:tc>
        <w:tc>
          <w:tcPr>
            <w:tcW w:w="1332" w:type="dxa"/>
            <w:tcBorders>
              <w:top w:val="nil"/>
              <w:left w:val="nil"/>
              <w:bottom w:val="nil"/>
              <w:right w:val="nil"/>
            </w:tcBorders>
            <w:shd w:val="clear" w:color="000000" w:fill="FFFFFF"/>
            <w:noWrap/>
            <w:hideMark/>
          </w:tcPr>
          <w:p w14:paraId="72C85BC6" w14:textId="77777777" w:rsidR="00A53818" w:rsidRPr="007C40BB" w:rsidRDefault="00A53818" w:rsidP="00D363C9">
            <w:pPr>
              <w:jc w:val="center"/>
              <w:rPr>
                <w:rFonts w:asciiTheme="minorHAnsi" w:hAnsiTheme="minorHAnsi" w:cstheme="minorHAnsi"/>
                <w:color w:val="000000"/>
                <w:sz w:val="18"/>
                <w:szCs w:val="18"/>
                <w:lang w:val="en-US" w:eastAsia="en-US"/>
              </w:rPr>
            </w:pPr>
            <w:r w:rsidRPr="007C40BB">
              <w:rPr>
                <w:rFonts w:asciiTheme="minorHAnsi" w:hAnsiTheme="minorHAnsi" w:cstheme="minorHAnsi"/>
                <w:color w:val="000000"/>
                <w:sz w:val="18"/>
                <w:szCs w:val="18"/>
                <w:lang w:val="en-US" w:eastAsia="en-US"/>
              </w:rPr>
              <w:t>23.2%</w:t>
            </w:r>
          </w:p>
        </w:tc>
        <w:tc>
          <w:tcPr>
            <w:tcW w:w="1332" w:type="dxa"/>
            <w:tcBorders>
              <w:top w:val="nil"/>
              <w:left w:val="nil"/>
              <w:bottom w:val="nil"/>
              <w:right w:val="nil"/>
            </w:tcBorders>
            <w:shd w:val="clear" w:color="000000" w:fill="FFFFFF"/>
            <w:noWrap/>
            <w:hideMark/>
          </w:tcPr>
          <w:p w14:paraId="0B75B0CC" w14:textId="77777777" w:rsidR="00A53818" w:rsidRPr="00E52A05" w:rsidRDefault="00A53818" w:rsidP="00D363C9">
            <w:pPr>
              <w:jc w:val="center"/>
              <w:rPr>
                <w:rFonts w:asciiTheme="minorHAnsi" w:hAnsiTheme="minorHAnsi" w:cstheme="minorHAnsi"/>
                <w:b/>
                <w:color w:val="000000"/>
                <w:sz w:val="18"/>
                <w:szCs w:val="18"/>
                <w:lang w:val="en-US" w:eastAsia="en-US"/>
              </w:rPr>
            </w:pPr>
            <w:r w:rsidRPr="00E52A05">
              <w:rPr>
                <w:rFonts w:asciiTheme="minorHAnsi" w:hAnsiTheme="minorHAnsi" w:cstheme="minorHAnsi"/>
                <w:b/>
                <w:color w:val="000000"/>
                <w:sz w:val="18"/>
                <w:szCs w:val="18"/>
                <w:lang w:val="en-US" w:eastAsia="en-US"/>
              </w:rPr>
              <w:t>26.4%</w:t>
            </w:r>
          </w:p>
        </w:tc>
        <w:tc>
          <w:tcPr>
            <w:tcW w:w="1596" w:type="dxa"/>
            <w:tcBorders>
              <w:top w:val="nil"/>
              <w:left w:val="nil"/>
              <w:bottom w:val="nil"/>
              <w:right w:val="nil"/>
            </w:tcBorders>
            <w:shd w:val="clear" w:color="000000" w:fill="FFFFFF"/>
            <w:noWrap/>
            <w:hideMark/>
          </w:tcPr>
          <w:p w14:paraId="3D0C2AF2" w14:textId="77777777" w:rsidR="00A53818" w:rsidRPr="007C40BB" w:rsidRDefault="00A53818" w:rsidP="00D363C9">
            <w:pPr>
              <w:jc w:val="center"/>
              <w:rPr>
                <w:rFonts w:asciiTheme="minorHAnsi" w:hAnsiTheme="minorHAnsi" w:cstheme="minorHAnsi"/>
                <w:color w:val="000000"/>
                <w:sz w:val="18"/>
                <w:szCs w:val="18"/>
                <w:lang w:val="en-US" w:eastAsia="en-US"/>
              </w:rPr>
            </w:pPr>
            <w:r w:rsidRPr="007C40BB">
              <w:rPr>
                <w:rFonts w:asciiTheme="minorHAnsi" w:hAnsiTheme="minorHAnsi" w:cstheme="minorHAnsi"/>
                <w:color w:val="000000"/>
                <w:sz w:val="18"/>
                <w:szCs w:val="18"/>
                <w:lang w:val="en-US" w:eastAsia="en-US"/>
              </w:rPr>
              <w:t>3.2%</w:t>
            </w:r>
          </w:p>
        </w:tc>
      </w:tr>
      <w:tr w:rsidR="00A53818" w:rsidRPr="007C40BB" w14:paraId="26FC6DD5" w14:textId="77777777" w:rsidTr="00D363C9">
        <w:trPr>
          <w:trHeight w:val="285"/>
        </w:trPr>
        <w:tc>
          <w:tcPr>
            <w:tcW w:w="4440" w:type="dxa"/>
            <w:tcBorders>
              <w:top w:val="nil"/>
              <w:left w:val="nil"/>
              <w:bottom w:val="nil"/>
              <w:right w:val="nil"/>
            </w:tcBorders>
            <w:shd w:val="clear" w:color="000000" w:fill="FFFFFF"/>
            <w:noWrap/>
            <w:hideMark/>
          </w:tcPr>
          <w:p w14:paraId="05D5A12D" w14:textId="77777777" w:rsidR="00A53818" w:rsidRPr="007C40BB" w:rsidRDefault="00A53818" w:rsidP="00D363C9">
            <w:pPr>
              <w:rPr>
                <w:rFonts w:asciiTheme="minorHAnsi" w:hAnsiTheme="minorHAnsi" w:cstheme="minorHAnsi"/>
                <w:color w:val="000000"/>
                <w:sz w:val="18"/>
                <w:szCs w:val="18"/>
                <w:lang w:val="en-US" w:eastAsia="en-US"/>
              </w:rPr>
            </w:pPr>
            <w:r w:rsidRPr="007C40BB">
              <w:rPr>
                <w:rFonts w:asciiTheme="minorHAnsi" w:hAnsiTheme="minorHAnsi" w:cstheme="minorHAnsi"/>
                <w:color w:val="000000"/>
                <w:sz w:val="18"/>
                <w:szCs w:val="18"/>
                <w:lang w:val="en-US" w:eastAsia="en-US"/>
              </w:rPr>
              <w:t>Critical Care</w:t>
            </w:r>
          </w:p>
        </w:tc>
        <w:tc>
          <w:tcPr>
            <w:tcW w:w="1332" w:type="dxa"/>
            <w:tcBorders>
              <w:top w:val="nil"/>
              <w:left w:val="nil"/>
              <w:bottom w:val="nil"/>
              <w:right w:val="nil"/>
            </w:tcBorders>
            <w:shd w:val="clear" w:color="000000" w:fill="FFFFFF"/>
            <w:noWrap/>
            <w:hideMark/>
          </w:tcPr>
          <w:p w14:paraId="6F94FABC" w14:textId="77777777" w:rsidR="00A53818" w:rsidRPr="007C40BB" w:rsidRDefault="00A53818" w:rsidP="00D363C9">
            <w:pPr>
              <w:jc w:val="center"/>
              <w:rPr>
                <w:rFonts w:asciiTheme="minorHAnsi" w:hAnsiTheme="minorHAnsi" w:cstheme="minorHAnsi"/>
                <w:color w:val="000000"/>
                <w:sz w:val="18"/>
                <w:szCs w:val="18"/>
                <w:lang w:val="en-US" w:eastAsia="en-US"/>
              </w:rPr>
            </w:pPr>
            <w:r w:rsidRPr="007C40BB">
              <w:rPr>
                <w:rFonts w:asciiTheme="minorHAnsi" w:hAnsiTheme="minorHAnsi" w:cstheme="minorHAnsi"/>
                <w:color w:val="000000"/>
                <w:sz w:val="18"/>
                <w:szCs w:val="18"/>
                <w:lang w:val="en-US" w:eastAsia="en-US"/>
              </w:rPr>
              <w:t>5.9%</w:t>
            </w:r>
          </w:p>
        </w:tc>
        <w:tc>
          <w:tcPr>
            <w:tcW w:w="1332" w:type="dxa"/>
            <w:tcBorders>
              <w:top w:val="nil"/>
              <w:left w:val="nil"/>
              <w:bottom w:val="nil"/>
              <w:right w:val="nil"/>
            </w:tcBorders>
            <w:shd w:val="clear" w:color="000000" w:fill="FFFFFF"/>
            <w:noWrap/>
            <w:hideMark/>
          </w:tcPr>
          <w:p w14:paraId="4163F1C3" w14:textId="77777777" w:rsidR="00A53818" w:rsidRPr="00E52A05" w:rsidRDefault="00A53818" w:rsidP="00D363C9">
            <w:pPr>
              <w:jc w:val="center"/>
              <w:rPr>
                <w:rFonts w:asciiTheme="minorHAnsi" w:hAnsiTheme="minorHAnsi" w:cstheme="minorHAnsi"/>
                <w:b/>
                <w:color w:val="000000"/>
                <w:sz w:val="18"/>
                <w:szCs w:val="18"/>
                <w:lang w:val="en-US" w:eastAsia="en-US"/>
              </w:rPr>
            </w:pPr>
            <w:r w:rsidRPr="00E52A05">
              <w:rPr>
                <w:rFonts w:asciiTheme="minorHAnsi" w:hAnsiTheme="minorHAnsi" w:cstheme="minorHAnsi"/>
                <w:b/>
                <w:color w:val="000000"/>
                <w:sz w:val="18"/>
                <w:szCs w:val="18"/>
                <w:lang w:val="en-US" w:eastAsia="en-US"/>
              </w:rPr>
              <w:t>6.4%</w:t>
            </w:r>
          </w:p>
        </w:tc>
        <w:tc>
          <w:tcPr>
            <w:tcW w:w="1596" w:type="dxa"/>
            <w:tcBorders>
              <w:top w:val="nil"/>
              <w:left w:val="nil"/>
              <w:bottom w:val="nil"/>
              <w:right w:val="nil"/>
            </w:tcBorders>
            <w:shd w:val="clear" w:color="000000" w:fill="FFFFFF"/>
            <w:noWrap/>
            <w:hideMark/>
          </w:tcPr>
          <w:p w14:paraId="323E9C3C" w14:textId="77777777" w:rsidR="00A53818" w:rsidRPr="007C40BB" w:rsidRDefault="00A53818" w:rsidP="00D363C9">
            <w:pPr>
              <w:jc w:val="center"/>
              <w:rPr>
                <w:rFonts w:asciiTheme="minorHAnsi" w:hAnsiTheme="minorHAnsi" w:cstheme="minorHAnsi"/>
                <w:color w:val="000000"/>
                <w:sz w:val="18"/>
                <w:szCs w:val="18"/>
                <w:lang w:val="en-US" w:eastAsia="en-US"/>
              </w:rPr>
            </w:pPr>
            <w:r w:rsidRPr="007C40BB">
              <w:rPr>
                <w:rFonts w:asciiTheme="minorHAnsi" w:hAnsiTheme="minorHAnsi" w:cstheme="minorHAnsi"/>
                <w:color w:val="000000"/>
                <w:sz w:val="18"/>
                <w:szCs w:val="18"/>
                <w:lang w:val="en-US" w:eastAsia="en-US"/>
              </w:rPr>
              <w:t>0.5%</w:t>
            </w:r>
          </w:p>
        </w:tc>
      </w:tr>
      <w:tr w:rsidR="00A53818" w:rsidRPr="007C40BB" w14:paraId="755C5900" w14:textId="77777777" w:rsidTr="00D363C9">
        <w:trPr>
          <w:trHeight w:val="285"/>
        </w:trPr>
        <w:tc>
          <w:tcPr>
            <w:tcW w:w="4440" w:type="dxa"/>
            <w:tcBorders>
              <w:top w:val="nil"/>
              <w:left w:val="nil"/>
              <w:bottom w:val="nil"/>
              <w:right w:val="nil"/>
            </w:tcBorders>
            <w:shd w:val="clear" w:color="auto" w:fill="auto"/>
            <w:noWrap/>
            <w:hideMark/>
          </w:tcPr>
          <w:p w14:paraId="3D0E5B85" w14:textId="77777777" w:rsidR="00A53818" w:rsidRPr="007C40BB" w:rsidRDefault="00A53818" w:rsidP="00D363C9">
            <w:pPr>
              <w:rPr>
                <w:rFonts w:asciiTheme="minorHAnsi" w:hAnsiTheme="minorHAnsi" w:cstheme="minorHAnsi"/>
                <w:color w:val="000000"/>
                <w:sz w:val="18"/>
                <w:szCs w:val="18"/>
                <w:lang w:val="en-US" w:eastAsia="en-US"/>
              </w:rPr>
            </w:pPr>
            <w:r w:rsidRPr="007C40BB">
              <w:rPr>
                <w:rFonts w:asciiTheme="minorHAnsi" w:hAnsiTheme="minorHAnsi" w:cstheme="minorHAnsi"/>
                <w:color w:val="000000"/>
                <w:sz w:val="18"/>
                <w:szCs w:val="18"/>
                <w:lang w:val="en-US" w:eastAsia="en-US"/>
              </w:rPr>
              <w:t>Prostheses</w:t>
            </w:r>
          </w:p>
        </w:tc>
        <w:tc>
          <w:tcPr>
            <w:tcW w:w="1332" w:type="dxa"/>
            <w:tcBorders>
              <w:top w:val="nil"/>
              <w:left w:val="nil"/>
              <w:bottom w:val="nil"/>
              <w:right w:val="nil"/>
            </w:tcBorders>
            <w:shd w:val="clear" w:color="auto" w:fill="auto"/>
            <w:noWrap/>
            <w:hideMark/>
          </w:tcPr>
          <w:p w14:paraId="6AD9E0AB" w14:textId="77777777" w:rsidR="00A53818" w:rsidRPr="007C40BB" w:rsidRDefault="00A53818" w:rsidP="00D363C9">
            <w:pPr>
              <w:jc w:val="center"/>
              <w:rPr>
                <w:rFonts w:asciiTheme="minorHAnsi" w:hAnsiTheme="minorHAnsi" w:cstheme="minorHAnsi"/>
                <w:color w:val="000000"/>
                <w:sz w:val="18"/>
                <w:szCs w:val="18"/>
                <w:lang w:val="en-US" w:eastAsia="en-US"/>
              </w:rPr>
            </w:pPr>
            <w:r w:rsidRPr="007C40BB">
              <w:rPr>
                <w:rFonts w:asciiTheme="minorHAnsi" w:hAnsiTheme="minorHAnsi" w:cstheme="minorHAnsi"/>
                <w:color w:val="000000"/>
                <w:sz w:val="18"/>
                <w:szCs w:val="18"/>
                <w:lang w:val="en-US" w:eastAsia="en-US"/>
              </w:rPr>
              <w:t>21.9%</w:t>
            </w:r>
          </w:p>
        </w:tc>
        <w:tc>
          <w:tcPr>
            <w:tcW w:w="1332" w:type="dxa"/>
            <w:tcBorders>
              <w:top w:val="nil"/>
              <w:left w:val="nil"/>
              <w:bottom w:val="nil"/>
              <w:right w:val="nil"/>
            </w:tcBorders>
            <w:shd w:val="clear" w:color="auto" w:fill="auto"/>
            <w:noWrap/>
            <w:hideMark/>
          </w:tcPr>
          <w:p w14:paraId="438CFAC7" w14:textId="77777777" w:rsidR="00A53818" w:rsidRPr="00E52A05" w:rsidRDefault="00A53818" w:rsidP="00D363C9">
            <w:pPr>
              <w:jc w:val="center"/>
              <w:rPr>
                <w:rFonts w:asciiTheme="minorHAnsi" w:hAnsiTheme="minorHAnsi" w:cstheme="minorHAnsi"/>
                <w:b/>
                <w:color w:val="000000"/>
                <w:sz w:val="18"/>
                <w:szCs w:val="18"/>
                <w:lang w:val="en-US" w:eastAsia="en-US"/>
              </w:rPr>
            </w:pPr>
            <w:r w:rsidRPr="00E52A05">
              <w:rPr>
                <w:rFonts w:asciiTheme="minorHAnsi" w:hAnsiTheme="minorHAnsi" w:cstheme="minorHAnsi"/>
                <w:b/>
                <w:color w:val="000000"/>
                <w:sz w:val="18"/>
                <w:szCs w:val="18"/>
                <w:lang w:val="en-US" w:eastAsia="en-US"/>
              </w:rPr>
              <w:t>18.9%</w:t>
            </w:r>
          </w:p>
        </w:tc>
        <w:tc>
          <w:tcPr>
            <w:tcW w:w="1596" w:type="dxa"/>
            <w:tcBorders>
              <w:top w:val="nil"/>
              <w:left w:val="nil"/>
              <w:bottom w:val="nil"/>
              <w:right w:val="nil"/>
            </w:tcBorders>
            <w:shd w:val="clear" w:color="auto" w:fill="auto"/>
            <w:noWrap/>
            <w:hideMark/>
          </w:tcPr>
          <w:p w14:paraId="127D8B79" w14:textId="77777777" w:rsidR="00A53818" w:rsidRPr="007C40BB" w:rsidRDefault="00A53818" w:rsidP="00D363C9">
            <w:pPr>
              <w:jc w:val="center"/>
              <w:rPr>
                <w:rFonts w:asciiTheme="minorHAnsi" w:hAnsiTheme="minorHAnsi" w:cstheme="minorHAnsi"/>
                <w:color w:val="000000"/>
                <w:sz w:val="18"/>
                <w:szCs w:val="18"/>
                <w:lang w:val="en-US" w:eastAsia="en-US"/>
              </w:rPr>
            </w:pPr>
            <w:r w:rsidRPr="007C40BB">
              <w:rPr>
                <w:rFonts w:asciiTheme="minorHAnsi" w:hAnsiTheme="minorHAnsi" w:cstheme="minorHAnsi"/>
                <w:color w:val="000000"/>
                <w:sz w:val="18"/>
                <w:szCs w:val="18"/>
                <w:lang w:val="en-US" w:eastAsia="en-US"/>
              </w:rPr>
              <w:t>-3.0%</w:t>
            </w:r>
          </w:p>
        </w:tc>
      </w:tr>
      <w:tr w:rsidR="00A53818" w:rsidRPr="007C40BB" w14:paraId="163A4F28" w14:textId="77777777" w:rsidTr="00D363C9">
        <w:trPr>
          <w:trHeight w:val="285"/>
        </w:trPr>
        <w:tc>
          <w:tcPr>
            <w:tcW w:w="4440" w:type="dxa"/>
            <w:tcBorders>
              <w:top w:val="nil"/>
              <w:left w:val="nil"/>
              <w:bottom w:val="nil"/>
              <w:right w:val="nil"/>
            </w:tcBorders>
            <w:shd w:val="clear" w:color="auto" w:fill="auto"/>
            <w:noWrap/>
            <w:hideMark/>
          </w:tcPr>
          <w:p w14:paraId="72CF501B" w14:textId="77777777" w:rsidR="00A53818" w:rsidRPr="007C40BB" w:rsidRDefault="00A53818" w:rsidP="00D363C9">
            <w:pPr>
              <w:rPr>
                <w:rFonts w:asciiTheme="minorHAnsi" w:hAnsiTheme="minorHAnsi" w:cstheme="minorHAnsi"/>
                <w:color w:val="000000"/>
                <w:sz w:val="18"/>
                <w:szCs w:val="18"/>
                <w:lang w:val="en-US" w:eastAsia="en-US"/>
              </w:rPr>
            </w:pPr>
            <w:r w:rsidRPr="007C40BB">
              <w:rPr>
                <w:rFonts w:asciiTheme="minorHAnsi" w:hAnsiTheme="minorHAnsi" w:cstheme="minorHAnsi"/>
                <w:color w:val="000000"/>
                <w:sz w:val="18"/>
                <w:szCs w:val="18"/>
                <w:lang w:val="en-US" w:eastAsia="en-US"/>
              </w:rPr>
              <w:t>Miscellaneous</w:t>
            </w:r>
          </w:p>
        </w:tc>
        <w:tc>
          <w:tcPr>
            <w:tcW w:w="1332" w:type="dxa"/>
            <w:tcBorders>
              <w:top w:val="nil"/>
              <w:left w:val="nil"/>
              <w:bottom w:val="nil"/>
              <w:right w:val="nil"/>
            </w:tcBorders>
            <w:shd w:val="clear" w:color="auto" w:fill="auto"/>
            <w:noWrap/>
            <w:hideMark/>
          </w:tcPr>
          <w:p w14:paraId="1641066F" w14:textId="77777777" w:rsidR="00A53818" w:rsidRPr="007C40BB" w:rsidRDefault="00A53818" w:rsidP="00D363C9">
            <w:pPr>
              <w:jc w:val="center"/>
              <w:rPr>
                <w:rFonts w:asciiTheme="minorHAnsi" w:hAnsiTheme="minorHAnsi" w:cstheme="minorHAnsi"/>
                <w:color w:val="000000"/>
                <w:sz w:val="18"/>
                <w:szCs w:val="18"/>
                <w:lang w:val="en-US" w:eastAsia="en-US"/>
              </w:rPr>
            </w:pPr>
            <w:r w:rsidRPr="007C40BB">
              <w:rPr>
                <w:rFonts w:asciiTheme="minorHAnsi" w:hAnsiTheme="minorHAnsi" w:cstheme="minorHAnsi"/>
                <w:color w:val="000000"/>
                <w:sz w:val="18"/>
                <w:szCs w:val="18"/>
                <w:lang w:val="en-US" w:eastAsia="en-US"/>
              </w:rPr>
              <w:t>49.0%</w:t>
            </w:r>
          </w:p>
        </w:tc>
        <w:tc>
          <w:tcPr>
            <w:tcW w:w="1332" w:type="dxa"/>
            <w:tcBorders>
              <w:top w:val="nil"/>
              <w:left w:val="nil"/>
              <w:bottom w:val="nil"/>
              <w:right w:val="nil"/>
            </w:tcBorders>
            <w:shd w:val="clear" w:color="auto" w:fill="auto"/>
            <w:noWrap/>
            <w:hideMark/>
          </w:tcPr>
          <w:p w14:paraId="57A09615" w14:textId="77777777" w:rsidR="00A53818" w:rsidRPr="00E52A05" w:rsidRDefault="00A53818" w:rsidP="00D363C9">
            <w:pPr>
              <w:jc w:val="center"/>
              <w:rPr>
                <w:rFonts w:asciiTheme="minorHAnsi" w:hAnsiTheme="minorHAnsi" w:cstheme="minorHAnsi"/>
                <w:b/>
                <w:color w:val="000000"/>
                <w:sz w:val="18"/>
                <w:szCs w:val="18"/>
                <w:lang w:val="en-US" w:eastAsia="en-US"/>
              </w:rPr>
            </w:pPr>
            <w:r w:rsidRPr="00E52A05">
              <w:rPr>
                <w:rFonts w:asciiTheme="minorHAnsi" w:hAnsiTheme="minorHAnsi" w:cstheme="minorHAnsi"/>
                <w:b/>
                <w:color w:val="000000"/>
                <w:sz w:val="18"/>
                <w:szCs w:val="18"/>
                <w:lang w:val="en-US" w:eastAsia="en-US"/>
              </w:rPr>
              <w:t>48.3%</w:t>
            </w:r>
          </w:p>
        </w:tc>
        <w:tc>
          <w:tcPr>
            <w:tcW w:w="1596" w:type="dxa"/>
            <w:tcBorders>
              <w:top w:val="nil"/>
              <w:left w:val="nil"/>
              <w:bottom w:val="nil"/>
              <w:right w:val="nil"/>
            </w:tcBorders>
            <w:shd w:val="clear" w:color="auto" w:fill="auto"/>
            <w:noWrap/>
            <w:hideMark/>
          </w:tcPr>
          <w:p w14:paraId="46AA8197" w14:textId="77777777" w:rsidR="00A53818" w:rsidRPr="007C40BB" w:rsidRDefault="00A53818" w:rsidP="00D363C9">
            <w:pPr>
              <w:jc w:val="center"/>
              <w:rPr>
                <w:rFonts w:asciiTheme="minorHAnsi" w:hAnsiTheme="minorHAnsi" w:cstheme="minorHAnsi"/>
                <w:color w:val="000000"/>
                <w:sz w:val="18"/>
                <w:szCs w:val="18"/>
                <w:lang w:val="en-US" w:eastAsia="en-US"/>
              </w:rPr>
            </w:pPr>
            <w:r w:rsidRPr="007C40BB">
              <w:rPr>
                <w:rFonts w:asciiTheme="minorHAnsi" w:hAnsiTheme="minorHAnsi" w:cstheme="minorHAnsi"/>
                <w:color w:val="000000"/>
                <w:sz w:val="18"/>
                <w:szCs w:val="18"/>
                <w:lang w:val="en-US" w:eastAsia="en-US"/>
              </w:rPr>
              <w:t>-0.7%</w:t>
            </w:r>
          </w:p>
        </w:tc>
      </w:tr>
      <w:tr w:rsidR="00A53818" w:rsidRPr="007C40BB" w14:paraId="59381176" w14:textId="77777777" w:rsidTr="00D363C9">
        <w:trPr>
          <w:trHeight w:val="300"/>
        </w:trPr>
        <w:tc>
          <w:tcPr>
            <w:tcW w:w="4440" w:type="dxa"/>
            <w:tcBorders>
              <w:top w:val="single" w:sz="4" w:space="0" w:color="auto"/>
              <w:left w:val="nil"/>
              <w:bottom w:val="single" w:sz="8" w:space="0" w:color="auto"/>
              <w:right w:val="nil"/>
            </w:tcBorders>
            <w:shd w:val="clear" w:color="auto" w:fill="auto"/>
            <w:noWrap/>
            <w:hideMark/>
          </w:tcPr>
          <w:p w14:paraId="55FB6814" w14:textId="77777777" w:rsidR="00A53818" w:rsidRPr="007C40BB" w:rsidRDefault="00A53818" w:rsidP="00D363C9">
            <w:pPr>
              <w:rPr>
                <w:rFonts w:asciiTheme="minorHAnsi" w:hAnsiTheme="minorHAnsi" w:cstheme="minorHAnsi"/>
                <w:color w:val="000000"/>
                <w:sz w:val="18"/>
                <w:szCs w:val="18"/>
                <w:lang w:val="en-US" w:eastAsia="en-US"/>
              </w:rPr>
            </w:pPr>
            <w:r w:rsidRPr="007C40BB">
              <w:rPr>
                <w:rFonts w:asciiTheme="minorHAnsi" w:hAnsiTheme="minorHAnsi" w:cstheme="minorHAnsi"/>
                <w:color w:val="000000"/>
                <w:sz w:val="18"/>
                <w:szCs w:val="18"/>
                <w:lang w:val="en-US" w:eastAsia="en-US"/>
              </w:rPr>
              <w:t>Total</w:t>
            </w:r>
          </w:p>
        </w:tc>
        <w:tc>
          <w:tcPr>
            <w:tcW w:w="1332" w:type="dxa"/>
            <w:tcBorders>
              <w:top w:val="single" w:sz="4" w:space="0" w:color="auto"/>
              <w:left w:val="nil"/>
              <w:bottom w:val="single" w:sz="8" w:space="0" w:color="auto"/>
              <w:right w:val="nil"/>
            </w:tcBorders>
            <w:shd w:val="clear" w:color="auto" w:fill="auto"/>
            <w:noWrap/>
            <w:hideMark/>
          </w:tcPr>
          <w:p w14:paraId="28D4AA19" w14:textId="77777777" w:rsidR="00A53818" w:rsidRPr="007C40BB" w:rsidRDefault="00A53818" w:rsidP="00D363C9">
            <w:pPr>
              <w:jc w:val="center"/>
              <w:rPr>
                <w:rFonts w:asciiTheme="minorHAnsi" w:hAnsiTheme="minorHAnsi" w:cstheme="minorHAnsi"/>
                <w:color w:val="000000"/>
                <w:sz w:val="18"/>
                <w:szCs w:val="18"/>
                <w:lang w:val="en-US" w:eastAsia="en-US"/>
              </w:rPr>
            </w:pPr>
            <w:r w:rsidRPr="007C40BB">
              <w:rPr>
                <w:rFonts w:asciiTheme="minorHAnsi" w:hAnsiTheme="minorHAnsi" w:cstheme="minorHAnsi"/>
                <w:color w:val="000000"/>
                <w:sz w:val="18"/>
                <w:szCs w:val="18"/>
                <w:lang w:val="en-US" w:eastAsia="en-US"/>
              </w:rPr>
              <w:t>100.0%</w:t>
            </w:r>
          </w:p>
        </w:tc>
        <w:tc>
          <w:tcPr>
            <w:tcW w:w="1332" w:type="dxa"/>
            <w:tcBorders>
              <w:top w:val="single" w:sz="4" w:space="0" w:color="auto"/>
              <w:left w:val="nil"/>
              <w:bottom w:val="single" w:sz="8" w:space="0" w:color="auto"/>
              <w:right w:val="nil"/>
            </w:tcBorders>
            <w:shd w:val="clear" w:color="auto" w:fill="auto"/>
            <w:noWrap/>
            <w:hideMark/>
          </w:tcPr>
          <w:p w14:paraId="018E4AF7" w14:textId="77777777" w:rsidR="00A53818" w:rsidRPr="00E52A05" w:rsidRDefault="00A53818" w:rsidP="00D363C9">
            <w:pPr>
              <w:jc w:val="center"/>
              <w:rPr>
                <w:rFonts w:asciiTheme="minorHAnsi" w:hAnsiTheme="minorHAnsi" w:cstheme="minorHAnsi"/>
                <w:b/>
                <w:color w:val="000000"/>
                <w:sz w:val="18"/>
                <w:szCs w:val="18"/>
                <w:lang w:val="en-US" w:eastAsia="en-US"/>
              </w:rPr>
            </w:pPr>
            <w:r w:rsidRPr="00E52A05">
              <w:rPr>
                <w:rFonts w:asciiTheme="minorHAnsi" w:hAnsiTheme="minorHAnsi" w:cstheme="minorHAnsi"/>
                <w:b/>
                <w:color w:val="000000"/>
                <w:sz w:val="18"/>
                <w:szCs w:val="18"/>
                <w:lang w:val="en-US" w:eastAsia="en-US"/>
              </w:rPr>
              <w:t>100.0%</w:t>
            </w:r>
          </w:p>
        </w:tc>
        <w:tc>
          <w:tcPr>
            <w:tcW w:w="1596" w:type="dxa"/>
            <w:tcBorders>
              <w:top w:val="single" w:sz="4" w:space="0" w:color="auto"/>
              <w:left w:val="nil"/>
              <w:bottom w:val="single" w:sz="8" w:space="0" w:color="auto"/>
              <w:right w:val="nil"/>
            </w:tcBorders>
            <w:shd w:val="clear" w:color="auto" w:fill="auto"/>
            <w:noWrap/>
            <w:hideMark/>
          </w:tcPr>
          <w:p w14:paraId="4ADE9CF4" w14:textId="77777777" w:rsidR="00A53818" w:rsidRPr="007C40BB" w:rsidRDefault="00A53818" w:rsidP="00D363C9">
            <w:pPr>
              <w:jc w:val="center"/>
              <w:rPr>
                <w:rFonts w:asciiTheme="minorHAnsi" w:hAnsiTheme="minorHAnsi" w:cstheme="minorHAnsi"/>
                <w:color w:val="000000"/>
                <w:sz w:val="18"/>
                <w:szCs w:val="18"/>
                <w:lang w:val="en-US" w:eastAsia="en-US"/>
              </w:rPr>
            </w:pPr>
            <w:r w:rsidRPr="007C40BB">
              <w:rPr>
                <w:rFonts w:asciiTheme="minorHAnsi" w:hAnsiTheme="minorHAnsi" w:cstheme="minorHAnsi"/>
                <w:color w:val="000000"/>
                <w:sz w:val="18"/>
                <w:szCs w:val="18"/>
                <w:lang w:val="en-US" w:eastAsia="en-US"/>
              </w:rPr>
              <w:t>0.0%</w:t>
            </w:r>
          </w:p>
        </w:tc>
      </w:tr>
    </w:tbl>
    <w:p w14:paraId="4889CFEA" w14:textId="745D51B2" w:rsidR="005D7320" w:rsidRDefault="005D7320" w:rsidP="008C0756">
      <w:pPr>
        <w:pStyle w:val="Heading3"/>
        <w:contextualSpacing w:val="0"/>
        <w:rPr>
          <w:rFonts w:ascii="Georgia" w:hAnsi="Georgia"/>
          <w:color w:val="333132" w:themeColor="text2"/>
          <w:sz w:val="20"/>
          <w:szCs w:val="20"/>
          <w:lang w:eastAsia="en-US"/>
        </w:rPr>
      </w:pPr>
      <w:bookmarkStart w:id="192" w:name="_Toc496857584"/>
      <w:r>
        <w:t>Critical care cost bucket</w:t>
      </w:r>
      <w:bookmarkEnd w:id="192"/>
    </w:p>
    <w:p w14:paraId="69FA2842" w14:textId="77777777" w:rsidR="005D7320" w:rsidRPr="00730AF7" w:rsidRDefault="005D7320" w:rsidP="005D7320">
      <w:pPr>
        <w:pStyle w:val="Intro"/>
      </w:pPr>
      <w:r w:rsidRPr="00730AF7">
        <w:t>Key findings</w:t>
      </w:r>
    </w:p>
    <w:p w14:paraId="7C4E576C" w14:textId="57E5D918" w:rsidR="00E7439E" w:rsidRDefault="006654BA" w:rsidP="005D7320">
      <w:r>
        <w:t>Table 10</w:t>
      </w:r>
      <w:r w:rsidR="00281672">
        <w:t xml:space="preserve"> demonstrates </w:t>
      </w:r>
      <w:r w:rsidR="005D7320" w:rsidRPr="00272A9E">
        <w:t xml:space="preserve">that the highest </w:t>
      </w:r>
      <w:r w:rsidR="008C0756">
        <w:t xml:space="preserve">critical care </w:t>
      </w:r>
      <w:r w:rsidR="005D7320" w:rsidRPr="00272A9E">
        <w:t>cost weigh</w:t>
      </w:r>
      <w:r w:rsidR="008C0756">
        <w:t>t</w:t>
      </w:r>
      <w:r w:rsidR="005D7320" w:rsidRPr="00272A9E">
        <w:t xml:space="preserve"> DRG is </w:t>
      </w:r>
      <w:r w:rsidR="00272A9E">
        <w:t xml:space="preserve">A06A </w:t>
      </w:r>
      <w:r w:rsidR="00272A9E" w:rsidRPr="00272A9E">
        <w:t>Tracheostomy and/or Ventilation &gt;=96hours, Major Complexity</w:t>
      </w:r>
      <w:r w:rsidR="005D7320" w:rsidRPr="00272A9E">
        <w:t xml:space="preserve">. This was ranked number </w:t>
      </w:r>
      <w:r w:rsidR="00272A9E">
        <w:t>one</w:t>
      </w:r>
      <w:r w:rsidR="005D7320" w:rsidRPr="00272A9E">
        <w:t xml:space="preserve"> </w:t>
      </w:r>
      <w:r w:rsidR="00A45C4C">
        <w:t>in Round 18</w:t>
      </w:r>
      <w:r w:rsidR="005D7320" w:rsidRPr="00272A9E">
        <w:t xml:space="preserve"> and is predicted to be ranked number one or two given the fact this is a highly complex and resource intense </w:t>
      </w:r>
      <w:r w:rsidR="0060596E">
        <w:t>DRG</w:t>
      </w:r>
      <w:r w:rsidR="005D7320" w:rsidRPr="00272A9E">
        <w:t>.</w:t>
      </w:r>
    </w:p>
    <w:p w14:paraId="647CB335" w14:textId="7D2FA50E" w:rsidR="00E7439E" w:rsidRDefault="00AA16B4" w:rsidP="005D7320">
      <w:r>
        <w:t xml:space="preserve">As seen in </w:t>
      </w:r>
      <w:r w:rsidR="006654BA">
        <w:t>Table 10</w:t>
      </w:r>
      <w:r w:rsidR="005D7320" w:rsidRPr="00272A9E">
        <w:t xml:space="preserve"> the DRGs listed in the top 20 are </w:t>
      </w:r>
      <w:r w:rsidR="0060596E">
        <w:t xml:space="preserve">expected </w:t>
      </w:r>
      <w:r w:rsidR="005D7320" w:rsidRPr="00272A9E">
        <w:t>to be within this ranking given that they are either mechanical ventilation or neonatal DRGs.</w:t>
      </w:r>
    </w:p>
    <w:p w14:paraId="607DEC26" w14:textId="77777777" w:rsidR="005D7320" w:rsidRPr="00730AF7" w:rsidRDefault="005D7320" w:rsidP="005D7320">
      <w:pPr>
        <w:pStyle w:val="Intro"/>
      </w:pPr>
      <w:r w:rsidRPr="00730AF7">
        <w:t>Consistencies between Round 18 and Round 20</w:t>
      </w:r>
    </w:p>
    <w:p w14:paraId="1EF3E487" w14:textId="41A2D21D" w:rsidR="00E7439E" w:rsidRDefault="005D7320" w:rsidP="005D7320">
      <w:r w:rsidRPr="007C40BB">
        <w:t>DRGs ranked one and two (</w:t>
      </w:r>
      <w:r w:rsidR="00281672">
        <w:t>see</w:t>
      </w:r>
      <w:r w:rsidR="007C40BB" w:rsidRPr="007C40BB">
        <w:t xml:space="preserve"> </w:t>
      </w:r>
      <w:r w:rsidR="009E6DCF">
        <w:t>Figure</w:t>
      </w:r>
      <w:r w:rsidR="00FD56F8">
        <w:t xml:space="preserve"> 6</w:t>
      </w:r>
      <w:r w:rsidRPr="007C40BB">
        <w:t xml:space="preserve">) </w:t>
      </w:r>
      <w:r w:rsidR="007C40BB">
        <w:t>were in the same ranking order as Round 18</w:t>
      </w:r>
      <w:r w:rsidRPr="007C40BB">
        <w:t>.</w:t>
      </w:r>
      <w:r w:rsidR="005F6731">
        <w:t xml:space="preserve"> Both of these DRGs increased their weights</w:t>
      </w:r>
      <w:r w:rsidR="0060596E">
        <w:t>,</w:t>
      </w:r>
      <w:r w:rsidR="005F6731">
        <w:t xml:space="preserve"> by 2.45 and 1.9</w:t>
      </w:r>
      <w:r w:rsidR="00FE4117">
        <w:t>3</w:t>
      </w:r>
      <w:r w:rsidR="0060596E">
        <w:t xml:space="preserve"> respectively</w:t>
      </w:r>
      <w:r w:rsidR="005F6731">
        <w:t xml:space="preserve">.  A reason for this movement could be the participants using their own feeder systems to allocate costs compared to </w:t>
      </w:r>
      <w:r w:rsidR="00D61C39">
        <w:t>in Round</w:t>
      </w:r>
      <w:r w:rsidR="00FE4117">
        <w:t> </w:t>
      </w:r>
      <w:r w:rsidR="00D61C39">
        <w:t>18</w:t>
      </w:r>
      <w:r w:rsidR="005F6731">
        <w:t>.</w:t>
      </w:r>
    </w:p>
    <w:p w14:paraId="0D92D494" w14:textId="077006BE" w:rsidR="00E7439E" w:rsidRDefault="005D7320" w:rsidP="005D7320">
      <w:r w:rsidRPr="005F6731">
        <w:t xml:space="preserve">The </w:t>
      </w:r>
      <w:r w:rsidR="005F6731">
        <w:t xml:space="preserve">greatest </w:t>
      </w:r>
      <w:r w:rsidRPr="005F6731">
        <w:t xml:space="preserve">reduction was </w:t>
      </w:r>
      <w:r w:rsidR="005F6731">
        <w:t xml:space="preserve">Q01A </w:t>
      </w:r>
      <w:r w:rsidR="005F6731" w:rsidRPr="005F6731">
        <w:t xml:space="preserve">Splenectomy, Major Complexity </w:t>
      </w:r>
      <w:r w:rsidR="005F6731">
        <w:t>d</w:t>
      </w:r>
      <w:r w:rsidRPr="005F6731">
        <w:t xml:space="preserve">ecreasing its cost weight by </w:t>
      </w:r>
      <w:r w:rsidR="005F6731">
        <w:t xml:space="preserve">6.18 hence ranking 18 </w:t>
      </w:r>
      <w:r w:rsidR="0060596E">
        <w:t xml:space="preserve">this Round </w:t>
      </w:r>
      <w:r w:rsidR="005F6731">
        <w:t xml:space="preserve">compared to </w:t>
      </w:r>
      <w:r w:rsidR="0060596E">
        <w:t xml:space="preserve">a </w:t>
      </w:r>
      <w:r w:rsidR="003A705D">
        <w:t xml:space="preserve">ranking </w:t>
      </w:r>
      <w:r w:rsidR="0060596E">
        <w:t xml:space="preserve">of </w:t>
      </w:r>
      <w:r w:rsidR="005F6731">
        <w:t>3 in Round 18</w:t>
      </w:r>
      <w:r w:rsidRPr="005F6731">
        <w:t xml:space="preserve">.  The </w:t>
      </w:r>
      <w:r w:rsidR="005F6731">
        <w:t>greatest</w:t>
      </w:r>
      <w:r w:rsidRPr="005F6731">
        <w:t xml:space="preserve"> increase was </w:t>
      </w:r>
      <w:r w:rsidR="005F6731">
        <w:t xml:space="preserve">P64A </w:t>
      </w:r>
      <w:r w:rsidR="00E94858" w:rsidRPr="00E94858">
        <w:t xml:space="preserve">Neonate, </w:t>
      </w:r>
      <w:proofErr w:type="spellStart"/>
      <w:r w:rsidR="00E94858" w:rsidRPr="00E94858">
        <w:t>AdmWt</w:t>
      </w:r>
      <w:proofErr w:type="spellEnd"/>
      <w:r w:rsidR="00E94858" w:rsidRPr="00E94858">
        <w:t xml:space="preserve"> 1250-1499g W/O Significant OR Proc/Vent&gt;=96hrs, Major Complexity </w:t>
      </w:r>
      <w:r w:rsidR="00C416F7">
        <w:t xml:space="preserve">increasing its cost weight by </w:t>
      </w:r>
      <w:r w:rsidR="00E94858">
        <w:t xml:space="preserve">9.81 causing a significant shift in ranking from 167 in Round 18 to </w:t>
      </w:r>
      <w:r w:rsidR="003A705D">
        <w:t xml:space="preserve">ranking </w:t>
      </w:r>
      <w:r w:rsidR="00E94858">
        <w:t xml:space="preserve">4 for </w:t>
      </w:r>
      <w:r w:rsidR="00D61C39">
        <w:t>Round 20</w:t>
      </w:r>
      <w:r w:rsidR="00E94858">
        <w:t>. Th</w:t>
      </w:r>
      <w:r w:rsidRPr="005F6731">
        <w:t xml:space="preserve">ese both relate to increased feeder data being utilised </w:t>
      </w:r>
      <w:r w:rsidR="00E94858">
        <w:t xml:space="preserve">to allocate costs and the </w:t>
      </w:r>
      <w:r w:rsidR="00D61C39">
        <w:t>service weight changes between r</w:t>
      </w:r>
      <w:r w:rsidRPr="005F6731">
        <w:t>ounds.</w:t>
      </w:r>
    </w:p>
    <w:p w14:paraId="2719637B" w14:textId="77777777" w:rsidR="00BF794D" w:rsidRPr="0012767B" w:rsidRDefault="00BF794D" w:rsidP="00BF794D">
      <w:pPr>
        <w:pStyle w:val="Intro"/>
      </w:pPr>
      <w:r>
        <w:t>Differences</w:t>
      </w:r>
      <w:r w:rsidRPr="0012767B">
        <w:t xml:space="preserve"> between Round 18 and Round 20</w:t>
      </w:r>
    </w:p>
    <w:p w14:paraId="31636149" w14:textId="69EB90F0" w:rsidR="00415E27" w:rsidRDefault="00E94858" w:rsidP="00426D7B">
      <w:r w:rsidRPr="00E94858">
        <w:t xml:space="preserve">There are </w:t>
      </w:r>
      <w:r w:rsidR="00880E0D">
        <w:t>six</w:t>
      </w:r>
      <w:r>
        <w:t xml:space="preserve"> new DRGs</w:t>
      </w:r>
      <w:r w:rsidR="00880E0D">
        <w:t xml:space="preserve"> entering the top 20</w:t>
      </w:r>
      <w:r>
        <w:t xml:space="preserve"> (</w:t>
      </w:r>
      <w:r w:rsidR="00281672">
        <w:t xml:space="preserve">see </w:t>
      </w:r>
      <w:r w:rsidR="006654BA">
        <w:t>Table 10</w:t>
      </w:r>
      <w:r>
        <w:t xml:space="preserve">) </w:t>
      </w:r>
      <w:r w:rsidR="00880E0D">
        <w:t xml:space="preserve">this is due to an increase in separations and volume of hospitals submitting data against these specific DRGs for Round 20. </w:t>
      </w:r>
      <w:r w:rsidR="00426D7B">
        <w:t>These were</w:t>
      </w:r>
      <w:r w:rsidR="00415E27">
        <w:t xml:space="preserve">: </w:t>
      </w:r>
    </w:p>
    <w:p w14:paraId="1F3EAB24" w14:textId="77777777" w:rsidR="00415E27" w:rsidRDefault="00426D7B" w:rsidP="006B3A78">
      <w:pPr>
        <w:pStyle w:val="ListBullet"/>
      </w:pPr>
      <w:r>
        <w:t xml:space="preserve">P03B Neonate, </w:t>
      </w:r>
      <w:proofErr w:type="spellStart"/>
      <w:r>
        <w:t>AdmWt</w:t>
      </w:r>
      <w:proofErr w:type="spellEnd"/>
      <w:r>
        <w:t xml:space="preserve"> 1000-1499g W Significant OR Proc/Vent&gt;=96hrs, Minor Complexity, </w:t>
      </w:r>
    </w:p>
    <w:p w14:paraId="027E6B57" w14:textId="77777777" w:rsidR="00415E27" w:rsidRDefault="00426D7B" w:rsidP="006B3A78">
      <w:pPr>
        <w:pStyle w:val="ListBullet"/>
      </w:pPr>
      <w:r>
        <w:t xml:space="preserve">P64A Neonate, </w:t>
      </w:r>
      <w:proofErr w:type="spellStart"/>
      <w:r>
        <w:t>AdmWt</w:t>
      </w:r>
      <w:proofErr w:type="spellEnd"/>
      <w:r>
        <w:t xml:space="preserve"> 1250-1499g W/O Significant OR Proc/Vent&gt;=96hrs, Major Complexity, </w:t>
      </w:r>
    </w:p>
    <w:p w14:paraId="6248DF5D" w14:textId="77777777" w:rsidR="00415E27" w:rsidRDefault="00426D7B" w:rsidP="006B3A78">
      <w:pPr>
        <w:pStyle w:val="ListBullet"/>
      </w:pPr>
      <w:r>
        <w:t xml:space="preserve">P65A Neonate, </w:t>
      </w:r>
      <w:proofErr w:type="spellStart"/>
      <w:r>
        <w:t>AdmWt</w:t>
      </w:r>
      <w:proofErr w:type="spellEnd"/>
      <w:r>
        <w:t xml:space="preserve"> 1500-1999g W/O Significant OR Proc/Vent&gt;=96hrs, Extreme Comp, </w:t>
      </w:r>
    </w:p>
    <w:p w14:paraId="573BCE3E" w14:textId="77777777" w:rsidR="001777E0" w:rsidRDefault="00426D7B" w:rsidP="006B3A78">
      <w:pPr>
        <w:pStyle w:val="ListBullet"/>
      </w:pPr>
      <w:r>
        <w:t xml:space="preserve">P04B Neonate, </w:t>
      </w:r>
      <w:proofErr w:type="spellStart"/>
      <w:r>
        <w:t>AdmWt</w:t>
      </w:r>
      <w:proofErr w:type="spellEnd"/>
      <w:r>
        <w:t xml:space="preserve"> 1500-1999g W Significant OR Proc/Vent&gt;=96hrs, Minor Complexity, </w:t>
      </w:r>
    </w:p>
    <w:p w14:paraId="566F57FF" w14:textId="49F85759" w:rsidR="00415E27" w:rsidRDefault="00426D7B" w:rsidP="006B3A78">
      <w:pPr>
        <w:pStyle w:val="ListBullet"/>
      </w:pPr>
      <w:r>
        <w:t xml:space="preserve">P05B Neonate, </w:t>
      </w:r>
      <w:proofErr w:type="spellStart"/>
      <w:r>
        <w:t>AdmWt</w:t>
      </w:r>
      <w:proofErr w:type="spellEnd"/>
      <w:r>
        <w:t xml:space="preserve"> 2000-2499g W Significant OR Proc/Vent&gt;=96hrs, Minor Complexity, and </w:t>
      </w:r>
    </w:p>
    <w:p w14:paraId="54F1FAD2" w14:textId="518B0018" w:rsidR="00E7439E" w:rsidRDefault="00426D7B" w:rsidP="006B3A78">
      <w:pPr>
        <w:pStyle w:val="ListBullet"/>
      </w:pPr>
      <w:r>
        <w:t>B42A Nervous System Disorders W Ventilator Support, Major Complexity.</w:t>
      </w:r>
    </w:p>
    <w:p w14:paraId="623027F3" w14:textId="34BF971D" w:rsidR="00E7439E" w:rsidRDefault="00426D7B" w:rsidP="00426D7B">
      <w:r>
        <w:t>The reason for these being ranked in th</w:t>
      </w:r>
      <w:r w:rsidR="001777E0">
        <w:t>is Round’s</w:t>
      </w:r>
      <w:r>
        <w:t xml:space="preserve"> top 20 is predominately due to the </w:t>
      </w:r>
      <w:r w:rsidR="001777E0">
        <w:t xml:space="preserve">changes in </w:t>
      </w:r>
      <w:r w:rsidR="00880E0D">
        <w:t xml:space="preserve">the sample of hospitals which submitted data </w:t>
      </w:r>
      <w:r>
        <w:t>and the activity volume for the masked DRGs.</w:t>
      </w:r>
    </w:p>
    <w:p w14:paraId="701CD4B9" w14:textId="30756277" w:rsidR="001B1824" w:rsidRDefault="001B1824" w:rsidP="001B1824">
      <w:pPr>
        <w:pStyle w:val="Tableoffigures3"/>
      </w:pPr>
      <w:bookmarkStart w:id="193" w:name="_Toc497750038"/>
      <w:proofErr w:type="gramStart"/>
      <w:r>
        <w:lastRenderedPageBreak/>
        <w:t>Figure 6</w:t>
      </w:r>
      <w:r w:rsidR="008C0756">
        <w:t>.</w:t>
      </w:r>
      <w:proofErr w:type="gramEnd"/>
      <w:r>
        <w:t xml:space="preserve"> Top 20 DRG for critical care cost bucket</w:t>
      </w:r>
      <w:bookmarkEnd w:id="193"/>
    </w:p>
    <w:p w14:paraId="1D19AF66" w14:textId="77777777" w:rsidR="001B1824" w:rsidRDefault="001B1824" w:rsidP="001B1824">
      <w:r>
        <w:rPr>
          <w:noProof/>
        </w:rPr>
        <w:drawing>
          <wp:inline distT="0" distB="0" distL="0" distR="0" wp14:anchorId="00C86FC4" wp14:editId="3861A46C">
            <wp:extent cx="5998210" cy="3705225"/>
            <wp:effectExtent l="0" t="0" r="21590" b="9525"/>
            <wp:docPr id="6" name="Chart 6" descr="This figure shows the 20 diagnosis related groups that have the highest critical care cost weight in Round 20 with associated Round 18 valu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D6AAEFF" w14:textId="77777777" w:rsidR="001B1824" w:rsidRDefault="001B1824" w:rsidP="001B1824">
      <w:pPr>
        <w:rPr>
          <w:snapToGrid w:val="0"/>
        </w:rPr>
      </w:pPr>
      <w:r w:rsidRPr="00B95C7E">
        <w:rPr>
          <w:b/>
          <w:snapToGrid w:val="0"/>
        </w:rPr>
        <w:t>Note:</w:t>
      </w:r>
      <w:r w:rsidRPr="00B95C7E">
        <w:rPr>
          <w:snapToGrid w:val="0"/>
        </w:rPr>
        <w:t xml:space="preserve"> when a Round 18 bar is missing from the chart, this is because that DRG was masked in Round 18 due to having less than 5 separations or having less than 3 hospitals with that DRG.</w:t>
      </w:r>
      <w:r w:rsidRPr="00426D7B">
        <w:rPr>
          <w:noProof/>
          <w:lang w:val="en-US" w:eastAsia="en-US"/>
        </w:rPr>
        <w:t xml:space="preserve"> </w:t>
      </w:r>
    </w:p>
    <w:p w14:paraId="79EFE2DB" w14:textId="401C23CF" w:rsidR="005D7320" w:rsidRPr="00E94858" w:rsidRDefault="005D7320" w:rsidP="005D7320"/>
    <w:p w14:paraId="561D24CD" w14:textId="77777777" w:rsidR="00272A9E" w:rsidRDefault="00272A9E" w:rsidP="00E94858">
      <w:pPr>
        <w:sectPr w:rsidR="00272A9E" w:rsidSect="001070A4">
          <w:pgSz w:w="11907" w:h="16840" w:code="9"/>
          <w:pgMar w:top="1843" w:right="1021" w:bottom="2041" w:left="1440" w:header="680" w:footer="510" w:gutter="0"/>
          <w:cols w:space="708"/>
          <w:docGrid w:linePitch="360"/>
        </w:sectPr>
      </w:pPr>
    </w:p>
    <w:p w14:paraId="403B8381" w14:textId="12968495" w:rsidR="00272A9E" w:rsidRDefault="006654BA" w:rsidP="006F21D0">
      <w:pPr>
        <w:pStyle w:val="TableHeadings3"/>
      </w:pPr>
      <w:bookmarkStart w:id="194" w:name="_Toc497488036"/>
      <w:bookmarkStart w:id="195" w:name="_Toc497750024"/>
      <w:proofErr w:type="gramStart"/>
      <w:r>
        <w:lastRenderedPageBreak/>
        <w:t>Table 10</w:t>
      </w:r>
      <w:r w:rsidR="008C0756">
        <w:t>.</w:t>
      </w:r>
      <w:proofErr w:type="gramEnd"/>
      <w:r w:rsidR="005D7320">
        <w:t xml:space="preserve"> Top 20 DRG for critical care cost bucket</w:t>
      </w:r>
      <w:bookmarkEnd w:id="194"/>
      <w:bookmarkEnd w:id="195"/>
    </w:p>
    <w:tbl>
      <w:tblPr>
        <w:tblStyle w:val="Tables-APBase"/>
        <w:tblW w:w="148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shows the 20 diagnosis related groups that have the highest critical care cost weight in Round 20. It has column headings of Top 20 Round 18, Rank Round 20, DRG, DRG Description, Critical care cost weight (a), No. of weighted seps (b), Overall cost weight (c), ALoS (days) (d), OR and SPS (% DRG total cost), Critical Care (% DRG total cost), Prosthesis (% DRG total cost), Miscellaneous (% DRG total cost), Round 18 critical care cost weight and Round 18 rank."/>
      </w:tblPr>
      <w:tblGrid>
        <w:gridCol w:w="709"/>
        <w:gridCol w:w="660"/>
        <w:gridCol w:w="574"/>
        <w:gridCol w:w="5571"/>
        <w:gridCol w:w="691"/>
        <w:gridCol w:w="839"/>
        <w:gridCol w:w="691"/>
        <w:gridCol w:w="655"/>
        <w:gridCol w:w="666"/>
        <w:gridCol w:w="691"/>
        <w:gridCol w:w="706"/>
        <w:gridCol w:w="730"/>
        <w:gridCol w:w="969"/>
        <w:gridCol w:w="660"/>
      </w:tblGrid>
      <w:tr w:rsidR="00272A9E" w:rsidRPr="00164B39" w14:paraId="159FD878" w14:textId="77777777" w:rsidTr="005C6364">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709" w:type="dxa"/>
            <w:vMerge w:val="restart"/>
            <w:tcBorders>
              <w:top w:val="single" w:sz="4" w:space="0" w:color="808080" w:themeColor="background1" w:themeShade="80"/>
              <w:bottom w:val="single" w:sz="4" w:space="0" w:color="808080" w:themeColor="background1" w:themeShade="80"/>
            </w:tcBorders>
            <w:vAlign w:val="top"/>
            <w:hideMark/>
          </w:tcPr>
          <w:p w14:paraId="1D94B47C" w14:textId="5DD9A536" w:rsidR="00272A9E" w:rsidRPr="00164B39" w:rsidRDefault="00272A9E" w:rsidP="00CD460D">
            <w:pPr>
              <w:spacing w:after="0"/>
              <w:rPr>
                <w:rFonts w:asciiTheme="minorHAnsi" w:hAnsiTheme="minorHAnsi" w:cstheme="minorHAnsi"/>
                <w:b/>
                <w:bCs/>
                <w:sz w:val="14"/>
                <w:szCs w:val="14"/>
                <w:lang w:val="en-US" w:eastAsia="en-US"/>
              </w:rPr>
            </w:pPr>
            <w:r w:rsidRPr="00164B39">
              <w:rPr>
                <w:rFonts w:asciiTheme="minorHAnsi" w:hAnsiTheme="minorHAnsi" w:cstheme="minorHAnsi"/>
                <w:b/>
                <w:bCs/>
                <w:sz w:val="14"/>
                <w:szCs w:val="14"/>
                <w:lang w:val="en-US" w:eastAsia="en-US"/>
              </w:rPr>
              <w:t>Top 20 Round 18</w:t>
            </w:r>
          </w:p>
        </w:tc>
        <w:tc>
          <w:tcPr>
            <w:tcW w:w="660" w:type="dxa"/>
            <w:vMerge w:val="restart"/>
            <w:tcBorders>
              <w:top w:val="single" w:sz="4" w:space="0" w:color="808080" w:themeColor="background1" w:themeShade="80"/>
              <w:bottom w:val="single" w:sz="4" w:space="0" w:color="808080" w:themeColor="background1" w:themeShade="80"/>
            </w:tcBorders>
            <w:vAlign w:val="top"/>
            <w:hideMark/>
          </w:tcPr>
          <w:p w14:paraId="6CDCAAF2" w14:textId="77777777" w:rsidR="00272A9E" w:rsidRPr="00164B39" w:rsidRDefault="00272A9E" w:rsidP="00CD460D">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4"/>
                <w:szCs w:val="14"/>
                <w:lang w:val="en-US" w:eastAsia="en-US"/>
              </w:rPr>
            </w:pPr>
            <w:r w:rsidRPr="00164B39">
              <w:rPr>
                <w:rFonts w:asciiTheme="minorHAnsi" w:hAnsiTheme="minorHAnsi" w:cstheme="minorHAnsi"/>
                <w:b/>
                <w:bCs/>
                <w:sz w:val="14"/>
                <w:szCs w:val="14"/>
                <w:lang w:val="en-US" w:eastAsia="en-US"/>
              </w:rPr>
              <w:t>Rank Round 20</w:t>
            </w:r>
          </w:p>
        </w:tc>
        <w:tc>
          <w:tcPr>
            <w:tcW w:w="574" w:type="dxa"/>
            <w:vMerge w:val="restart"/>
            <w:tcBorders>
              <w:top w:val="single" w:sz="4" w:space="0" w:color="808080" w:themeColor="background1" w:themeShade="80"/>
              <w:bottom w:val="single" w:sz="4" w:space="0" w:color="808080" w:themeColor="background1" w:themeShade="80"/>
            </w:tcBorders>
            <w:vAlign w:val="top"/>
            <w:hideMark/>
          </w:tcPr>
          <w:p w14:paraId="68970511" w14:textId="62F31839" w:rsidR="00272A9E" w:rsidRPr="00164B39" w:rsidRDefault="00272A9E" w:rsidP="00CD460D">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4"/>
                <w:szCs w:val="14"/>
                <w:lang w:val="en-US" w:eastAsia="en-US"/>
              </w:rPr>
            </w:pPr>
            <w:r w:rsidRPr="00164B39">
              <w:rPr>
                <w:rFonts w:asciiTheme="minorHAnsi" w:hAnsiTheme="minorHAnsi" w:cstheme="minorHAnsi"/>
                <w:b/>
                <w:bCs/>
                <w:sz w:val="14"/>
                <w:szCs w:val="14"/>
                <w:lang w:val="en-US" w:eastAsia="en-US"/>
              </w:rPr>
              <w:t>DRG</w:t>
            </w:r>
          </w:p>
        </w:tc>
        <w:tc>
          <w:tcPr>
            <w:tcW w:w="5571" w:type="dxa"/>
            <w:vMerge w:val="restart"/>
            <w:tcBorders>
              <w:top w:val="single" w:sz="4" w:space="0" w:color="808080" w:themeColor="background1" w:themeShade="80"/>
              <w:bottom w:val="single" w:sz="4" w:space="0" w:color="808080" w:themeColor="background1" w:themeShade="80"/>
            </w:tcBorders>
            <w:noWrap/>
            <w:vAlign w:val="top"/>
            <w:hideMark/>
          </w:tcPr>
          <w:p w14:paraId="04AA4076" w14:textId="22F51EA5" w:rsidR="00272A9E" w:rsidRPr="00164B39" w:rsidRDefault="00272A9E" w:rsidP="00CD460D">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4"/>
                <w:szCs w:val="14"/>
                <w:lang w:val="en-US" w:eastAsia="en-US"/>
              </w:rPr>
            </w:pPr>
            <w:r w:rsidRPr="00164B39">
              <w:rPr>
                <w:rFonts w:asciiTheme="minorHAnsi" w:hAnsiTheme="minorHAnsi" w:cstheme="minorHAnsi"/>
                <w:b/>
                <w:bCs/>
                <w:sz w:val="14"/>
                <w:szCs w:val="14"/>
                <w:lang w:val="en-US" w:eastAsia="en-US"/>
              </w:rPr>
              <w:t>DRG Description</w:t>
            </w:r>
          </w:p>
        </w:tc>
        <w:tc>
          <w:tcPr>
            <w:tcW w:w="691" w:type="dxa"/>
            <w:vMerge w:val="restart"/>
            <w:tcBorders>
              <w:top w:val="single" w:sz="4" w:space="0" w:color="808080" w:themeColor="background1" w:themeShade="80"/>
              <w:bottom w:val="single" w:sz="4" w:space="0" w:color="808080" w:themeColor="background1" w:themeShade="80"/>
            </w:tcBorders>
            <w:vAlign w:val="top"/>
            <w:hideMark/>
          </w:tcPr>
          <w:p w14:paraId="127795D5" w14:textId="77777777" w:rsidR="00272A9E" w:rsidRPr="00164B39" w:rsidRDefault="00272A9E" w:rsidP="00CD460D">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4"/>
                <w:szCs w:val="14"/>
                <w:lang w:val="en-US" w:eastAsia="en-US"/>
              </w:rPr>
            </w:pPr>
            <w:r w:rsidRPr="00164B39">
              <w:rPr>
                <w:rFonts w:asciiTheme="minorHAnsi" w:hAnsiTheme="minorHAnsi" w:cstheme="minorHAnsi"/>
                <w:b/>
                <w:bCs/>
                <w:sz w:val="14"/>
                <w:szCs w:val="14"/>
                <w:lang w:val="en-US" w:eastAsia="en-US"/>
              </w:rPr>
              <w:t>Critical care cost weight</w:t>
            </w:r>
            <w:r w:rsidRPr="00164B39">
              <w:rPr>
                <w:rFonts w:asciiTheme="minorHAnsi" w:hAnsiTheme="minorHAnsi" w:cstheme="minorHAnsi"/>
                <w:b/>
                <w:bCs/>
                <w:sz w:val="14"/>
                <w:szCs w:val="14"/>
                <w:lang w:val="en-US" w:eastAsia="en-US"/>
              </w:rPr>
              <w:br/>
              <w:t>(a)</w:t>
            </w:r>
          </w:p>
        </w:tc>
        <w:tc>
          <w:tcPr>
            <w:tcW w:w="839" w:type="dxa"/>
            <w:vMerge w:val="restart"/>
            <w:tcBorders>
              <w:top w:val="single" w:sz="4" w:space="0" w:color="808080" w:themeColor="background1" w:themeShade="80"/>
              <w:bottom w:val="single" w:sz="4" w:space="0" w:color="808080" w:themeColor="background1" w:themeShade="80"/>
            </w:tcBorders>
            <w:vAlign w:val="top"/>
            <w:hideMark/>
          </w:tcPr>
          <w:p w14:paraId="10BBD13E" w14:textId="77777777" w:rsidR="00272A9E" w:rsidRPr="00164B39" w:rsidRDefault="00272A9E" w:rsidP="00CD460D">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4"/>
                <w:szCs w:val="14"/>
                <w:lang w:val="en-US" w:eastAsia="en-US"/>
              </w:rPr>
            </w:pPr>
            <w:r w:rsidRPr="00164B39">
              <w:rPr>
                <w:rFonts w:asciiTheme="minorHAnsi" w:hAnsiTheme="minorHAnsi" w:cstheme="minorHAnsi"/>
                <w:b/>
                <w:bCs/>
                <w:sz w:val="14"/>
                <w:szCs w:val="14"/>
                <w:lang w:val="en-US" w:eastAsia="en-US"/>
              </w:rPr>
              <w:t xml:space="preserve">No. of weighted </w:t>
            </w:r>
            <w:proofErr w:type="spellStart"/>
            <w:r w:rsidRPr="00164B39">
              <w:rPr>
                <w:rFonts w:asciiTheme="minorHAnsi" w:hAnsiTheme="minorHAnsi" w:cstheme="minorHAnsi"/>
                <w:b/>
                <w:bCs/>
                <w:sz w:val="14"/>
                <w:szCs w:val="14"/>
                <w:lang w:val="en-US" w:eastAsia="en-US"/>
              </w:rPr>
              <w:t>seps</w:t>
            </w:r>
            <w:proofErr w:type="spellEnd"/>
            <w:r w:rsidRPr="00164B39">
              <w:rPr>
                <w:rFonts w:asciiTheme="minorHAnsi" w:hAnsiTheme="minorHAnsi" w:cstheme="minorHAnsi"/>
                <w:b/>
                <w:bCs/>
                <w:sz w:val="14"/>
                <w:szCs w:val="14"/>
                <w:lang w:val="en-US" w:eastAsia="en-US"/>
              </w:rPr>
              <w:br/>
              <w:t>(b)</w:t>
            </w:r>
          </w:p>
        </w:tc>
        <w:tc>
          <w:tcPr>
            <w:tcW w:w="691" w:type="dxa"/>
            <w:vMerge w:val="restart"/>
            <w:tcBorders>
              <w:top w:val="single" w:sz="4" w:space="0" w:color="808080" w:themeColor="background1" w:themeShade="80"/>
              <w:bottom w:val="single" w:sz="4" w:space="0" w:color="808080" w:themeColor="background1" w:themeShade="80"/>
            </w:tcBorders>
            <w:vAlign w:val="top"/>
            <w:hideMark/>
          </w:tcPr>
          <w:p w14:paraId="1056E83B" w14:textId="77777777" w:rsidR="00272A9E" w:rsidRPr="00164B39" w:rsidRDefault="00272A9E" w:rsidP="00CD460D">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4"/>
                <w:szCs w:val="14"/>
                <w:lang w:val="en-US" w:eastAsia="en-US"/>
              </w:rPr>
            </w:pPr>
            <w:r w:rsidRPr="00164B39">
              <w:rPr>
                <w:rFonts w:asciiTheme="minorHAnsi" w:hAnsiTheme="minorHAnsi" w:cstheme="minorHAnsi"/>
                <w:b/>
                <w:bCs/>
                <w:sz w:val="14"/>
                <w:szCs w:val="14"/>
                <w:lang w:val="en-US" w:eastAsia="en-US"/>
              </w:rPr>
              <w:t>Overall cost weight</w:t>
            </w:r>
            <w:r w:rsidRPr="00164B39">
              <w:rPr>
                <w:rFonts w:asciiTheme="minorHAnsi" w:hAnsiTheme="minorHAnsi" w:cstheme="minorHAnsi"/>
                <w:b/>
                <w:bCs/>
                <w:sz w:val="14"/>
                <w:szCs w:val="14"/>
                <w:lang w:val="en-US" w:eastAsia="en-US"/>
              </w:rPr>
              <w:br/>
              <w:t>(c)</w:t>
            </w:r>
          </w:p>
        </w:tc>
        <w:tc>
          <w:tcPr>
            <w:tcW w:w="655" w:type="dxa"/>
            <w:vMerge w:val="restart"/>
            <w:tcBorders>
              <w:top w:val="single" w:sz="4" w:space="0" w:color="808080" w:themeColor="background1" w:themeShade="80"/>
              <w:bottom w:val="single" w:sz="4" w:space="0" w:color="808080" w:themeColor="background1" w:themeShade="80"/>
            </w:tcBorders>
            <w:vAlign w:val="top"/>
            <w:hideMark/>
          </w:tcPr>
          <w:p w14:paraId="7117D574" w14:textId="77777777" w:rsidR="00272A9E" w:rsidRPr="00164B39" w:rsidRDefault="00272A9E" w:rsidP="00CD460D">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4"/>
                <w:szCs w:val="14"/>
                <w:lang w:val="en-US" w:eastAsia="en-US"/>
              </w:rPr>
            </w:pPr>
            <w:proofErr w:type="spellStart"/>
            <w:r w:rsidRPr="00164B39">
              <w:rPr>
                <w:rFonts w:asciiTheme="minorHAnsi" w:hAnsiTheme="minorHAnsi" w:cstheme="minorHAnsi"/>
                <w:b/>
                <w:bCs/>
                <w:sz w:val="14"/>
                <w:szCs w:val="14"/>
                <w:lang w:val="en-US" w:eastAsia="en-US"/>
              </w:rPr>
              <w:t>ALoS</w:t>
            </w:r>
            <w:proofErr w:type="spellEnd"/>
            <w:r w:rsidRPr="00164B39">
              <w:rPr>
                <w:rFonts w:asciiTheme="minorHAnsi" w:hAnsiTheme="minorHAnsi" w:cstheme="minorHAnsi"/>
                <w:b/>
                <w:bCs/>
                <w:sz w:val="14"/>
                <w:szCs w:val="14"/>
                <w:lang w:val="en-US" w:eastAsia="en-US"/>
              </w:rPr>
              <w:t xml:space="preserve"> (days)</w:t>
            </w:r>
            <w:r w:rsidRPr="00164B39">
              <w:rPr>
                <w:rFonts w:asciiTheme="minorHAnsi" w:hAnsiTheme="minorHAnsi" w:cstheme="minorHAnsi"/>
                <w:b/>
                <w:bCs/>
                <w:sz w:val="14"/>
                <w:szCs w:val="14"/>
                <w:lang w:val="en-US" w:eastAsia="en-US"/>
              </w:rPr>
              <w:br/>
              <w:t>(d)</w:t>
            </w:r>
          </w:p>
        </w:tc>
        <w:tc>
          <w:tcPr>
            <w:tcW w:w="2793" w:type="dxa"/>
            <w:gridSpan w:val="4"/>
            <w:tcBorders>
              <w:top w:val="single" w:sz="4" w:space="0" w:color="808080" w:themeColor="background1" w:themeShade="80"/>
              <w:bottom w:val="single" w:sz="4" w:space="0" w:color="808080" w:themeColor="background1" w:themeShade="80"/>
            </w:tcBorders>
            <w:noWrap/>
            <w:vAlign w:val="top"/>
            <w:hideMark/>
          </w:tcPr>
          <w:p w14:paraId="3A64C1EC" w14:textId="206EB667" w:rsidR="00272A9E" w:rsidRPr="00164B39" w:rsidRDefault="00D61C39" w:rsidP="00CD460D">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4"/>
                <w:szCs w:val="14"/>
                <w:lang w:val="en-US" w:eastAsia="en-US"/>
              </w:rPr>
            </w:pPr>
            <w:r w:rsidRPr="00164B39">
              <w:rPr>
                <w:rFonts w:asciiTheme="minorHAnsi" w:hAnsiTheme="minorHAnsi" w:cstheme="minorHAnsi"/>
                <w:b/>
                <w:bCs/>
                <w:sz w:val="14"/>
                <w:szCs w:val="14"/>
                <w:lang w:val="en-US" w:eastAsia="en-US"/>
              </w:rPr>
              <w:t xml:space="preserve">% of </w:t>
            </w:r>
            <w:r w:rsidR="00272A9E" w:rsidRPr="00164B39">
              <w:rPr>
                <w:rFonts w:asciiTheme="minorHAnsi" w:hAnsiTheme="minorHAnsi" w:cstheme="minorHAnsi"/>
                <w:b/>
                <w:bCs/>
                <w:sz w:val="14"/>
                <w:szCs w:val="14"/>
                <w:lang w:val="en-US" w:eastAsia="en-US"/>
              </w:rPr>
              <w:t>DRG total cost</w:t>
            </w:r>
          </w:p>
        </w:tc>
        <w:tc>
          <w:tcPr>
            <w:tcW w:w="969" w:type="dxa"/>
            <w:vMerge w:val="restart"/>
            <w:tcBorders>
              <w:top w:val="single" w:sz="4" w:space="0" w:color="808080" w:themeColor="background1" w:themeShade="80"/>
              <w:bottom w:val="single" w:sz="4" w:space="0" w:color="808080" w:themeColor="background1" w:themeShade="80"/>
            </w:tcBorders>
            <w:vAlign w:val="top"/>
            <w:hideMark/>
          </w:tcPr>
          <w:p w14:paraId="46703B19" w14:textId="77777777" w:rsidR="00272A9E" w:rsidRPr="00164B39" w:rsidRDefault="00272A9E" w:rsidP="00CD460D">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4"/>
                <w:szCs w:val="14"/>
                <w:lang w:val="en-US" w:eastAsia="en-US"/>
              </w:rPr>
            </w:pPr>
            <w:r w:rsidRPr="00164B39">
              <w:rPr>
                <w:rFonts w:asciiTheme="minorHAnsi" w:hAnsiTheme="minorHAnsi" w:cstheme="minorHAnsi"/>
                <w:b/>
                <w:bCs/>
                <w:sz w:val="14"/>
                <w:szCs w:val="14"/>
                <w:lang w:val="en-US" w:eastAsia="en-US"/>
              </w:rPr>
              <w:t>Round 18 critical care cost weight</w:t>
            </w:r>
          </w:p>
        </w:tc>
        <w:tc>
          <w:tcPr>
            <w:tcW w:w="660" w:type="dxa"/>
            <w:vMerge w:val="restart"/>
            <w:tcBorders>
              <w:top w:val="single" w:sz="4" w:space="0" w:color="808080" w:themeColor="background1" w:themeShade="80"/>
              <w:bottom w:val="single" w:sz="4" w:space="0" w:color="808080" w:themeColor="background1" w:themeShade="80"/>
            </w:tcBorders>
            <w:vAlign w:val="top"/>
            <w:hideMark/>
          </w:tcPr>
          <w:p w14:paraId="5A98090B" w14:textId="77777777" w:rsidR="00272A9E" w:rsidRPr="00164B39" w:rsidRDefault="00272A9E" w:rsidP="00CD460D">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4"/>
                <w:szCs w:val="14"/>
                <w:lang w:val="en-US" w:eastAsia="en-US"/>
              </w:rPr>
            </w:pPr>
            <w:r w:rsidRPr="00164B39">
              <w:rPr>
                <w:rFonts w:asciiTheme="minorHAnsi" w:hAnsiTheme="minorHAnsi" w:cstheme="minorHAnsi"/>
                <w:b/>
                <w:bCs/>
                <w:sz w:val="14"/>
                <w:szCs w:val="14"/>
                <w:lang w:val="en-US" w:eastAsia="en-US"/>
              </w:rPr>
              <w:t>Rank Round 18</w:t>
            </w:r>
          </w:p>
        </w:tc>
      </w:tr>
      <w:tr w:rsidR="00272A9E" w:rsidRPr="00164B39" w14:paraId="1F4B7DC8" w14:textId="77777777" w:rsidTr="006B3A78">
        <w:trPr>
          <w:trHeight w:val="301"/>
        </w:trPr>
        <w:tc>
          <w:tcPr>
            <w:tcW w:w="709" w:type="dxa"/>
            <w:vMerge/>
            <w:tcBorders>
              <w:top w:val="single" w:sz="4" w:space="0" w:color="808080" w:themeColor="background1" w:themeShade="80"/>
            </w:tcBorders>
            <w:hideMark/>
          </w:tcPr>
          <w:p w14:paraId="30403588"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660" w:type="dxa"/>
            <w:vMerge/>
            <w:tcBorders>
              <w:top w:val="single" w:sz="4" w:space="0" w:color="808080" w:themeColor="background1" w:themeShade="80"/>
            </w:tcBorders>
            <w:hideMark/>
          </w:tcPr>
          <w:p w14:paraId="2A527641"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574" w:type="dxa"/>
            <w:vMerge/>
            <w:tcBorders>
              <w:top w:val="single" w:sz="4" w:space="0" w:color="808080" w:themeColor="background1" w:themeShade="80"/>
            </w:tcBorders>
            <w:hideMark/>
          </w:tcPr>
          <w:p w14:paraId="388F58E8"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5571" w:type="dxa"/>
            <w:vMerge/>
            <w:tcBorders>
              <w:top w:val="single" w:sz="4" w:space="0" w:color="808080" w:themeColor="background1" w:themeShade="80"/>
            </w:tcBorders>
            <w:hideMark/>
          </w:tcPr>
          <w:p w14:paraId="6E528615"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691" w:type="dxa"/>
            <w:vMerge/>
            <w:tcBorders>
              <w:top w:val="single" w:sz="4" w:space="0" w:color="808080" w:themeColor="background1" w:themeShade="80"/>
            </w:tcBorders>
            <w:hideMark/>
          </w:tcPr>
          <w:p w14:paraId="6EEED09B"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839" w:type="dxa"/>
            <w:vMerge/>
            <w:tcBorders>
              <w:top w:val="single" w:sz="4" w:space="0" w:color="808080" w:themeColor="background1" w:themeShade="80"/>
            </w:tcBorders>
            <w:hideMark/>
          </w:tcPr>
          <w:p w14:paraId="5AC5C99C"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691" w:type="dxa"/>
            <w:vMerge/>
            <w:tcBorders>
              <w:top w:val="single" w:sz="4" w:space="0" w:color="808080" w:themeColor="background1" w:themeShade="80"/>
            </w:tcBorders>
            <w:hideMark/>
          </w:tcPr>
          <w:p w14:paraId="70D456E3"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655" w:type="dxa"/>
            <w:vMerge/>
            <w:tcBorders>
              <w:top w:val="single" w:sz="4" w:space="0" w:color="808080" w:themeColor="background1" w:themeShade="80"/>
            </w:tcBorders>
            <w:hideMark/>
          </w:tcPr>
          <w:p w14:paraId="1D162DEA"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666" w:type="dxa"/>
            <w:vMerge w:val="restart"/>
            <w:tcBorders>
              <w:top w:val="single" w:sz="4" w:space="0" w:color="808080" w:themeColor="background1" w:themeShade="80"/>
            </w:tcBorders>
            <w:hideMark/>
          </w:tcPr>
          <w:p w14:paraId="76EC2FC3" w14:textId="77777777" w:rsidR="00272A9E" w:rsidRPr="00164B39" w:rsidRDefault="00272A9E" w:rsidP="00272A9E">
            <w:pPr>
              <w:jc w:val="center"/>
              <w:rPr>
                <w:rFonts w:asciiTheme="minorHAnsi" w:hAnsiTheme="minorHAnsi" w:cstheme="minorHAnsi"/>
                <w:b/>
                <w:bCs/>
                <w:sz w:val="14"/>
                <w:szCs w:val="14"/>
                <w:lang w:val="en-US" w:eastAsia="en-US"/>
              </w:rPr>
            </w:pPr>
            <w:r w:rsidRPr="00164B39">
              <w:rPr>
                <w:rFonts w:asciiTheme="minorHAnsi" w:hAnsiTheme="minorHAnsi" w:cstheme="minorHAnsi"/>
                <w:b/>
                <w:bCs/>
                <w:sz w:val="14"/>
                <w:szCs w:val="14"/>
                <w:lang w:val="en-US" w:eastAsia="en-US"/>
              </w:rPr>
              <w:t>OR and SPS</w:t>
            </w:r>
          </w:p>
        </w:tc>
        <w:tc>
          <w:tcPr>
            <w:tcW w:w="691" w:type="dxa"/>
            <w:vMerge w:val="restart"/>
            <w:tcBorders>
              <w:top w:val="single" w:sz="4" w:space="0" w:color="808080" w:themeColor="background1" w:themeShade="80"/>
            </w:tcBorders>
            <w:hideMark/>
          </w:tcPr>
          <w:p w14:paraId="5DF15029" w14:textId="77777777" w:rsidR="00272A9E" w:rsidRPr="00164B39" w:rsidRDefault="00272A9E" w:rsidP="00272A9E">
            <w:pPr>
              <w:jc w:val="center"/>
              <w:rPr>
                <w:rFonts w:asciiTheme="minorHAnsi" w:hAnsiTheme="minorHAnsi" w:cstheme="minorHAnsi"/>
                <w:b/>
                <w:bCs/>
                <w:sz w:val="14"/>
                <w:szCs w:val="14"/>
                <w:lang w:val="en-US" w:eastAsia="en-US"/>
              </w:rPr>
            </w:pPr>
            <w:r w:rsidRPr="00164B39">
              <w:rPr>
                <w:rFonts w:asciiTheme="minorHAnsi" w:hAnsiTheme="minorHAnsi" w:cstheme="minorHAnsi"/>
                <w:b/>
                <w:bCs/>
                <w:sz w:val="14"/>
                <w:szCs w:val="14"/>
                <w:lang w:val="en-US" w:eastAsia="en-US"/>
              </w:rPr>
              <w:t>Critical care</w:t>
            </w:r>
          </w:p>
        </w:tc>
        <w:tc>
          <w:tcPr>
            <w:tcW w:w="706" w:type="dxa"/>
            <w:vMerge w:val="restart"/>
            <w:tcBorders>
              <w:top w:val="single" w:sz="4" w:space="0" w:color="808080" w:themeColor="background1" w:themeShade="80"/>
            </w:tcBorders>
            <w:hideMark/>
          </w:tcPr>
          <w:p w14:paraId="0D9D2CB5" w14:textId="77777777" w:rsidR="00272A9E" w:rsidRPr="00164B39" w:rsidRDefault="00272A9E" w:rsidP="00272A9E">
            <w:pPr>
              <w:jc w:val="center"/>
              <w:rPr>
                <w:rFonts w:asciiTheme="minorHAnsi" w:hAnsiTheme="minorHAnsi" w:cstheme="minorHAnsi"/>
                <w:b/>
                <w:bCs/>
                <w:sz w:val="14"/>
                <w:szCs w:val="14"/>
                <w:lang w:val="en-US" w:eastAsia="en-US"/>
              </w:rPr>
            </w:pPr>
            <w:proofErr w:type="spellStart"/>
            <w:r w:rsidRPr="00164B39">
              <w:rPr>
                <w:rFonts w:asciiTheme="minorHAnsi" w:hAnsiTheme="minorHAnsi" w:cstheme="minorHAnsi"/>
                <w:b/>
                <w:bCs/>
                <w:sz w:val="14"/>
                <w:szCs w:val="14"/>
                <w:lang w:val="en-US" w:eastAsia="en-US"/>
              </w:rPr>
              <w:t>Prosth-esis</w:t>
            </w:r>
            <w:proofErr w:type="spellEnd"/>
          </w:p>
        </w:tc>
        <w:tc>
          <w:tcPr>
            <w:tcW w:w="730" w:type="dxa"/>
            <w:vMerge w:val="restart"/>
            <w:tcBorders>
              <w:top w:val="single" w:sz="4" w:space="0" w:color="808080" w:themeColor="background1" w:themeShade="80"/>
            </w:tcBorders>
            <w:hideMark/>
          </w:tcPr>
          <w:p w14:paraId="61C8E03D" w14:textId="77777777" w:rsidR="00272A9E" w:rsidRPr="00164B39" w:rsidRDefault="00272A9E" w:rsidP="00272A9E">
            <w:pPr>
              <w:jc w:val="center"/>
              <w:rPr>
                <w:rFonts w:asciiTheme="minorHAnsi" w:hAnsiTheme="minorHAnsi" w:cstheme="minorHAnsi"/>
                <w:b/>
                <w:bCs/>
                <w:sz w:val="14"/>
                <w:szCs w:val="14"/>
                <w:lang w:val="en-US" w:eastAsia="en-US"/>
              </w:rPr>
            </w:pPr>
            <w:proofErr w:type="spellStart"/>
            <w:r w:rsidRPr="00164B39">
              <w:rPr>
                <w:rFonts w:asciiTheme="minorHAnsi" w:hAnsiTheme="minorHAnsi" w:cstheme="minorHAnsi"/>
                <w:b/>
                <w:bCs/>
                <w:sz w:val="14"/>
                <w:szCs w:val="14"/>
                <w:lang w:val="en-US" w:eastAsia="en-US"/>
              </w:rPr>
              <w:t>Miscell-aneous</w:t>
            </w:r>
            <w:proofErr w:type="spellEnd"/>
            <w:r w:rsidRPr="00164B39">
              <w:rPr>
                <w:rFonts w:asciiTheme="minorHAnsi" w:hAnsiTheme="minorHAnsi" w:cstheme="minorHAnsi"/>
                <w:b/>
                <w:bCs/>
                <w:sz w:val="14"/>
                <w:szCs w:val="14"/>
                <w:lang w:val="en-US" w:eastAsia="en-US"/>
              </w:rPr>
              <w:t xml:space="preserve"> </w:t>
            </w:r>
          </w:p>
        </w:tc>
        <w:tc>
          <w:tcPr>
            <w:tcW w:w="969" w:type="dxa"/>
            <w:vMerge/>
            <w:tcBorders>
              <w:top w:val="single" w:sz="4" w:space="0" w:color="808080" w:themeColor="background1" w:themeShade="80"/>
            </w:tcBorders>
            <w:hideMark/>
          </w:tcPr>
          <w:p w14:paraId="724F5EBF"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660" w:type="dxa"/>
            <w:vMerge/>
            <w:tcBorders>
              <w:top w:val="single" w:sz="4" w:space="0" w:color="808080" w:themeColor="background1" w:themeShade="80"/>
            </w:tcBorders>
            <w:hideMark/>
          </w:tcPr>
          <w:p w14:paraId="69F2B660" w14:textId="77777777" w:rsidR="00272A9E" w:rsidRPr="00164B39" w:rsidRDefault="00272A9E" w:rsidP="00272A9E">
            <w:pPr>
              <w:rPr>
                <w:rFonts w:asciiTheme="minorHAnsi" w:hAnsiTheme="minorHAnsi" w:cstheme="minorHAnsi"/>
                <w:b/>
                <w:bCs/>
                <w:color w:val="A32020"/>
                <w:sz w:val="14"/>
                <w:szCs w:val="14"/>
                <w:lang w:val="en-US" w:eastAsia="en-US"/>
              </w:rPr>
            </w:pPr>
          </w:p>
        </w:tc>
      </w:tr>
      <w:tr w:rsidR="00272A9E" w:rsidRPr="00164B39" w14:paraId="19BD1571" w14:textId="77777777" w:rsidTr="006B3A78">
        <w:trPr>
          <w:trHeight w:val="301"/>
        </w:trPr>
        <w:tc>
          <w:tcPr>
            <w:tcW w:w="709" w:type="dxa"/>
            <w:vMerge/>
            <w:hideMark/>
          </w:tcPr>
          <w:p w14:paraId="2E2533A1"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660" w:type="dxa"/>
            <w:vMerge/>
            <w:hideMark/>
          </w:tcPr>
          <w:p w14:paraId="643A7663"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574" w:type="dxa"/>
            <w:vMerge/>
            <w:hideMark/>
          </w:tcPr>
          <w:p w14:paraId="31DC9812"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5571" w:type="dxa"/>
            <w:vMerge/>
            <w:hideMark/>
          </w:tcPr>
          <w:p w14:paraId="76C2B7CA"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691" w:type="dxa"/>
            <w:vMerge/>
            <w:hideMark/>
          </w:tcPr>
          <w:p w14:paraId="2711A4A4"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839" w:type="dxa"/>
            <w:vMerge/>
            <w:hideMark/>
          </w:tcPr>
          <w:p w14:paraId="6AE5DC8D"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691" w:type="dxa"/>
            <w:vMerge/>
            <w:hideMark/>
          </w:tcPr>
          <w:p w14:paraId="0F4AF72D"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655" w:type="dxa"/>
            <w:vMerge/>
            <w:hideMark/>
          </w:tcPr>
          <w:p w14:paraId="49F926D4"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666" w:type="dxa"/>
            <w:vMerge/>
            <w:hideMark/>
          </w:tcPr>
          <w:p w14:paraId="765376AB"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691" w:type="dxa"/>
            <w:vMerge/>
            <w:hideMark/>
          </w:tcPr>
          <w:p w14:paraId="7AFC6E49"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706" w:type="dxa"/>
            <w:vMerge/>
            <w:hideMark/>
          </w:tcPr>
          <w:p w14:paraId="411FE393"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730" w:type="dxa"/>
            <w:vMerge/>
            <w:hideMark/>
          </w:tcPr>
          <w:p w14:paraId="7F6A5E62"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969" w:type="dxa"/>
            <w:vMerge/>
            <w:hideMark/>
          </w:tcPr>
          <w:p w14:paraId="2EB3C998"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660" w:type="dxa"/>
            <w:vMerge/>
            <w:hideMark/>
          </w:tcPr>
          <w:p w14:paraId="42498697" w14:textId="77777777" w:rsidR="00272A9E" w:rsidRPr="00164B39" w:rsidRDefault="00272A9E" w:rsidP="00272A9E">
            <w:pPr>
              <w:rPr>
                <w:rFonts w:asciiTheme="minorHAnsi" w:hAnsiTheme="minorHAnsi" w:cstheme="minorHAnsi"/>
                <w:b/>
                <w:bCs/>
                <w:color w:val="A32020"/>
                <w:sz w:val="14"/>
                <w:szCs w:val="14"/>
                <w:lang w:val="en-US" w:eastAsia="en-US"/>
              </w:rPr>
            </w:pPr>
          </w:p>
        </w:tc>
      </w:tr>
      <w:tr w:rsidR="00272A9E" w:rsidRPr="00164B39" w14:paraId="63136336" w14:textId="77777777" w:rsidTr="006B3A78">
        <w:trPr>
          <w:trHeight w:val="281"/>
        </w:trPr>
        <w:tc>
          <w:tcPr>
            <w:tcW w:w="709" w:type="dxa"/>
            <w:vMerge/>
            <w:tcBorders>
              <w:bottom w:val="single" w:sz="4" w:space="0" w:color="808080" w:themeColor="background1" w:themeShade="80"/>
            </w:tcBorders>
            <w:hideMark/>
          </w:tcPr>
          <w:p w14:paraId="05EC4794"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660" w:type="dxa"/>
            <w:vMerge/>
            <w:tcBorders>
              <w:bottom w:val="single" w:sz="4" w:space="0" w:color="808080" w:themeColor="background1" w:themeShade="80"/>
            </w:tcBorders>
            <w:hideMark/>
          </w:tcPr>
          <w:p w14:paraId="54829CBB"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574" w:type="dxa"/>
            <w:vMerge/>
            <w:tcBorders>
              <w:bottom w:val="single" w:sz="4" w:space="0" w:color="808080" w:themeColor="background1" w:themeShade="80"/>
            </w:tcBorders>
            <w:hideMark/>
          </w:tcPr>
          <w:p w14:paraId="31C392F8"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5571" w:type="dxa"/>
            <w:vMerge/>
            <w:tcBorders>
              <w:bottom w:val="single" w:sz="4" w:space="0" w:color="808080" w:themeColor="background1" w:themeShade="80"/>
            </w:tcBorders>
            <w:hideMark/>
          </w:tcPr>
          <w:p w14:paraId="36E9F030"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691" w:type="dxa"/>
            <w:vMerge/>
            <w:tcBorders>
              <w:bottom w:val="single" w:sz="4" w:space="0" w:color="808080" w:themeColor="background1" w:themeShade="80"/>
            </w:tcBorders>
            <w:hideMark/>
          </w:tcPr>
          <w:p w14:paraId="47B02ED7"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839" w:type="dxa"/>
            <w:vMerge/>
            <w:tcBorders>
              <w:bottom w:val="single" w:sz="4" w:space="0" w:color="808080" w:themeColor="background1" w:themeShade="80"/>
            </w:tcBorders>
            <w:hideMark/>
          </w:tcPr>
          <w:p w14:paraId="4D01B9EF"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691" w:type="dxa"/>
            <w:vMerge/>
            <w:tcBorders>
              <w:bottom w:val="single" w:sz="4" w:space="0" w:color="808080" w:themeColor="background1" w:themeShade="80"/>
            </w:tcBorders>
            <w:hideMark/>
          </w:tcPr>
          <w:p w14:paraId="5646D8C5"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655" w:type="dxa"/>
            <w:vMerge/>
            <w:tcBorders>
              <w:bottom w:val="single" w:sz="4" w:space="0" w:color="808080" w:themeColor="background1" w:themeShade="80"/>
            </w:tcBorders>
            <w:hideMark/>
          </w:tcPr>
          <w:p w14:paraId="76F6DA53"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666" w:type="dxa"/>
            <w:vMerge/>
            <w:tcBorders>
              <w:bottom w:val="single" w:sz="4" w:space="0" w:color="808080" w:themeColor="background1" w:themeShade="80"/>
            </w:tcBorders>
            <w:hideMark/>
          </w:tcPr>
          <w:p w14:paraId="77229D68"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691" w:type="dxa"/>
            <w:vMerge/>
            <w:tcBorders>
              <w:bottom w:val="single" w:sz="4" w:space="0" w:color="808080" w:themeColor="background1" w:themeShade="80"/>
            </w:tcBorders>
            <w:hideMark/>
          </w:tcPr>
          <w:p w14:paraId="05FD9758"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706" w:type="dxa"/>
            <w:vMerge/>
            <w:tcBorders>
              <w:bottom w:val="single" w:sz="4" w:space="0" w:color="808080" w:themeColor="background1" w:themeShade="80"/>
            </w:tcBorders>
            <w:hideMark/>
          </w:tcPr>
          <w:p w14:paraId="6CA3C87C"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730" w:type="dxa"/>
            <w:vMerge/>
            <w:tcBorders>
              <w:bottom w:val="single" w:sz="4" w:space="0" w:color="808080" w:themeColor="background1" w:themeShade="80"/>
            </w:tcBorders>
            <w:hideMark/>
          </w:tcPr>
          <w:p w14:paraId="624F1BC1"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969" w:type="dxa"/>
            <w:vMerge/>
            <w:tcBorders>
              <w:bottom w:val="single" w:sz="4" w:space="0" w:color="808080" w:themeColor="background1" w:themeShade="80"/>
            </w:tcBorders>
            <w:hideMark/>
          </w:tcPr>
          <w:p w14:paraId="0FE8ABBC" w14:textId="77777777" w:rsidR="00272A9E" w:rsidRPr="00164B39" w:rsidRDefault="00272A9E" w:rsidP="00272A9E">
            <w:pPr>
              <w:rPr>
                <w:rFonts w:asciiTheme="minorHAnsi" w:hAnsiTheme="minorHAnsi" w:cstheme="minorHAnsi"/>
                <w:b/>
                <w:bCs/>
                <w:color w:val="A32020"/>
                <w:sz w:val="14"/>
                <w:szCs w:val="14"/>
                <w:lang w:val="en-US" w:eastAsia="en-US"/>
              </w:rPr>
            </w:pPr>
          </w:p>
        </w:tc>
        <w:tc>
          <w:tcPr>
            <w:tcW w:w="660" w:type="dxa"/>
            <w:vMerge/>
            <w:tcBorders>
              <w:bottom w:val="single" w:sz="4" w:space="0" w:color="808080" w:themeColor="background1" w:themeShade="80"/>
            </w:tcBorders>
            <w:hideMark/>
          </w:tcPr>
          <w:p w14:paraId="6C10FEFF" w14:textId="77777777" w:rsidR="00272A9E" w:rsidRPr="00164B39" w:rsidRDefault="00272A9E" w:rsidP="00272A9E">
            <w:pPr>
              <w:rPr>
                <w:rFonts w:asciiTheme="minorHAnsi" w:hAnsiTheme="minorHAnsi" w:cstheme="minorHAnsi"/>
                <w:b/>
                <w:bCs/>
                <w:color w:val="A32020"/>
                <w:sz w:val="14"/>
                <w:szCs w:val="14"/>
                <w:lang w:val="en-US" w:eastAsia="en-US"/>
              </w:rPr>
            </w:pPr>
          </w:p>
        </w:tc>
      </w:tr>
      <w:tr w:rsidR="00272A9E" w:rsidRPr="00164B39" w14:paraId="7A196E2D" w14:textId="77777777" w:rsidTr="006B3A78">
        <w:trPr>
          <w:trHeight w:hRule="exact" w:val="284"/>
        </w:trPr>
        <w:tc>
          <w:tcPr>
            <w:tcW w:w="709" w:type="dxa"/>
            <w:tcBorders>
              <w:top w:val="single" w:sz="4" w:space="0" w:color="808080" w:themeColor="background1" w:themeShade="80"/>
            </w:tcBorders>
            <w:noWrap/>
            <w:hideMark/>
          </w:tcPr>
          <w:p w14:paraId="79D20214" w14:textId="4E9D3DB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Yes</w:t>
            </w:r>
          </w:p>
        </w:tc>
        <w:tc>
          <w:tcPr>
            <w:tcW w:w="660" w:type="dxa"/>
            <w:tcBorders>
              <w:top w:val="single" w:sz="4" w:space="0" w:color="808080" w:themeColor="background1" w:themeShade="80"/>
            </w:tcBorders>
            <w:noWrap/>
            <w:hideMark/>
          </w:tcPr>
          <w:p w14:paraId="08A6B5F3" w14:textId="7777777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w:t>
            </w:r>
          </w:p>
        </w:tc>
        <w:tc>
          <w:tcPr>
            <w:tcW w:w="574" w:type="dxa"/>
            <w:tcBorders>
              <w:top w:val="single" w:sz="4" w:space="0" w:color="808080" w:themeColor="background1" w:themeShade="80"/>
            </w:tcBorders>
            <w:noWrap/>
            <w:hideMark/>
          </w:tcPr>
          <w:p w14:paraId="7E9EE857" w14:textId="230DADBC"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A06A</w:t>
            </w:r>
          </w:p>
        </w:tc>
        <w:tc>
          <w:tcPr>
            <w:tcW w:w="5571" w:type="dxa"/>
            <w:tcBorders>
              <w:top w:val="single" w:sz="4" w:space="0" w:color="808080" w:themeColor="background1" w:themeShade="80"/>
            </w:tcBorders>
            <w:noWrap/>
            <w:hideMark/>
          </w:tcPr>
          <w:p w14:paraId="3144533C" w14:textId="0C498843"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Tracheostomy and/or Ventilation &gt;=96hours, Major Complexity</w:t>
            </w:r>
          </w:p>
        </w:tc>
        <w:tc>
          <w:tcPr>
            <w:tcW w:w="691" w:type="dxa"/>
            <w:tcBorders>
              <w:top w:val="single" w:sz="4" w:space="0" w:color="808080" w:themeColor="background1" w:themeShade="80"/>
            </w:tcBorders>
            <w:noWrap/>
            <w:hideMark/>
          </w:tcPr>
          <w:p w14:paraId="2539E191" w14:textId="77777777" w:rsidR="00272A9E" w:rsidRPr="00164B39" w:rsidRDefault="00272A9E" w:rsidP="00272A9E">
            <w:pPr>
              <w:jc w:val="right"/>
              <w:rPr>
                <w:rFonts w:asciiTheme="minorHAnsi" w:hAnsiTheme="minorHAnsi" w:cstheme="minorHAnsi"/>
                <w:b/>
                <w:color w:val="000000"/>
                <w:sz w:val="14"/>
                <w:szCs w:val="14"/>
                <w:lang w:val="en-US" w:eastAsia="en-US"/>
              </w:rPr>
            </w:pPr>
            <w:r w:rsidRPr="00164B39">
              <w:rPr>
                <w:rFonts w:asciiTheme="minorHAnsi" w:hAnsiTheme="minorHAnsi" w:cstheme="minorHAnsi"/>
                <w:b/>
                <w:color w:val="000000"/>
                <w:sz w:val="14"/>
                <w:szCs w:val="14"/>
                <w:lang w:val="en-US" w:eastAsia="en-US"/>
              </w:rPr>
              <w:t>20.76</w:t>
            </w:r>
          </w:p>
        </w:tc>
        <w:tc>
          <w:tcPr>
            <w:tcW w:w="839" w:type="dxa"/>
            <w:tcBorders>
              <w:top w:val="single" w:sz="4" w:space="0" w:color="808080" w:themeColor="background1" w:themeShade="80"/>
            </w:tcBorders>
            <w:noWrap/>
            <w:hideMark/>
          </w:tcPr>
          <w:p w14:paraId="388F3711"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199</w:t>
            </w:r>
          </w:p>
        </w:tc>
        <w:tc>
          <w:tcPr>
            <w:tcW w:w="691" w:type="dxa"/>
            <w:tcBorders>
              <w:top w:val="single" w:sz="4" w:space="0" w:color="808080" w:themeColor="background1" w:themeShade="80"/>
            </w:tcBorders>
            <w:noWrap/>
            <w:hideMark/>
          </w:tcPr>
          <w:p w14:paraId="69405446"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35.15</w:t>
            </w:r>
          </w:p>
        </w:tc>
        <w:tc>
          <w:tcPr>
            <w:tcW w:w="655" w:type="dxa"/>
            <w:tcBorders>
              <w:top w:val="single" w:sz="4" w:space="0" w:color="808080" w:themeColor="background1" w:themeShade="80"/>
            </w:tcBorders>
            <w:noWrap/>
            <w:hideMark/>
          </w:tcPr>
          <w:p w14:paraId="63EDFE1C"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49.8</w:t>
            </w:r>
          </w:p>
        </w:tc>
        <w:tc>
          <w:tcPr>
            <w:tcW w:w="666" w:type="dxa"/>
            <w:tcBorders>
              <w:top w:val="single" w:sz="4" w:space="0" w:color="808080" w:themeColor="background1" w:themeShade="80"/>
            </w:tcBorders>
            <w:noWrap/>
            <w:hideMark/>
          </w:tcPr>
          <w:p w14:paraId="3C3A5B9A"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8%</w:t>
            </w:r>
          </w:p>
        </w:tc>
        <w:tc>
          <w:tcPr>
            <w:tcW w:w="691" w:type="dxa"/>
            <w:tcBorders>
              <w:top w:val="single" w:sz="4" w:space="0" w:color="808080" w:themeColor="background1" w:themeShade="80"/>
            </w:tcBorders>
            <w:noWrap/>
            <w:hideMark/>
          </w:tcPr>
          <w:p w14:paraId="25D8FE36"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59%</w:t>
            </w:r>
          </w:p>
        </w:tc>
        <w:tc>
          <w:tcPr>
            <w:tcW w:w="706" w:type="dxa"/>
            <w:tcBorders>
              <w:top w:val="single" w:sz="4" w:space="0" w:color="808080" w:themeColor="background1" w:themeShade="80"/>
            </w:tcBorders>
            <w:noWrap/>
            <w:hideMark/>
          </w:tcPr>
          <w:p w14:paraId="109D1A3D"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5%</w:t>
            </w:r>
          </w:p>
        </w:tc>
        <w:tc>
          <w:tcPr>
            <w:tcW w:w="730" w:type="dxa"/>
            <w:tcBorders>
              <w:top w:val="single" w:sz="4" w:space="0" w:color="808080" w:themeColor="background1" w:themeShade="80"/>
            </w:tcBorders>
            <w:noWrap/>
            <w:hideMark/>
          </w:tcPr>
          <w:p w14:paraId="7604479C"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28%</w:t>
            </w:r>
          </w:p>
        </w:tc>
        <w:tc>
          <w:tcPr>
            <w:tcW w:w="969" w:type="dxa"/>
            <w:tcBorders>
              <w:top w:val="single" w:sz="4" w:space="0" w:color="808080" w:themeColor="background1" w:themeShade="80"/>
            </w:tcBorders>
            <w:noWrap/>
            <w:hideMark/>
          </w:tcPr>
          <w:p w14:paraId="1D3C2762"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18.31</w:t>
            </w:r>
          </w:p>
        </w:tc>
        <w:tc>
          <w:tcPr>
            <w:tcW w:w="660" w:type="dxa"/>
            <w:tcBorders>
              <w:top w:val="single" w:sz="4" w:space="0" w:color="808080" w:themeColor="background1" w:themeShade="80"/>
            </w:tcBorders>
            <w:noWrap/>
            <w:hideMark/>
          </w:tcPr>
          <w:p w14:paraId="27BF89E2"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xml:space="preserve">1 </w:t>
            </w:r>
          </w:p>
        </w:tc>
      </w:tr>
      <w:tr w:rsidR="00272A9E" w:rsidRPr="00164B39" w14:paraId="598FBB74" w14:textId="77777777" w:rsidTr="006B3A78">
        <w:trPr>
          <w:trHeight w:hRule="exact" w:val="284"/>
        </w:trPr>
        <w:tc>
          <w:tcPr>
            <w:tcW w:w="709" w:type="dxa"/>
            <w:noWrap/>
            <w:hideMark/>
          </w:tcPr>
          <w:p w14:paraId="3CA4B4B3" w14:textId="4E007AA6"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Yes</w:t>
            </w:r>
          </w:p>
        </w:tc>
        <w:tc>
          <w:tcPr>
            <w:tcW w:w="660" w:type="dxa"/>
            <w:noWrap/>
            <w:hideMark/>
          </w:tcPr>
          <w:p w14:paraId="15B516B7" w14:textId="7777777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2</w:t>
            </w:r>
          </w:p>
        </w:tc>
        <w:tc>
          <w:tcPr>
            <w:tcW w:w="574" w:type="dxa"/>
            <w:noWrap/>
            <w:hideMark/>
          </w:tcPr>
          <w:p w14:paraId="5F351C3B" w14:textId="3E0352D2"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A06B</w:t>
            </w:r>
          </w:p>
        </w:tc>
        <w:tc>
          <w:tcPr>
            <w:tcW w:w="5571" w:type="dxa"/>
            <w:noWrap/>
            <w:hideMark/>
          </w:tcPr>
          <w:p w14:paraId="1388F4A7" w14:textId="7C4C3AC3"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Tracheostomy and/or Ventilation &gt;=96hours, Intermediate Complexity</w:t>
            </w:r>
          </w:p>
        </w:tc>
        <w:tc>
          <w:tcPr>
            <w:tcW w:w="691" w:type="dxa"/>
            <w:noWrap/>
            <w:hideMark/>
          </w:tcPr>
          <w:p w14:paraId="081E6FC1" w14:textId="77777777" w:rsidR="00272A9E" w:rsidRPr="00164B39" w:rsidRDefault="00272A9E" w:rsidP="00272A9E">
            <w:pPr>
              <w:jc w:val="right"/>
              <w:rPr>
                <w:rFonts w:asciiTheme="minorHAnsi" w:hAnsiTheme="minorHAnsi" w:cstheme="minorHAnsi"/>
                <w:b/>
                <w:color w:val="000000"/>
                <w:sz w:val="14"/>
                <w:szCs w:val="14"/>
                <w:lang w:val="en-US" w:eastAsia="en-US"/>
              </w:rPr>
            </w:pPr>
            <w:r w:rsidRPr="00164B39">
              <w:rPr>
                <w:rFonts w:asciiTheme="minorHAnsi" w:hAnsiTheme="minorHAnsi" w:cstheme="minorHAnsi"/>
                <w:b/>
                <w:color w:val="000000"/>
                <w:sz w:val="14"/>
                <w:szCs w:val="14"/>
                <w:lang w:val="en-US" w:eastAsia="en-US"/>
              </w:rPr>
              <w:t>13.94</w:t>
            </w:r>
          </w:p>
        </w:tc>
        <w:tc>
          <w:tcPr>
            <w:tcW w:w="839" w:type="dxa"/>
            <w:noWrap/>
            <w:hideMark/>
          </w:tcPr>
          <w:p w14:paraId="12B204BA"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532</w:t>
            </w:r>
          </w:p>
        </w:tc>
        <w:tc>
          <w:tcPr>
            <w:tcW w:w="691" w:type="dxa"/>
            <w:noWrap/>
            <w:hideMark/>
          </w:tcPr>
          <w:p w14:paraId="526BFD3B"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24.44</w:t>
            </w:r>
          </w:p>
        </w:tc>
        <w:tc>
          <w:tcPr>
            <w:tcW w:w="655" w:type="dxa"/>
            <w:noWrap/>
            <w:hideMark/>
          </w:tcPr>
          <w:p w14:paraId="13DE99FA"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31.4</w:t>
            </w:r>
          </w:p>
        </w:tc>
        <w:tc>
          <w:tcPr>
            <w:tcW w:w="666" w:type="dxa"/>
            <w:noWrap/>
            <w:hideMark/>
          </w:tcPr>
          <w:p w14:paraId="5DC5C19E"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8%</w:t>
            </w:r>
          </w:p>
        </w:tc>
        <w:tc>
          <w:tcPr>
            <w:tcW w:w="691" w:type="dxa"/>
            <w:noWrap/>
            <w:hideMark/>
          </w:tcPr>
          <w:p w14:paraId="06A1B447"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57%</w:t>
            </w:r>
          </w:p>
        </w:tc>
        <w:tc>
          <w:tcPr>
            <w:tcW w:w="706" w:type="dxa"/>
            <w:noWrap/>
            <w:hideMark/>
          </w:tcPr>
          <w:p w14:paraId="048DAE29"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6%</w:t>
            </w:r>
          </w:p>
        </w:tc>
        <w:tc>
          <w:tcPr>
            <w:tcW w:w="730" w:type="dxa"/>
            <w:noWrap/>
            <w:hideMark/>
          </w:tcPr>
          <w:p w14:paraId="4A5F0E5F"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29%</w:t>
            </w:r>
          </w:p>
        </w:tc>
        <w:tc>
          <w:tcPr>
            <w:tcW w:w="969" w:type="dxa"/>
            <w:noWrap/>
            <w:hideMark/>
          </w:tcPr>
          <w:p w14:paraId="3BB7242F"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12.01</w:t>
            </w:r>
          </w:p>
        </w:tc>
        <w:tc>
          <w:tcPr>
            <w:tcW w:w="660" w:type="dxa"/>
            <w:noWrap/>
            <w:hideMark/>
          </w:tcPr>
          <w:p w14:paraId="7BF3F876"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xml:space="preserve">2 </w:t>
            </w:r>
          </w:p>
        </w:tc>
      </w:tr>
      <w:tr w:rsidR="00272A9E" w:rsidRPr="00164B39" w14:paraId="300AFB4E" w14:textId="77777777" w:rsidTr="006B3A78">
        <w:trPr>
          <w:trHeight w:hRule="exact" w:val="284"/>
        </w:trPr>
        <w:tc>
          <w:tcPr>
            <w:tcW w:w="709" w:type="dxa"/>
            <w:noWrap/>
            <w:hideMark/>
          </w:tcPr>
          <w:p w14:paraId="7A174341" w14:textId="58FE53CD"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No</w:t>
            </w:r>
          </w:p>
        </w:tc>
        <w:tc>
          <w:tcPr>
            <w:tcW w:w="660" w:type="dxa"/>
            <w:noWrap/>
            <w:hideMark/>
          </w:tcPr>
          <w:p w14:paraId="697C06F4" w14:textId="67EAF658"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3</w:t>
            </w:r>
          </w:p>
        </w:tc>
        <w:tc>
          <w:tcPr>
            <w:tcW w:w="574" w:type="dxa"/>
            <w:noWrap/>
            <w:hideMark/>
          </w:tcPr>
          <w:p w14:paraId="56239FAC" w14:textId="534307E8"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P03B</w:t>
            </w:r>
          </w:p>
        </w:tc>
        <w:tc>
          <w:tcPr>
            <w:tcW w:w="5571" w:type="dxa"/>
            <w:noWrap/>
            <w:hideMark/>
          </w:tcPr>
          <w:p w14:paraId="2FB16BF1" w14:textId="5CD4F5F5"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xml:space="preserve">Neonate, </w:t>
            </w:r>
            <w:proofErr w:type="spellStart"/>
            <w:r w:rsidRPr="00164B39">
              <w:rPr>
                <w:rFonts w:asciiTheme="minorHAnsi" w:hAnsiTheme="minorHAnsi" w:cstheme="minorHAnsi"/>
                <w:color w:val="000000"/>
                <w:sz w:val="14"/>
                <w:szCs w:val="14"/>
                <w:lang w:val="en-US" w:eastAsia="en-US"/>
              </w:rPr>
              <w:t>AdmWt</w:t>
            </w:r>
            <w:proofErr w:type="spellEnd"/>
            <w:r w:rsidRPr="00164B39">
              <w:rPr>
                <w:rFonts w:asciiTheme="minorHAnsi" w:hAnsiTheme="minorHAnsi" w:cstheme="minorHAnsi"/>
                <w:color w:val="000000"/>
                <w:sz w:val="14"/>
                <w:szCs w:val="14"/>
                <w:lang w:val="en-US" w:eastAsia="en-US"/>
              </w:rPr>
              <w:t xml:space="preserve"> 1000-1499g W Significant OR Proc/Vent&gt;=96hrs, Minor Complexity</w:t>
            </w:r>
          </w:p>
        </w:tc>
        <w:tc>
          <w:tcPr>
            <w:tcW w:w="691" w:type="dxa"/>
            <w:noWrap/>
            <w:hideMark/>
          </w:tcPr>
          <w:p w14:paraId="4486C9F4" w14:textId="77777777" w:rsidR="00272A9E" w:rsidRPr="00164B39" w:rsidRDefault="00272A9E" w:rsidP="00272A9E">
            <w:pPr>
              <w:jc w:val="right"/>
              <w:rPr>
                <w:rFonts w:asciiTheme="minorHAnsi" w:hAnsiTheme="minorHAnsi" w:cstheme="minorHAnsi"/>
                <w:b/>
                <w:color w:val="000000"/>
                <w:sz w:val="14"/>
                <w:szCs w:val="14"/>
                <w:lang w:val="en-US" w:eastAsia="en-US"/>
              </w:rPr>
            </w:pPr>
            <w:r w:rsidRPr="00164B39">
              <w:rPr>
                <w:rFonts w:asciiTheme="minorHAnsi" w:hAnsiTheme="minorHAnsi" w:cstheme="minorHAnsi"/>
                <w:b/>
                <w:color w:val="000000"/>
                <w:sz w:val="14"/>
                <w:szCs w:val="14"/>
                <w:lang w:val="en-US" w:eastAsia="en-US"/>
              </w:rPr>
              <w:t>11.56</w:t>
            </w:r>
          </w:p>
        </w:tc>
        <w:tc>
          <w:tcPr>
            <w:tcW w:w="839" w:type="dxa"/>
            <w:noWrap/>
            <w:hideMark/>
          </w:tcPr>
          <w:p w14:paraId="01FE6179"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45</w:t>
            </w:r>
          </w:p>
        </w:tc>
        <w:tc>
          <w:tcPr>
            <w:tcW w:w="691" w:type="dxa"/>
            <w:noWrap/>
            <w:hideMark/>
          </w:tcPr>
          <w:p w14:paraId="16EE0B8B"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14.32</w:t>
            </w:r>
          </w:p>
        </w:tc>
        <w:tc>
          <w:tcPr>
            <w:tcW w:w="655" w:type="dxa"/>
            <w:noWrap/>
            <w:hideMark/>
          </w:tcPr>
          <w:p w14:paraId="453D89E5"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31.9</w:t>
            </w:r>
          </w:p>
        </w:tc>
        <w:tc>
          <w:tcPr>
            <w:tcW w:w="666" w:type="dxa"/>
            <w:noWrap/>
            <w:hideMark/>
          </w:tcPr>
          <w:p w14:paraId="64E00216"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0%</w:t>
            </w:r>
          </w:p>
        </w:tc>
        <w:tc>
          <w:tcPr>
            <w:tcW w:w="691" w:type="dxa"/>
            <w:noWrap/>
            <w:hideMark/>
          </w:tcPr>
          <w:p w14:paraId="00BCF56A"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81%</w:t>
            </w:r>
          </w:p>
        </w:tc>
        <w:tc>
          <w:tcPr>
            <w:tcW w:w="706" w:type="dxa"/>
            <w:noWrap/>
            <w:hideMark/>
          </w:tcPr>
          <w:p w14:paraId="6C1F9ACD"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0%</w:t>
            </w:r>
          </w:p>
        </w:tc>
        <w:tc>
          <w:tcPr>
            <w:tcW w:w="730" w:type="dxa"/>
            <w:noWrap/>
            <w:hideMark/>
          </w:tcPr>
          <w:p w14:paraId="1382ACA1"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19%</w:t>
            </w:r>
          </w:p>
        </w:tc>
        <w:tc>
          <w:tcPr>
            <w:tcW w:w="969" w:type="dxa"/>
            <w:noWrap/>
            <w:hideMark/>
          </w:tcPr>
          <w:p w14:paraId="172548C6"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w:t>
            </w:r>
          </w:p>
        </w:tc>
        <w:tc>
          <w:tcPr>
            <w:tcW w:w="660" w:type="dxa"/>
            <w:noWrap/>
            <w:hideMark/>
          </w:tcPr>
          <w:p w14:paraId="0C6594D2"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w:t>
            </w:r>
          </w:p>
        </w:tc>
      </w:tr>
      <w:tr w:rsidR="00272A9E" w:rsidRPr="00164B39" w14:paraId="32285B60" w14:textId="77777777" w:rsidTr="006B3A78">
        <w:trPr>
          <w:trHeight w:hRule="exact" w:val="284"/>
        </w:trPr>
        <w:tc>
          <w:tcPr>
            <w:tcW w:w="709" w:type="dxa"/>
            <w:noWrap/>
            <w:hideMark/>
          </w:tcPr>
          <w:p w14:paraId="3057AFF6" w14:textId="1F2F4EF5"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No</w:t>
            </w:r>
          </w:p>
        </w:tc>
        <w:tc>
          <w:tcPr>
            <w:tcW w:w="660" w:type="dxa"/>
            <w:noWrap/>
            <w:hideMark/>
          </w:tcPr>
          <w:p w14:paraId="2F0634EE" w14:textId="75AB3A2B"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4</w:t>
            </w:r>
          </w:p>
        </w:tc>
        <w:tc>
          <w:tcPr>
            <w:tcW w:w="574" w:type="dxa"/>
            <w:noWrap/>
            <w:hideMark/>
          </w:tcPr>
          <w:p w14:paraId="1C2949A8" w14:textId="77777777"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P64A</w:t>
            </w:r>
          </w:p>
        </w:tc>
        <w:tc>
          <w:tcPr>
            <w:tcW w:w="5571" w:type="dxa"/>
            <w:noWrap/>
            <w:hideMark/>
          </w:tcPr>
          <w:p w14:paraId="76FB7889" w14:textId="5E11C08C" w:rsidR="00426D7B" w:rsidRPr="00164B39" w:rsidRDefault="00272A9E" w:rsidP="00AE24CA">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xml:space="preserve">Neonate, </w:t>
            </w:r>
            <w:proofErr w:type="spellStart"/>
            <w:r w:rsidRPr="00164B39">
              <w:rPr>
                <w:rFonts w:asciiTheme="minorHAnsi" w:hAnsiTheme="minorHAnsi" w:cstheme="minorHAnsi"/>
                <w:color w:val="000000"/>
                <w:sz w:val="14"/>
                <w:szCs w:val="14"/>
                <w:lang w:val="en-US" w:eastAsia="en-US"/>
              </w:rPr>
              <w:t>AdmWt</w:t>
            </w:r>
            <w:proofErr w:type="spellEnd"/>
            <w:r w:rsidRPr="00164B39">
              <w:rPr>
                <w:rFonts w:asciiTheme="minorHAnsi" w:hAnsiTheme="minorHAnsi" w:cstheme="minorHAnsi"/>
                <w:color w:val="000000"/>
                <w:sz w:val="14"/>
                <w:szCs w:val="14"/>
                <w:lang w:val="en-US" w:eastAsia="en-US"/>
              </w:rPr>
              <w:t xml:space="preserve"> 1250-1499g W/O Significant OR Proc/Vent&gt;=96hrs, Major Complexity</w:t>
            </w:r>
          </w:p>
        </w:tc>
        <w:tc>
          <w:tcPr>
            <w:tcW w:w="691" w:type="dxa"/>
            <w:noWrap/>
            <w:hideMark/>
          </w:tcPr>
          <w:p w14:paraId="284C1D0D" w14:textId="77777777" w:rsidR="00272A9E" w:rsidRPr="00164B39" w:rsidRDefault="00272A9E" w:rsidP="00272A9E">
            <w:pPr>
              <w:jc w:val="right"/>
              <w:rPr>
                <w:rFonts w:asciiTheme="minorHAnsi" w:hAnsiTheme="minorHAnsi" w:cstheme="minorHAnsi"/>
                <w:b/>
                <w:color w:val="000000"/>
                <w:sz w:val="14"/>
                <w:szCs w:val="14"/>
                <w:lang w:val="en-US" w:eastAsia="en-US"/>
              </w:rPr>
            </w:pPr>
            <w:r w:rsidRPr="00164B39">
              <w:rPr>
                <w:rFonts w:asciiTheme="minorHAnsi" w:hAnsiTheme="minorHAnsi" w:cstheme="minorHAnsi"/>
                <w:b/>
                <w:color w:val="000000"/>
                <w:sz w:val="14"/>
                <w:szCs w:val="14"/>
                <w:lang w:val="en-US" w:eastAsia="en-US"/>
              </w:rPr>
              <w:t>10.12</w:t>
            </w:r>
          </w:p>
        </w:tc>
        <w:tc>
          <w:tcPr>
            <w:tcW w:w="839" w:type="dxa"/>
            <w:noWrap/>
            <w:hideMark/>
          </w:tcPr>
          <w:p w14:paraId="0B034A2D"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28</w:t>
            </w:r>
          </w:p>
        </w:tc>
        <w:tc>
          <w:tcPr>
            <w:tcW w:w="691" w:type="dxa"/>
            <w:noWrap/>
            <w:hideMark/>
          </w:tcPr>
          <w:p w14:paraId="18415AA5"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16.00</w:t>
            </w:r>
          </w:p>
        </w:tc>
        <w:tc>
          <w:tcPr>
            <w:tcW w:w="655" w:type="dxa"/>
            <w:noWrap/>
            <w:hideMark/>
          </w:tcPr>
          <w:p w14:paraId="1E3F2B8F"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42.6</w:t>
            </w:r>
          </w:p>
        </w:tc>
        <w:tc>
          <w:tcPr>
            <w:tcW w:w="666" w:type="dxa"/>
            <w:noWrap/>
            <w:hideMark/>
          </w:tcPr>
          <w:p w14:paraId="7876C897"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0%</w:t>
            </w:r>
          </w:p>
        </w:tc>
        <w:tc>
          <w:tcPr>
            <w:tcW w:w="691" w:type="dxa"/>
            <w:noWrap/>
            <w:hideMark/>
          </w:tcPr>
          <w:p w14:paraId="7FFA392B"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63%</w:t>
            </w:r>
          </w:p>
        </w:tc>
        <w:tc>
          <w:tcPr>
            <w:tcW w:w="706" w:type="dxa"/>
            <w:noWrap/>
            <w:hideMark/>
          </w:tcPr>
          <w:p w14:paraId="3D70319D"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0%</w:t>
            </w:r>
          </w:p>
        </w:tc>
        <w:tc>
          <w:tcPr>
            <w:tcW w:w="730" w:type="dxa"/>
            <w:noWrap/>
            <w:hideMark/>
          </w:tcPr>
          <w:p w14:paraId="142C2BC7"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37%</w:t>
            </w:r>
          </w:p>
        </w:tc>
        <w:tc>
          <w:tcPr>
            <w:tcW w:w="969" w:type="dxa"/>
            <w:noWrap/>
            <w:hideMark/>
          </w:tcPr>
          <w:p w14:paraId="7D983FAA"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0.31</w:t>
            </w:r>
          </w:p>
        </w:tc>
        <w:tc>
          <w:tcPr>
            <w:tcW w:w="660" w:type="dxa"/>
            <w:noWrap/>
            <w:hideMark/>
          </w:tcPr>
          <w:p w14:paraId="54CF5CCF"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xml:space="preserve">167 </w:t>
            </w:r>
          </w:p>
        </w:tc>
      </w:tr>
      <w:tr w:rsidR="00272A9E" w:rsidRPr="00164B39" w14:paraId="0C6340AA" w14:textId="77777777" w:rsidTr="006B3A78">
        <w:trPr>
          <w:trHeight w:hRule="exact" w:val="284"/>
        </w:trPr>
        <w:tc>
          <w:tcPr>
            <w:tcW w:w="709" w:type="dxa"/>
            <w:noWrap/>
            <w:hideMark/>
          </w:tcPr>
          <w:p w14:paraId="5146341C" w14:textId="5B6955E6"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Yes</w:t>
            </w:r>
          </w:p>
        </w:tc>
        <w:tc>
          <w:tcPr>
            <w:tcW w:w="660" w:type="dxa"/>
            <w:noWrap/>
            <w:hideMark/>
          </w:tcPr>
          <w:p w14:paraId="0D4A05E5" w14:textId="0D86CA61"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5</w:t>
            </w:r>
          </w:p>
        </w:tc>
        <w:tc>
          <w:tcPr>
            <w:tcW w:w="574" w:type="dxa"/>
            <w:noWrap/>
            <w:hideMark/>
          </w:tcPr>
          <w:p w14:paraId="6BD0CEFF" w14:textId="77777777"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A06C</w:t>
            </w:r>
          </w:p>
        </w:tc>
        <w:tc>
          <w:tcPr>
            <w:tcW w:w="5571" w:type="dxa"/>
            <w:noWrap/>
            <w:hideMark/>
          </w:tcPr>
          <w:p w14:paraId="44A1FE4E" w14:textId="6E56F609"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Tracheostomy and/or Ventilation &gt;=96hours, Minor Complexity</w:t>
            </w:r>
          </w:p>
        </w:tc>
        <w:tc>
          <w:tcPr>
            <w:tcW w:w="691" w:type="dxa"/>
            <w:noWrap/>
            <w:hideMark/>
          </w:tcPr>
          <w:p w14:paraId="15A5BEF2" w14:textId="77777777" w:rsidR="00272A9E" w:rsidRPr="00164B39" w:rsidRDefault="00272A9E" w:rsidP="00272A9E">
            <w:pPr>
              <w:jc w:val="right"/>
              <w:rPr>
                <w:rFonts w:asciiTheme="minorHAnsi" w:hAnsiTheme="minorHAnsi" w:cstheme="minorHAnsi"/>
                <w:b/>
                <w:color w:val="000000"/>
                <w:sz w:val="14"/>
                <w:szCs w:val="14"/>
                <w:lang w:val="en-US" w:eastAsia="en-US"/>
              </w:rPr>
            </w:pPr>
            <w:r w:rsidRPr="00164B39">
              <w:rPr>
                <w:rFonts w:asciiTheme="minorHAnsi" w:hAnsiTheme="minorHAnsi" w:cstheme="minorHAnsi"/>
                <w:b/>
                <w:color w:val="000000"/>
                <w:sz w:val="14"/>
                <w:szCs w:val="14"/>
                <w:lang w:val="en-US" w:eastAsia="en-US"/>
              </w:rPr>
              <w:t>8.83</w:t>
            </w:r>
          </w:p>
        </w:tc>
        <w:tc>
          <w:tcPr>
            <w:tcW w:w="839" w:type="dxa"/>
            <w:noWrap/>
            <w:hideMark/>
          </w:tcPr>
          <w:p w14:paraId="129AFDC4"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480</w:t>
            </w:r>
          </w:p>
        </w:tc>
        <w:tc>
          <w:tcPr>
            <w:tcW w:w="691" w:type="dxa"/>
            <w:noWrap/>
            <w:hideMark/>
          </w:tcPr>
          <w:p w14:paraId="5F06165A"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16.24</w:t>
            </w:r>
          </w:p>
        </w:tc>
        <w:tc>
          <w:tcPr>
            <w:tcW w:w="655" w:type="dxa"/>
            <w:noWrap/>
            <w:hideMark/>
          </w:tcPr>
          <w:p w14:paraId="079465D9"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20.0</w:t>
            </w:r>
          </w:p>
        </w:tc>
        <w:tc>
          <w:tcPr>
            <w:tcW w:w="666" w:type="dxa"/>
            <w:noWrap/>
            <w:hideMark/>
          </w:tcPr>
          <w:p w14:paraId="6313DF91"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10%</w:t>
            </w:r>
          </w:p>
        </w:tc>
        <w:tc>
          <w:tcPr>
            <w:tcW w:w="691" w:type="dxa"/>
            <w:noWrap/>
            <w:hideMark/>
          </w:tcPr>
          <w:p w14:paraId="0C749E30"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54%</w:t>
            </w:r>
          </w:p>
        </w:tc>
        <w:tc>
          <w:tcPr>
            <w:tcW w:w="706" w:type="dxa"/>
            <w:noWrap/>
            <w:hideMark/>
          </w:tcPr>
          <w:p w14:paraId="70E5491D"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6%</w:t>
            </w:r>
          </w:p>
        </w:tc>
        <w:tc>
          <w:tcPr>
            <w:tcW w:w="730" w:type="dxa"/>
            <w:noWrap/>
            <w:hideMark/>
          </w:tcPr>
          <w:p w14:paraId="2732C7C9"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29%</w:t>
            </w:r>
          </w:p>
        </w:tc>
        <w:tc>
          <w:tcPr>
            <w:tcW w:w="969" w:type="dxa"/>
            <w:noWrap/>
            <w:hideMark/>
          </w:tcPr>
          <w:p w14:paraId="6227335F"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7.75</w:t>
            </w:r>
          </w:p>
        </w:tc>
        <w:tc>
          <w:tcPr>
            <w:tcW w:w="660" w:type="dxa"/>
            <w:noWrap/>
            <w:hideMark/>
          </w:tcPr>
          <w:p w14:paraId="14EABD0C"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xml:space="preserve">4 </w:t>
            </w:r>
          </w:p>
        </w:tc>
      </w:tr>
      <w:tr w:rsidR="00272A9E" w:rsidRPr="00164B39" w14:paraId="357C416E" w14:textId="77777777" w:rsidTr="006B3A78">
        <w:trPr>
          <w:trHeight w:hRule="exact" w:val="284"/>
        </w:trPr>
        <w:tc>
          <w:tcPr>
            <w:tcW w:w="709" w:type="dxa"/>
            <w:noWrap/>
            <w:hideMark/>
          </w:tcPr>
          <w:p w14:paraId="56B4824A" w14:textId="5717A69A"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Yes</w:t>
            </w:r>
          </w:p>
        </w:tc>
        <w:tc>
          <w:tcPr>
            <w:tcW w:w="660" w:type="dxa"/>
            <w:noWrap/>
            <w:hideMark/>
          </w:tcPr>
          <w:p w14:paraId="65F72420" w14:textId="7777777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6</w:t>
            </w:r>
          </w:p>
        </w:tc>
        <w:tc>
          <w:tcPr>
            <w:tcW w:w="574" w:type="dxa"/>
            <w:noWrap/>
            <w:hideMark/>
          </w:tcPr>
          <w:p w14:paraId="5531D842" w14:textId="77777777"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F40A</w:t>
            </w:r>
          </w:p>
        </w:tc>
        <w:tc>
          <w:tcPr>
            <w:tcW w:w="5571" w:type="dxa"/>
            <w:noWrap/>
            <w:hideMark/>
          </w:tcPr>
          <w:p w14:paraId="744246BF" w14:textId="67BAA768"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Circulatory Disorders W Ventilator Support, Major Complexity</w:t>
            </w:r>
          </w:p>
        </w:tc>
        <w:tc>
          <w:tcPr>
            <w:tcW w:w="691" w:type="dxa"/>
            <w:noWrap/>
            <w:hideMark/>
          </w:tcPr>
          <w:p w14:paraId="2DA1075F" w14:textId="77777777" w:rsidR="00272A9E" w:rsidRPr="00164B39" w:rsidRDefault="00272A9E" w:rsidP="00272A9E">
            <w:pPr>
              <w:jc w:val="right"/>
              <w:rPr>
                <w:rFonts w:asciiTheme="minorHAnsi" w:hAnsiTheme="minorHAnsi" w:cstheme="minorHAnsi"/>
                <w:b/>
                <w:color w:val="000000"/>
                <w:sz w:val="14"/>
                <w:szCs w:val="14"/>
                <w:lang w:val="en-US" w:eastAsia="en-US"/>
              </w:rPr>
            </w:pPr>
            <w:r w:rsidRPr="00164B39">
              <w:rPr>
                <w:rFonts w:asciiTheme="minorHAnsi" w:hAnsiTheme="minorHAnsi" w:cstheme="minorHAnsi"/>
                <w:b/>
                <w:color w:val="000000"/>
                <w:sz w:val="14"/>
                <w:szCs w:val="14"/>
                <w:lang w:val="en-US" w:eastAsia="en-US"/>
              </w:rPr>
              <w:t>7.78</w:t>
            </w:r>
          </w:p>
        </w:tc>
        <w:tc>
          <w:tcPr>
            <w:tcW w:w="839" w:type="dxa"/>
            <w:noWrap/>
            <w:hideMark/>
          </w:tcPr>
          <w:p w14:paraId="15A49644"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33</w:t>
            </w:r>
          </w:p>
        </w:tc>
        <w:tc>
          <w:tcPr>
            <w:tcW w:w="691" w:type="dxa"/>
            <w:noWrap/>
            <w:hideMark/>
          </w:tcPr>
          <w:p w14:paraId="66255E81"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11.03</w:t>
            </w:r>
          </w:p>
        </w:tc>
        <w:tc>
          <w:tcPr>
            <w:tcW w:w="655" w:type="dxa"/>
            <w:noWrap/>
            <w:hideMark/>
          </w:tcPr>
          <w:p w14:paraId="42A776B8"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15.7</w:t>
            </w:r>
          </w:p>
        </w:tc>
        <w:tc>
          <w:tcPr>
            <w:tcW w:w="666" w:type="dxa"/>
            <w:noWrap/>
            <w:hideMark/>
          </w:tcPr>
          <w:p w14:paraId="2D82545A"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2%</w:t>
            </w:r>
          </w:p>
        </w:tc>
        <w:tc>
          <w:tcPr>
            <w:tcW w:w="691" w:type="dxa"/>
            <w:noWrap/>
            <w:hideMark/>
          </w:tcPr>
          <w:p w14:paraId="7BEABC8F"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71%</w:t>
            </w:r>
          </w:p>
        </w:tc>
        <w:tc>
          <w:tcPr>
            <w:tcW w:w="706" w:type="dxa"/>
            <w:noWrap/>
            <w:hideMark/>
          </w:tcPr>
          <w:p w14:paraId="7750BF2B"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0%</w:t>
            </w:r>
          </w:p>
        </w:tc>
        <w:tc>
          <w:tcPr>
            <w:tcW w:w="730" w:type="dxa"/>
            <w:noWrap/>
            <w:hideMark/>
          </w:tcPr>
          <w:p w14:paraId="6FC2D352"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27%</w:t>
            </w:r>
          </w:p>
        </w:tc>
        <w:tc>
          <w:tcPr>
            <w:tcW w:w="969" w:type="dxa"/>
            <w:noWrap/>
            <w:hideMark/>
          </w:tcPr>
          <w:p w14:paraId="2031F6FD"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4.00</w:t>
            </w:r>
          </w:p>
        </w:tc>
        <w:tc>
          <w:tcPr>
            <w:tcW w:w="660" w:type="dxa"/>
            <w:noWrap/>
            <w:hideMark/>
          </w:tcPr>
          <w:p w14:paraId="37DD07AD"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xml:space="preserve">12 </w:t>
            </w:r>
          </w:p>
        </w:tc>
      </w:tr>
      <w:tr w:rsidR="00272A9E" w:rsidRPr="00164B39" w14:paraId="4C7BBE1F" w14:textId="77777777" w:rsidTr="006B3A78">
        <w:trPr>
          <w:trHeight w:hRule="exact" w:val="284"/>
        </w:trPr>
        <w:tc>
          <w:tcPr>
            <w:tcW w:w="709" w:type="dxa"/>
            <w:noWrap/>
            <w:hideMark/>
          </w:tcPr>
          <w:p w14:paraId="7AE6DAAB" w14:textId="7777777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No</w:t>
            </w:r>
          </w:p>
        </w:tc>
        <w:tc>
          <w:tcPr>
            <w:tcW w:w="660" w:type="dxa"/>
            <w:noWrap/>
            <w:hideMark/>
          </w:tcPr>
          <w:p w14:paraId="055FDDCB" w14:textId="7777777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7</w:t>
            </w:r>
          </w:p>
        </w:tc>
        <w:tc>
          <w:tcPr>
            <w:tcW w:w="574" w:type="dxa"/>
            <w:noWrap/>
            <w:hideMark/>
          </w:tcPr>
          <w:p w14:paraId="49CC5809" w14:textId="77777777"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P65A</w:t>
            </w:r>
          </w:p>
        </w:tc>
        <w:tc>
          <w:tcPr>
            <w:tcW w:w="5571" w:type="dxa"/>
            <w:noWrap/>
            <w:hideMark/>
          </w:tcPr>
          <w:p w14:paraId="3F5A4050" w14:textId="31903A81"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xml:space="preserve">Neonate, </w:t>
            </w:r>
            <w:proofErr w:type="spellStart"/>
            <w:r w:rsidRPr="00164B39">
              <w:rPr>
                <w:rFonts w:asciiTheme="minorHAnsi" w:hAnsiTheme="minorHAnsi" w:cstheme="minorHAnsi"/>
                <w:color w:val="000000"/>
                <w:sz w:val="14"/>
                <w:szCs w:val="14"/>
                <w:lang w:val="en-US" w:eastAsia="en-US"/>
              </w:rPr>
              <w:t>AdmWt</w:t>
            </w:r>
            <w:proofErr w:type="spellEnd"/>
            <w:r w:rsidRPr="00164B39">
              <w:rPr>
                <w:rFonts w:asciiTheme="minorHAnsi" w:hAnsiTheme="minorHAnsi" w:cstheme="minorHAnsi"/>
                <w:color w:val="000000"/>
                <w:sz w:val="14"/>
                <w:szCs w:val="14"/>
                <w:lang w:val="en-US" w:eastAsia="en-US"/>
              </w:rPr>
              <w:t xml:space="preserve"> 1500-1999g W/O Significant OR Proc/Vent&gt;=96hrs, Extreme Comp</w:t>
            </w:r>
          </w:p>
        </w:tc>
        <w:tc>
          <w:tcPr>
            <w:tcW w:w="691" w:type="dxa"/>
            <w:noWrap/>
            <w:hideMark/>
          </w:tcPr>
          <w:p w14:paraId="04621E40" w14:textId="77777777" w:rsidR="00272A9E" w:rsidRPr="00164B39" w:rsidRDefault="00272A9E" w:rsidP="00272A9E">
            <w:pPr>
              <w:jc w:val="right"/>
              <w:rPr>
                <w:rFonts w:asciiTheme="minorHAnsi" w:hAnsiTheme="minorHAnsi" w:cstheme="minorHAnsi"/>
                <w:b/>
                <w:color w:val="000000"/>
                <w:sz w:val="14"/>
                <w:szCs w:val="14"/>
                <w:lang w:val="en-US" w:eastAsia="en-US"/>
              </w:rPr>
            </w:pPr>
            <w:r w:rsidRPr="00164B39">
              <w:rPr>
                <w:rFonts w:asciiTheme="minorHAnsi" w:hAnsiTheme="minorHAnsi" w:cstheme="minorHAnsi"/>
                <w:b/>
                <w:color w:val="000000"/>
                <w:sz w:val="14"/>
                <w:szCs w:val="14"/>
                <w:lang w:val="en-US" w:eastAsia="en-US"/>
              </w:rPr>
              <w:t>7.61</w:t>
            </w:r>
          </w:p>
        </w:tc>
        <w:tc>
          <w:tcPr>
            <w:tcW w:w="839" w:type="dxa"/>
            <w:noWrap/>
            <w:hideMark/>
          </w:tcPr>
          <w:p w14:paraId="432F20EA"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116</w:t>
            </w:r>
          </w:p>
        </w:tc>
        <w:tc>
          <w:tcPr>
            <w:tcW w:w="691" w:type="dxa"/>
            <w:noWrap/>
            <w:hideMark/>
          </w:tcPr>
          <w:p w14:paraId="020E9C89"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10.56</w:t>
            </w:r>
          </w:p>
        </w:tc>
        <w:tc>
          <w:tcPr>
            <w:tcW w:w="655" w:type="dxa"/>
            <w:noWrap/>
            <w:hideMark/>
          </w:tcPr>
          <w:p w14:paraId="0597D9FD"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31.3</w:t>
            </w:r>
          </w:p>
        </w:tc>
        <w:tc>
          <w:tcPr>
            <w:tcW w:w="666" w:type="dxa"/>
            <w:noWrap/>
            <w:hideMark/>
          </w:tcPr>
          <w:p w14:paraId="2D926474"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0%</w:t>
            </w:r>
          </w:p>
        </w:tc>
        <w:tc>
          <w:tcPr>
            <w:tcW w:w="691" w:type="dxa"/>
            <w:noWrap/>
            <w:hideMark/>
          </w:tcPr>
          <w:p w14:paraId="642480AF"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72%</w:t>
            </w:r>
          </w:p>
        </w:tc>
        <w:tc>
          <w:tcPr>
            <w:tcW w:w="706" w:type="dxa"/>
            <w:noWrap/>
            <w:hideMark/>
          </w:tcPr>
          <w:p w14:paraId="6769A043"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0%</w:t>
            </w:r>
          </w:p>
        </w:tc>
        <w:tc>
          <w:tcPr>
            <w:tcW w:w="730" w:type="dxa"/>
            <w:noWrap/>
            <w:hideMark/>
          </w:tcPr>
          <w:p w14:paraId="5A361509"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27%</w:t>
            </w:r>
          </w:p>
        </w:tc>
        <w:tc>
          <w:tcPr>
            <w:tcW w:w="969" w:type="dxa"/>
            <w:noWrap/>
            <w:hideMark/>
          </w:tcPr>
          <w:p w14:paraId="67D1ED48"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0.41</w:t>
            </w:r>
          </w:p>
        </w:tc>
        <w:tc>
          <w:tcPr>
            <w:tcW w:w="660" w:type="dxa"/>
            <w:noWrap/>
            <w:hideMark/>
          </w:tcPr>
          <w:p w14:paraId="7B88DC63"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xml:space="preserve">140 </w:t>
            </w:r>
          </w:p>
        </w:tc>
      </w:tr>
      <w:tr w:rsidR="00272A9E" w:rsidRPr="00164B39" w14:paraId="0C2EF2F5" w14:textId="77777777" w:rsidTr="006B3A78">
        <w:trPr>
          <w:trHeight w:hRule="exact" w:val="284"/>
        </w:trPr>
        <w:tc>
          <w:tcPr>
            <w:tcW w:w="709" w:type="dxa"/>
            <w:noWrap/>
            <w:hideMark/>
          </w:tcPr>
          <w:p w14:paraId="4239845A" w14:textId="4778B619"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No</w:t>
            </w:r>
          </w:p>
        </w:tc>
        <w:tc>
          <w:tcPr>
            <w:tcW w:w="660" w:type="dxa"/>
            <w:noWrap/>
            <w:hideMark/>
          </w:tcPr>
          <w:p w14:paraId="33974969" w14:textId="7777777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8</w:t>
            </w:r>
          </w:p>
        </w:tc>
        <w:tc>
          <w:tcPr>
            <w:tcW w:w="574" w:type="dxa"/>
            <w:noWrap/>
            <w:hideMark/>
          </w:tcPr>
          <w:p w14:paraId="4DE81D61" w14:textId="77777777"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P04B</w:t>
            </w:r>
          </w:p>
        </w:tc>
        <w:tc>
          <w:tcPr>
            <w:tcW w:w="5571" w:type="dxa"/>
            <w:noWrap/>
            <w:hideMark/>
          </w:tcPr>
          <w:p w14:paraId="5CBC0314" w14:textId="432596C2"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xml:space="preserve">Neonate, </w:t>
            </w:r>
            <w:proofErr w:type="spellStart"/>
            <w:r w:rsidRPr="00164B39">
              <w:rPr>
                <w:rFonts w:asciiTheme="minorHAnsi" w:hAnsiTheme="minorHAnsi" w:cstheme="minorHAnsi"/>
                <w:color w:val="000000"/>
                <w:sz w:val="14"/>
                <w:szCs w:val="14"/>
                <w:lang w:val="en-US" w:eastAsia="en-US"/>
              </w:rPr>
              <w:t>AdmWt</w:t>
            </w:r>
            <w:proofErr w:type="spellEnd"/>
            <w:r w:rsidRPr="00164B39">
              <w:rPr>
                <w:rFonts w:asciiTheme="minorHAnsi" w:hAnsiTheme="minorHAnsi" w:cstheme="minorHAnsi"/>
                <w:color w:val="000000"/>
                <w:sz w:val="14"/>
                <w:szCs w:val="14"/>
                <w:lang w:val="en-US" w:eastAsia="en-US"/>
              </w:rPr>
              <w:t xml:space="preserve"> 1500-1999g W Significant OR Proc/Vent&gt;=96hrs, Minor Complexity</w:t>
            </w:r>
          </w:p>
        </w:tc>
        <w:tc>
          <w:tcPr>
            <w:tcW w:w="691" w:type="dxa"/>
            <w:noWrap/>
            <w:hideMark/>
          </w:tcPr>
          <w:p w14:paraId="33CF053C" w14:textId="77777777" w:rsidR="00272A9E" w:rsidRPr="00164B39" w:rsidRDefault="00272A9E" w:rsidP="00272A9E">
            <w:pPr>
              <w:jc w:val="right"/>
              <w:rPr>
                <w:rFonts w:asciiTheme="minorHAnsi" w:hAnsiTheme="minorHAnsi" w:cstheme="minorHAnsi"/>
                <w:b/>
                <w:color w:val="000000"/>
                <w:sz w:val="14"/>
                <w:szCs w:val="14"/>
                <w:lang w:val="en-US" w:eastAsia="en-US"/>
              </w:rPr>
            </w:pPr>
            <w:r w:rsidRPr="00164B39">
              <w:rPr>
                <w:rFonts w:asciiTheme="minorHAnsi" w:hAnsiTheme="minorHAnsi" w:cstheme="minorHAnsi"/>
                <w:b/>
                <w:color w:val="000000"/>
                <w:sz w:val="14"/>
                <w:szCs w:val="14"/>
                <w:lang w:val="en-US" w:eastAsia="en-US"/>
              </w:rPr>
              <w:t>7.11</w:t>
            </w:r>
          </w:p>
        </w:tc>
        <w:tc>
          <w:tcPr>
            <w:tcW w:w="839" w:type="dxa"/>
            <w:noWrap/>
            <w:hideMark/>
          </w:tcPr>
          <w:p w14:paraId="2808A903"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26</w:t>
            </w:r>
          </w:p>
        </w:tc>
        <w:tc>
          <w:tcPr>
            <w:tcW w:w="691" w:type="dxa"/>
            <w:noWrap/>
            <w:hideMark/>
          </w:tcPr>
          <w:p w14:paraId="6F48A63D"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10.20</w:t>
            </w:r>
          </w:p>
        </w:tc>
        <w:tc>
          <w:tcPr>
            <w:tcW w:w="655" w:type="dxa"/>
            <w:noWrap/>
            <w:hideMark/>
          </w:tcPr>
          <w:p w14:paraId="511E5D4F"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30.1</w:t>
            </w:r>
          </w:p>
        </w:tc>
        <w:tc>
          <w:tcPr>
            <w:tcW w:w="666" w:type="dxa"/>
            <w:noWrap/>
            <w:hideMark/>
          </w:tcPr>
          <w:p w14:paraId="14EE6FF3"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0%</w:t>
            </w:r>
          </w:p>
        </w:tc>
        <w:tc>
          <w:tcPr>
            <w:tcW w:w="691" w:type="dxa"/>
            <w:noWrap/>
            <w:hideMark/>
          </w:tcPr>
          <w:p w14:paraId="1A49855C"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70%</w:t>
            </w:r>
          </w:p>
        </w:tc>
        <w:tc>
          <w:tcPr>
            <w:tcW w:w="706" w:type="dxa"/>
            <w:noWrap/>
            <w:hideMark/>
          </w:tcPr>
          <w:p w14:paraId="118DEA39"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0%</w:t>
            </w:r>
          </w:p>
        </w:tc>
        <w:tc>
          <w:tcPr>
            <w:tcW w:w="730" w:type="dxa"/>
            <w:noWrap/>
            <w:hideMark/>
          </w:tcPr>
          <w:p w14:paraId="0C5F5158"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30%</w:t>
            </w:r>
          </w:p>
        </w:tc>
        <w:tc>
          <w:tcPr>
            <w:tcW w:w="969" w:type="dxa"/>
            <w:noWrap/>
            <w:hideMark/>
          </w:tcPr>
          <w:p w14:paraId="3FC05F21"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w:t>
            </w:r>
          </w:p>
        </w:tc>
        <w:tc>
          <w:tcPr>
            <w:tcW w:w="660" w:type="dxa"/>
            <w:noWrap/>
            <w:hideMark/>
          </w:tcPr>
          <w:p w14:paraId="520E5DBD"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w:t>
            </w:r>
          </w:p>
        </w:tc>
      </w:tr>
      <w:tr w:rsidR="00272A9E" w:rsidRPr="00164B39" w14:paraId="48163CE6" w14:textId="77777777" w:rsidTr="006B3A78">
        <w:trPr>
          <w:trHeight w:hRule="exact" w:val="284"/>
        </w:trPr>
        <w:tc>
          <w:tcPr>
            <w:tcW w:w="709" w:type="dxa"/>
            <w:noWrap/>
            <w:hideMark/>
          </w:tcPr>
          <w:p w14:paraId="002B4593" w14:textId="7777777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No</w:t>
            </w:r>
          </w:p>
        </w:tc>
        <w:tc>
          <w:tcPr>
            <w:tcW w:w="660" w:type="dxa"/>
            <w:noWrap/>
            <w:hideMark/>
          </w:tcPr>
          <w:p w14:paraId="1718BE18" w14:textId="7777777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9</w:t>
            </w:r>
          </w:p>
        </w:tc>
        <w:tc>
          <w:tcPr>
            <w:tcW w:w="574" w:type="dxa"/>
            <w:noWrap/>
            <w:hideMark/>
          </w:tcPr>
          <w:p w14:paraId="2B416036" w14:textId="77777777"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P05B</w:t>
            </w:r>
          </w:p>
        </w:tc>
        <w:tc>
          <w:tcPr>
            <w:tcW w:w="5571" w:type="dxa"/>
            <w:noWrap/>
            <w:hideMark/>
          </w:tcPr>
          <w:p w14:paraId="0614B006" w14:textId="77777777"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xml:space="preserve">Neonate, </w:t>
            </w:r>
            <w:proofErr w:type="spellStart"/>
            <w:r w:rsidRPr="00164B39">
              <w:rPr>
                <w:rFonts w:asciiTheme="minorHAnsi" w:hAnsiTheme="minorHAnsi" w:cstheme="minorHAnsi"/>
                <w:color w:val="000000"/>
                <w:sz w:val="14"/>
                <w:szCs w:val="14"/>
                <w:lang w:val="en-US" w:eastAsia="en-US"/>
              </w:rPr>
              <w:t>AdmWt</w:t>
            </w:r>
            <w:proofErr w:type="spellEnd"/>
            <w:r w:rsidRPr="00164B39">
              <w:rPr>
                <w:rFonts w:asciiTheme="minorHAnsi" w:hAnsiTheme="minorHAnsi" w:cstheme="minorHAnsi"/>
                <w:color w:val="000000"/>
                <w:sz w:val="14"/>
                <w:szCs w:val="14"/>
                <w:lang w:val="en-US" w:eastAsia="en-US"/>
              </w:rPr>
              <w:t xml:space="preserve"> 2000-2499g W Significant OR Proc/Vent&gt;=96hrs, Minor Complexity</w:t>
            </w:r>
          </w:p>
        </w:tc>
        <w:tc>
          <w:tcPr>
            <w:tcW w:w="691" w:type="dxa"/>
            <w:noWrap/>
            <w:hideMark/>
          </w:tcPr>
          <w:p w14:paraId="62B188E8" w14:textId="77777777" w:rsidR="00272A9E" w:rsidRPr="00164B39" w:rsidRDefault="00272A9E" w:rsidP="00272A9E">
            <w:pPr>
              <w:jc w:val="right"/>
              <w:rPr>
                <w:rFonts w:asciiTheme="minorHAnsi" w:hAnsiTheme="minorHAnsi" w:cstheme="minorHAnsi"/>
                <w:b/>
                <w:color w:val="000000"/>
                <w:sz w:val="14"/>
                <w:szCs w:val="14"/>
                <w:lang w:val="en-US" w:eastAsia="en-US"/>
              </w:rPr>
            </w:pPr>
            <w:r w:rsidRPr="00164B39">
              <w:rPr>
                <w:rFonts w:asciiTheme="minorHAnsi" w:hAnsiTheme="minorHAnsi" w:cstheme="minorHAnsi"/>
                <w:b/>
                <w:color w:val="000000"/>
                <w:sz w:val="14"/>
                <w:szCs w:val="14"/>
                <w:lang w:val="en-US" w:eastAsia="en-US"/>
              </w:rPr>
              <w:t>6.62</w:t>
            </w:r>
          </w:p>
        </w:tc>
        <w:tc>
          <w:tcPr>
            <w:tcW w:w="839" w:type="dxa"/>
            <w:noWrap/>
            <w:hideMark/>
          </w:tcPr>
          <w:p w14:paraId="4FDE04FF"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25</w:t>
            </w:r>
          </w:p>
        </w:tc>
        <w:tc>
          <w:tcPr>
            <w:tcW w:w="691" w:type="dxa"/>
            <w:noWrap/>
            <w:hideMark/>
          </w:tcPr>
          <w:p w14:paraId="137286E0"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8.81</w:t>
            </w:r>
          </w:p>
        </w:tc>
        <w:tc>
          <w:tcPr>
            <w:tcW w:w="655" w:type="dxa"/>
            <w:noWrap/>
            <w:hideMark/>
          </w:tcPr>
          <w:p w14:paraId="2BAD09DB"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18.7</w:t>
            </w:r>
          </w:p>
        </w:tc>
        <w:tc>
          <w:tcPr>
            <w:tcW w:w="666" w:type="dxa"/>
            <w:noWrap/>
            <w:hideMark/>
          </w:tcPr>
          <w:p w14:paraId="285FDF2A"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0%</w:t>
            </w:r>
          </w:p>
        </w:tc>
        <w:tc>
          <w:tcPr>
            <w:tcW w:w="691" w:type="dxa"/>
            <w:noWrap/>
            <w:hideMark/>
          </w:tcPr>
          <w:p w14:paraId="0101287A"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75%</w:t>
            </w:r>
          </w:p>
        </w:tc>
        <w:tc>
          <w:tcPr>
            <w:tcW w:w="706" w:type="dxa"/>
            <w:noWrap/>
            <w:hideMark/>
          </w:tcPr>
          <w:p w14:paraId="247A781C"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0%</w:t>
            </w:r>
          </w:p>
        </w:tc>
        <w:tc>
          <w:tcPr>
            <w:tcW w:w="730" w:type="dxa"/>
            <w:noWrap/>
            <w:hideMark/>
          </w:tcPr>
          <w:p w14:paraId="095E8EF6"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25%</w:t>
            </w:r>
          </w:p>
        </w:tc>
        <w:tc>
          <w:tcPr>
            <w:tcW w:w="969" w:type="dxa"/>
            <w:noWrap/>
            <w:hideMark/>
          </w:tcPr>
          <w:p w14:paraId="0B9F289B"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0.00</w:t>
            </w:r>
          </w:p>
        </w:tc>
        <w:tc>
          <w:tcPr>
            <w:tcW w:w="660" w:type="dxa"/>
            <w:noWrap/>
            <w:hideMark/>
          </w:tcPr>
          <w:p w14:paraId="73E58B19"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xml:space="preserve">738 </w:t>
            </w:r>
          </w:p>
        </w:tc>
      </w:tr>
      <w:tr w:rsidR="00272A9E" w:rsidRPr="00164B39" w14:paraId="24CF88B2" w14:textId="77777777" w:rsidTr="006B3A78">
        <w:trPr>
          <w:trHeight w:hRule="exact" w:val="284"/>
        </w:trPr>
        <w:tc>
          <w:tcPr>
            <w:tcW w:w="709" w:type="dxa"/>
            <w:noWrap/>
            <w:hideMark/>
          </w:tcPr>
          <w:p w14:paraId="182B1AB3" w14:textId="7777777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No</w:t>
            </w:r>
          </w:p>
        </w:tc>
        <w:tc>
          <w:tcPr>
            <w:tcW w:w="660" w:type="dxa"/>
            <w:noWrap/>
            <w:hideMark/>
          </w:tcPr>
          <w:p w14:paraId="48AC0205" w14:textId="7777777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10</w:t>
            </w:r>
          </w:p>
        </w:tc>
        <w:tc>
          <w:tcPr>
            <w:tcW w:w="574" w:type="dxa"/>
            <w:noWrap/>
            <w:hideMark/>
          </w:tcPr>
          <w:p w14:paraId="09D64E1D" w14:textId="77777777"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B42A</w:t>
            </w:r>
          </w:p>
        </w:tc>
        <w:tc>
          <w:tcPr>
            <w:tcW w:w="5571" w:type="dxa"/>
            <w:noWrap/>
            <w:hideMark/>
          </w:tcPr>
          <w:p w14:paraId="7D7F6F45" w14:textId="6350B922" w:rsidR="00426D7B" w:rsidRPr="00164B39" w:rsidRDefault="00272A9E" w:rsidP="003956FC">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Nervous System Disorders W Ventilator Support, Major Complexity</w:t>
            </w:r>
          </w:p>
        </w:tc>
        <w:tc>
          <w:tcPr>
            <w:tcW w:w="691" w:type="dxa"/>
            <w:noWrap/>
            <w:hideMark/>
          </w:tcPr>
          <w:p w14:paraId="1CDCA7E0" w14:textId="77777777" w:rsidR="00272A9E" w:rsidRPr="00164B39" w:rsidRDefault="00272A9E" w:rsidP="00272A9E">
            <w:pPr>
              <w:jc w:val="right"/>
              <w:rPr>
                <w:rFonts w:asciiTheme="minorHAnsi" w:hAnsiTheme="minorHAnsi" w:cstheme="minorHAnsi"/>
                <w:b/>
                <w:color w:val="000000"/>
                <w:sz w:val="14"/>
                <w:szCs w:val="14"/>
                <w:lang w:val="en-US" w:eastAsia="en-US"/>
              </w:rPr>
            </w:pPr>
            <w:r w:rsidRPr="00164B39">
              <w:rPr>
                <w:rFonts w:asciiTheme="minorHAnsi" w:hAnsiTheme="minorHAnsi" w:cstheme="minorHAnsi"/>
                <w:b/>
                <w:color w:val="000000"/>
                <w:sz w:val="14"/>
                <w:szCs w:val="14"/>
                <w:lang w:val="en-US" w:eastAsia="en-US"/>
              </w:rPr>
              <w:t>5.87</w:t>
            </w:r>
          </w:p>
        </w:tc>
        <w:tc>
          <w:tcPr>
            <w:tcW w:w="839" w:type="dxa"/>
            <w:noWrap/>
            <w:hideMark/>
          </w:tcPr>
          <w:p w14:paraId="5820EEF3"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30</w:t>
            </w:r>
          </w:p>
        </w:tc>
        <w:tc>
          <w:tcPr>
            <w:tcW w:w="691" w:type="dxa"/>
            <w:noWrap/>
            <w:hideMark/>
          </w:tcPr>
          <w:p w14:paraId="027BD16C"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10.24</w:t>
            </w:r>
          </w:p>
        </w:tc>
        <w:tc>
          <w:tcPr>
            <w:tcW w:w="655" w:type="dxa"/>
            <w:noWrap/>
            <w:hideMark/>
          </w:tcPr>
          <w:p w14:paraId="631DDA59"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16.3</w:t>
            </w:r>
          </w:p>
        </w:tc>
        <w:tc>
          <w:tcPr>
            <w:tcW w:w="666" w:type="dxa"/>
            <w:noWrap/>
            <w:hideMark/>
          </w:tcPr>
          <w:p w14:paraId="0B4E786E"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2%</w:t>
            </w:r>
          </w:p>
        </w:tc>
        <w:tc>
          <w:tcPr>
            <w:tcW w:w="691" w:type="dxa"/>
            <w:noWrap/>
            <w:hideMark/>
          </w:tcPr>
          <w:p w14:paraId="5C6ED43F"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57%</w:t>
            </w:r>
          </w:p>
        </w:tc>
        <w:tc>
          <w:tcPr>
            <w:tcW w:w="706" w:type="dxa"/>
            <w:noWrap/>
            <w:hideMark/>
          </w:tcPr>
          <w:p w14:paraId="22D16F3F"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0%</w:t>
            </w:r>
          </w:p>
        </w:tc>
        <w:tc>
          <w:tcPr>
            <w:tcW w:w="730" w:type="dxa"/>
            <w:noWrap/>
            <w:hideMark/>
          </w:tcPr>
          <w:p w14:paraId="57A58F1D"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41%</w:t>
            </w:r>
          </w:p>
        </w:tc>
        <w:tc>
          <w:tcPr>
            <w:tcW w:w="969" w:type="dxa"/>
            <w:noWrap/>
            <w:hideMark/>
          </w:tcPr>
          <w:p w14:paraId="05703377"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w:t>
            </w:r>
          </w:p>
        </w:tc>
        <w:tc>
          <w:tcPr>
            <w:tcW w:w="660" w:type="dxa"/>
            <w:noWrap/>
            <w:hideMark/>
          </w:tcPr>
          <w:p w14:paraId="3C730D3C"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w:t>
            </w:r>
          </w:p>
        </w:tc>
      </w:tr>
      <w:tr w:rsidR="00272A9E" w:rsidRPr="00164B39" w14:paraId="5C625561" w14:textId="77777777" w:rsidTr="006B3A78">
        <w:trPr>
          <w:trHeight w:hRule="exact" w:val="284"/>
        </w:trPr>
        <w:tc>
          <w:tcPr>
            <w:tcW w:w="709" w:type="dxa"/>
            <w:noWrap/>
            <w:hideMark/>
          </w:tcPr>
          <w:p w14:paraId="48BBDC98" w14:textId="7777777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Yes</w:t>
            </w:r>
          </w:p>
        </w:tc>
        <w:tc>
          <w:tcPr>
            <w:tcW w:w="660" w:type="dxa"/>
            <w:noWrap/>
            <w:hideMark/>
          </w:tcPr>
          <w:p w14:paraId="6A0A9B71" w14:textId="7777777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11</w:t>
            </w:r>
          </w:p>
        </w:tc>
        <w:tc>
          <w:tcPr>
            <w:tcW w:w="574" w:type="dxa"/>
            <w:noWrap/>
            <w:hideMark/>
          </w:tcPr>
          <w:p w14:paraId="33FA314B" w14:textId="77777777"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F04A</w:t>
            </w:r>
          </w:p>
        </w:tc>
        <w:tc>
          <w:tcPr>
            <w:tcW w:w="5571" w:type="dxa"/>
            <w:noWrap/>
            <w:hideMark/>
          </w:tcPr>
          <w:p w14:paraId="2041CBA9" w14:textId="77777777"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Cardiac Valve Procedures W CPB Pump W/O Invasive Cardiac Invest, Major Comp</w:t>
            </w:r>
          </w:p>
        </w:tc>
        <w:tc>
          <w:tcPr>
            <w:tcW w:w="691" w:type="dxa"/>
            <w:noWrap/>
            <w:hideMark/>
          </w:tcPr>
          <w:p w14:paraId="172EDBD4" w14:textId="77777777" w:rsidR="00272A9E" w:rsidRPr="00164B39" w:rsidRDefault="00272A9E" w:rsidP="00272A9E">
            <w:pPr>
              <w:jc w:val="right"/>
              <w:rPr>
                <w:rFonts w:asciiTheme="minorHAnsi" w:hAnsiTheme="minorHAnsi" w:cstheme="minorHAnsi"/>
                <w:b/>
                <w:color w:val="000000"/>
                <w:sz w:val="14"/>
                <w:szCs w:val="14"/>
                <w:lang w:val="en-US" w:eastAsia="en-US"/>
              </w:rPr>
            </w:pPr>
            <w:r w:rsidRPr="00164B39">
              <w:rPr>
                <w:rFonts w:asciiTheme="minorHAnsi" w:hAnsiTheme="minorHAnsi" w:cstheme="minorHAnsi"/>
                <w:b/>
                <w:color w:val="000000"/>
                <w:sz w:val="14"/>
                <w:szCs w:val="14"/>
                <w:lang w:val="en-US" w:eastAsia="en-US"/>
              </w:rPr>
              <w:t>5.78</w:t>
            </w:r>
          </w:p>
        </w:tc>
        <w:tc>
          <w:tcPr>
            <w:tcW w:w="839" w:type="dxa"/>
            <w:noWrap/>
            <w:hideMark/>
          </w:tcPr>
          <w:p w14:paraId="7BB407CA"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291</w:t>
            </w:r>
          </w:p>
        </w:tc>
        <w:tc>
          <w:tcPr>
            <w:tcW w:w="691" w:type="dxa"/>
            <w:noWrap/>
            <w:hideMark/>
          </w:tcPr>
          <w:p w14:paraId="449BBDEE"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16.52</w:t>
            </w:r>
          </w:p>
        </w:tc>
        <w:tc>
          <w:tcPr>
            <w:tcW w:w="655" w:type="dxa"/>
            <w:noWrap/>
            <w:hideMark/>
          </w:tcPr>
          <w:p w14:paraId="25D21C85"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24.4</w:t>
            </w:r>
          </w:p>
        </w:tc>
        <w:tc>
          <w:tcPr>
            <w:tcW w:w="666" w:type="dxa"/>
            <w:noWrap/>
            <w:hideMark/>
          </w:tcPr>
          <w:p w14:paraId="089CD19E"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14%</w:t>
            </w:r>
          </w:p>
        </w:tc>
        <w:tc>
          <w:tcPr>
            <w:tcW w:w="691" w:type="dxa"/>
            <w:noWrap/>
            <w:hideMark/>
          </w:tcPr>
          <w:p w14:paraId="03224FD4"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35%</w:t>
            </w:r>
          </w:p>
        </w:tc>
        <w:tc>
          <w:tcPr>
            <w:tcW w:w="706" w:type="dxa"/>
            <w:noWrap/>
            <w:hideMark/>
          </w:tcPr>
          <w:p w14:paraId="565D18AF"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19%</w:t>
            </w:r>
          </w:p>
        </w:tc>
        <w:tc>
          <w:tcPr>
            <w:tcW w:w="730" w:type="dxa"/>
            <w:noWrap/>
            <w:hideMark/>
          </w:tcPr>
          <w:p w14:paraId="4C88D2E8"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32%</w:t>
            </w:r>
          </w:p>
        </w:tc>
        <w:tc>
          <w:tcPr>
            <w:tcW w:w="969" w:type="dxa"/>
            <w:noWrap/>
            <w:hideMark/>
          </w:tcPr>
          <w:p w14:paraId="380FFD40"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4.53</w:t>
            </w:r>
          </w:p>
        </w:tc>
        <w:tc>
          <w:tcPr>
            <w:tcW w:w="660" w:type="dxa"/>
            <w:noWrap/>
            <w:hideMark/>
          </w:tcPr>
          <w:p w14:paraId="58735A76"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xml:space="preserve">7 </w:t>
            </w:r>
          </w:p>
        </w:tc>
      </w:tr>
      <w:tr w:rsidR="00272A9E" w:rsidRPr="00164B39" w14:paraId="7A509A17" w14:textId="77777777" w:rsidTr="006B3A78">
        <w:trPr>
          <w:trHeight w:hRule="exact" w:val="284"/>
        </w:trPr>
        <w:tc>
          <w:tcPr>
            <w:tcW w:w="709" w:type="dxa"/>
            <w:noWrap/>
            <w:hideMark/>
          </w:tcPr>
          <w:p w14:paraId="43725563" w14:textId="7777777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Yes</w:t>
            </w:r>
          </w:p>
        </w:tc>
        <w:tc>
          <w:tcPr>
            <w:tcW w:w="660" w:type="dxa"/>
            <w:noWrap/>
            <w:hideMark/>
          </w:tcPr>
          <w:p w14:paraId="14428711" w14:textId="7777777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12</w:t>
            </w:r>
          </w:p>
        </w:tc>
        <w:tc>
          <w:tcPr>
            <w:tcW w:w="574" w:type="dxa"/>
            <w:noWrap/>
            <w:hideMark/>
          </w:tcPr>
          <w:p w14:paraId="57445152" w14:textId="77777777"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F43A</w:t>
            </w:r>
          </w:p>
        </w:tc>
        <w:tc>
          <w:tcPr>
            <w:tcW w:w="5571" w:type="dxa"/>
            <w:noWrap/>
            <w:hideMark/>
          </w:tcPr>
          <w:p w14:paraId="72F08ED4" w14:textId="77777777"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Circulatory Disorders W Non-Invasive Ventilation, Major Complexity</w:t>
            </w:r>
          </w:p>
        </w:tc>
        <w:tc>
          <w:tcPr>
            <w:tcW w:w="691" w:type="dxa"/>
            <w:noWrap/>
            <w:hideMark/>
          </w:tcPr>
          <w:p w14:paraId="11A44544" w14:textId="77777777" w:rsidR="00272A9E" w:rsidRPr="00164B39" w:rsidRDefault="00272A9E" w:rsidP="00272A9E">
            <w:pPr>
              <w:jc w:val="right"/>
              <w:rPr>
                <w:rFonts w:asciiTheme="minorHAnsi" w:hAnsiTheme="minorHAnsi" w:cstheme="minorHAnsi"/>
                <w:b/>
                <w:color w:val="000000"/>
                <w:sz w:val="14"/>
                <w:szCs w:val="14"/>
                <w:lang w:val="en-US" w:eastAsia="en-US"/>
              </w:rPr>
            </w:pPr>
            <w:r w:rsidRPr="00164B39">
              <w:rPr>
                <w:rFonts w:asciiTheme="minorHAnsi" w:hAnsiTheme="minorHAnsi" w:cstheme="minorHAnsi"/>
                <w:b/>
                <w:color w:val="000000"/>
                <w:sz w:val="14"/>
                <w:szCs w:val="14"/>
                <w:lang w:val="en-US" w:eastAsia="en-US"/>
              </w:rPr>
              <w:t>5.63</w:t>
            </w:r>
          </w:p>
        </w:tc>
        <w:tc>
          <w:tcPr>
            <w:tcW w:w="839" w:type="dxa"/>
            <w:noWrap/>
            <w:hideMark/>
          </w:tcPr>
          <w:p w14:paraId="66020B0E"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46</w:t>
            </w:r>
          </w:p>
        </w:tc>
        <w:tc>
          <w:tcPr>
            <w:tcW w:w="691" w:type="dxa"/>
            <w:noWrap/>
            <w:hideMark/>
          </w:tcPr>
          <w:p w14:paraId="776F119E"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9.48</w:t>
            </w:r>
          </w:p>
        </w:tc>
        <w:tc>
          <w:tcPr>
            <w:tcW w:w="655" w:type="dxa"/>
            <w:noWrap/>
            <w:hideMark/>
          </w:tcPr>
          <w:p w14:paraId="7B03CC10"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20.5</w:t>
            </w:r>
          </w:p>
        </w:tc>
        <w:tc>
          <w:tcPr>
            <w:tcW w:w="666" w:type="dxa"/>
            <w:noWrap/>
            <w:hideMark/>
          </w:tcPr>
          <w:p w14:paraId="5BB870C8"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2%</w:t>
            </w:r>
          </w:p>
        </w:tc>
        <w:tc>
          <w:tcPr>
            <w:tcW w:w="691" w:type="dxa"/>
            <w:noWrap/>
            <w:hideMark/>
          </w:tcPr>
          <w:p w14:paraId="4DCB82F2"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59%</w:t>
            </w:r>
          </w:p>
        </w:tc>
        <w:tc>
          <w:tcPr>
            <w:tcW w:w="706" w:type="dxa"/>
            <w:noWrap/>
            <w:hideMark/>
          </w:tcPr>
          <w:p w14:paraId="136B5309"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0%</w:t>
            </w:r>
          </w:p>
        </w:tc>
        <w:tc>
          <w:tcPr>
            <w:tcW w:w="730" w:type="dxa"/>
            <w:noWrap/>
            <w:hideMark/>
          </w:tcPr>
          <w:p w14:paraId="175D40EF"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38%</w:t>
            </w:r>
          </w:p>
        </w:tc>
        <w:tc>
          <w:tcPr>
            <w:tcW w:w="969" w:type="dxa"/>
            <w:noWrap/>
            <w:hideMark/>
          </w:tcPr>
          <w:p w14:paraId="6F90E14B"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3.61</w:t>
            </w:r>
          </w:p>
        </w:tc>
        <w:tc>
          <w:tcPr>
            <w:tcW w:w="660" w:type="dxa"/>
            <w:noWrap/>
            <w:hideMark/>
          </w:tcPr>
          <w:p w14:paraId="241FFD99"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xml:space="preserve">13 </w:t>
            </w:r>
          </w:p>
        </w:tc>
      </w:tr>
      <w:tr w:rsidR="00272A9E" w:rsidRPr="00164B39" w14:paraId="0B7E7A6A" w14:textId="77777777" w:rsidTr="006B3A78">
        <w:trPr>
          <w:trHeight w:hRule="exact" w:val="284"/>
        </w:trPr>
        <w:tc>
          <w:tcPr>
            <w:tcW w:w="709" w:type="dxa"/>
            <w:noWrap/>
            <w:hideMark/>
          </w:tcPr>
          <w:p w14:paraId="01345773" w14:textId="7777777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Yes</w:t>
            </w:r>
          </w:p>
        </w:tc>
        <w:tc>
          <w:tcPr>
            <w:tcW w:w="660" w:type="dxa"/>
            <w:noWrap/>
            <w:hideMark/>
          </w:tcPr>
          <w:p w14:paraId="500B8A41" w14:textId="7777777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13</w:t>
            </w:r>
          </w:p>
        </w:tc>
        <w:tc>
          <w:tcPr>
            <w:tcW w:w="574" w:type="dxa"/>
            <w:noWrap/>
            <w:hideMark/>
          </w:tcPr>
          <w:p w14:paraId="65C3B149" w14:textId="77777777"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T40Z</w:t>
            </w:r>
          </w:p>
        </w:tc>
        <w:tc>
          <w:tcPr>
            <w:tcW w:w="5571" w:type="dxa"/>
            <w:noWrap/>
            <w:hideMark/>
          </w:tcPr>
          <w:p w14:paraId="1F752260" w14:textId="77777777"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Infectious and Parasitic Diseases W Ventilator Support</w:t>
            </w:r>
          </w:p>
        </w:tc>
        <w:tc>
          <w:tcPr>
            <w:tcW w:w="691" w:type="dxa"/>
            <w:noWrap/>
            <w:hideMark/>
          </w:tcPr>
          <w:p w14:paraId="6BB48315" w14:textId="77777777" w:rsidR="00272A9E" w:rsidRPr="00164B39" w:rsidRDefault="00272A9E" w:rsidP="00272A9E">
            <w:pPr>
              <w:jc w:val="right"/>
              <w:rPr>
                <w:rFonts w:asciiTheme="minorHAnsi" w:hAnsiTheme="minorHAnsi" w:cstheme="minorHAnsi"/>
                <w:b/>
                <w:color w:val="000000"/>
                <w:sz w:val="14"/>
                <w:szCs w:val="14"/>
                <w:lang w:val="en-US" w:eastAsia="en-US"/>
              </w:rPr>
            </w:pPr>
            <w:r w:rsidRPr="00164B39">
              <w:rPr>
                <w:rFonts w:asciiTheme="minorHAnsi" w:hAnsiTheme="minorHAnsi" w:cstheme="minorHAnsi"/>
                <w:b/>
                <w:color w:val="000000"/>
                <w:sz w:val="14"/>
                <w:szCs w:val="14"/>
                <w:lang w:val="en-US" w:eastAsia="en-US"/>
              </w:rPr>
              <w:t>5.37</w:t>
            </w:r>
          </w:p>
        </w:tc>
        <w:tc>
          <w:tcPr>
            <w:tcW w:w="839" w:type="dxa"/>
            <w:noWrap/>
            <w:hideMark/>
          </w:tcPr>
          <w:p w14:paraId="07159E0A"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24</w:t>
            </w:r>
          </w:p>
        </w:tc>
        <w:tc>
          <w:tcPr>
            <w:tcW w:w="691" w:type="dxa"/>
            <w:noWrap/>
            <w:hideMark/>
          </w:tcPr>
          <w:p w14:paraId="635C9E34"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8.86</w:t>
            </w:r>
          </w:p>
        </w:tc>
        <w:tc>
          <w:tcPr>
            <w:tcW w:w="655" w:type="dxa"/>
            <w:noWrap/>
            <w:hideMark/>
          </w:tcPr>
          <w:p w14:paraId="732E100C"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13.7</w:t>
            </w:r>
          </w:p>
        </w:tc>
        <w:tc>
          <w:tcPr>
            <w:tcW w:w="666" w:type="dxa"/>
            <w:noWrap/>
            <w:hideMark/>
          </w:tcPr>
          <w:p w14:paraId="492A906C"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2%</w:t>
            </w:r>
          </w:p>
        </w:tc>
        <w:tc>
          <w:tcPr>
            <w:tcW w:w="691" w:type="dxa"/>
            <w:noWrap/>
            <w:hideMark/>
          </w:tcPr>
          <w:p w14:paraId="00F36704"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61%</w:t>
            </w:r>
          </w:p>
        </w:tc>
        <w:tc>
          <w:tcPr>
            <w:tcW w:w="706" w:type="dxa"/>
            <w:noWrap/>
            <w:hideMark/>
          </w:tcPr>
          <w:p w14:paraId="14C3A786"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0%</w:t>
            </w:r>
          </w:p>
        </w:tc>
        <w:tc>
          <w:tcPr>
            <w:tcW w:w="730" w:type="dxa"/>
            <w:noWrap/>
            <w:hideMark/>
          </w:tcPr>
          <w:p w14:paraId="30FE7375"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38%</w:t>
            </w:r>
          </w:p>
        </w:tc>
        <w:tc>
          <w:tcPr>
            <w:tcW w:w="969" w:type="dxa"/>
            <w:noWrap/>
            <w:hideMark/>
          </w:tcPr>
          <w:p w14:paraId="2CA02230"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4.04</w:t>
            </w:r>
          </w:p>
        </w:tc>
        <w:tc>
          <w:tcPr>
            <w:tcW w:w="660" w:type="dxa"/>
            <w:noWrap/>
            <w:hideMark/>
          </w:tcPr>
          <w:p w14:paraId="164C62FE"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xml:space="preserve">11 </w:t>
            </w:r>
          </w:p>
        </w:tc>
      </w:tr>
      <w:tr w:rsidR="00272A9E" w:rsidRPr="00164B39" w14:paraId="59A7202D" w14:textId="77777777" w:rsidTr="006B3A78">
        <w:trPr>
          <w:trHeight w:hRule="exact" w:val="284"/>
        </w:trPr>
        <w:tc>
          <w:tcPr>
            <w:tcW w:w="709" w:type="dxa"/>
            <w:noWrap/>
            <w:hideMark/>
          </w:tcPr>
          <w:p w14:paraId="0E2ADEF5" w14:textId="7777777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Yes</w:t>
            </w:r>
          </w:p>
        </w:tc>
        <w:tc>
          <w:tcPr>
            <w:tcW w:w="660" w:type="dxa"/>
            <w:noWrap/>
            <w:hideMark/>
          </w:tcPr>
          <w:p w14:paraId="1DB81FCE" w14:textId="7777777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14</w:t>
            </w:r>
          </w:p>
        </w:tc>
        <w:tc>
          <w:tcPr>
            <w:tcW w:w="574" w:type="dxa"/>
            <w:noWrap/>
            <w:hideMark/>
          </w:tcPr>
          <w:p w14:paraId="3BA8E5E9" w14:textId="77777777"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E41A</w:t>
            </w:r>
          </w:p>
        </w:tc>
        <w:tc>
          <w:tcPr>
            <w:tcW w:w="5571" w:type="dxa"/>
            <w:noWrap/>
            <w:hideMark/>
          </w:tcPr>
          <w:p w14:paraId="5988E316" w14:textId="77777777"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Respiratory System Disorders W Non-Invasive Ventilation, Major Complexity</w:t>
            </w:r>
          </w:p>
        </w:tc>
        <w:tc>
          <w:tcPr>
            <w:tcW w:w="691" w:type="dxa"/>
            <w:noWrap/>
            <w:hideMark/>
          </w:tcPr>
          <w:p w14:paraId="737CB76E" w14:textId="77777777" w:rsidR="00272A9E" w:rsidRPr="00164B39" w:rsidRDefault="00272A9E" w:rsidP="00272A9E">
            <w:pPr>
              <w:jc w:val="right"/>
              <w:rPr>
                <w:rFonts w:asciiTheme="minorHAnsi" w:hAnsiTheme="minorHAnsi" w:cstheme="minorHAnsi"/>
                <w:b/>
                <w:color w:val="000000"/>
                <w:sz w:val="14"/>
                <w:szCs w:val="14"/>
                <w:lang w:val="en-US" w:eastAsia="en-US"/>
              </w:rPr>
            </w:pPr>
            <w:r w:rsidRPr="00164B39">
              <w:rPr>
                <w:rFonts w:asciiTheme="minorHAnsi" w:hAnsiTheme="minorHAnsi" w:cstheme="minorHAnsi"/>
                <w:b/>
                <w:color w:val="000000"/>
                <w:sz w:val="14"/>
                <w:szCs w:val="14"/>
                <w:lang w:val="en-US" w:eastAsia="en-US"/>
              </w:rPr>
              <w:t>5.13</w:t>
            </w:r>
          </w:p>
        </w:tc>
        <w:tc>
          <w:tcPr>
            <w:tcW w:w="839" w:type="dxa"/>
            <w:noWrap/>
            <w:hideMark/>
          </w:tcPr>
          <w:p w14:paraId="1295DB25"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288</w:t>
            </w:r>
          </w:p>
        </w:tc>
        <w:tc>
          <w:tcPr>
            <w:tcW w:w="691" w:type="dxa"/>
            <w:noWrap/>
            <w:hideMark/>
          </w:tcPr>
          <w:p w14:paraId="1A04C860"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9.39</w:t>
            </w:r>
          </w:p>
        </w:tc>
        <w:tc>
          <w:tcPr>
            <w:tcW w:w="655" w:type="dxa"/>
            <w:noWrap/>
            <w:hideMark/>
          </w:tcPr>
          <w:p w14:paraId="4487CB9D"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20.8</w:t>
            </w:r>
          </w:p>
        </w:tc>
        <w:tc>
          <w:tcPr>
            <w:tcW w:w="666" w:type="dxa"/>
            <w:noWrap/>
            <w:hideMark/>
          </w:tcPr>
          <w:p w14:paraId="289B1D7A"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w:t>
            </w:r>
          </w:p>
        </w:tc>
        <w:tc>
          <w:tcPr>
            <w:tcW w:w="691" w:type="dxa"/>
            <w:noWrap/>
            <w:hideMark/>
          </w:tcPr>
          <w:p w14:paraId="61C6AA2F"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55%</w:t>
            </w:r>
          </w:p>
        </w:tc>
        <w:tc>
          <w:tcPr>
            <w:tcW w:w="706" w:type="dxa"/>
            <w:noWrap/>
            <w:hideMark/>
          </w:tcPr>
          <w:p w14:paraId="1D7BB740"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0%</w:t>
            </w:r>
          </w:p>
        </w:tc>
        <w:tc>
          <w:tcPr>
            <w:tcW w:w="730" w:type="dxa"/>
            <w:noWrap/>
            <w:hideMark/>
          </w:tcPr>
          <w:p w14:paraId="2E31D47D"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44%</w:t>
            </w:r>
          </w:p>
        </w:tc>
        <w:tc>
          <w:tcPr>
            <w:tcW w:w="969" w:type="dxa"/>
            <w:noWrap/>
            <w:hideMark/>
          </w:tcPr>
          <w:p w14:paraId="48B188C4"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2.97</w:t>
            </w:r>
          </w:p>
        </w:tc>
        <w:tc>
          <w:tcPr>
            <w:tcW w:w="660" w:type="dxa"/>
            <w:noWrap/>
            <w:hideMark/>
          </w:tcPr>
          <w:p w14:paraId="5DD89A5F"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xml:space="preserve">18 </w:t>
            </w:r>
          </w:p>
        </w:tc>
      </w:tr>
      <w:tr w:rsidR="00272A9E" w:rsidRPr="00164B39" w14:paraId="5F2B96AF" w14:textId="77777777" w:rsidTr="006B3A78">
        <w:trPr>
          <w:trHeight w:hRule="exact" w:val="284"/>
        </w:trPr>
        <w:tc>
          <w:tcPr>
            <w:tcW w:w="709" w:type="dxa"/>
            <w:noWrap/>
            <w:hideMark/>
          </w:tcPr>
          <w:p w14:paraId="7B8A4D3D" w14:textId="7777777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Yes</w:t>
            </w:r>
          </w:p>
        </w:tc>
        <w:tc>
          <w:tcPr>
            <w:tcW w:w="660" w:type="dxa"/>
            <w:noWrap/>
            <w:hideMark/>
          </w:tcPr>
          <w:p w14:paraId="03C216C6" w14:textId="7777777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15</w:t>
            </w:r>
          </w:p>
        </w:tc>
        <w:tc>
          <w:tcPr>
            <w:tcW w:w="574" w:type="dxa"/>
            <w:noWrap/>
            <w:hideMark/>
          </w:tcPr>
          <w:p w14:paraId="47F055EA" w14:textId="77777777"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F07A</w:t>
            </w:r>
          </w:p>
        </w:tc>
        <w:tc>
          <w:tcPr>
            <w:tcW w:w="5571" w:type="dxa"/>
            <w:noWrap/>
            <w:hideMark/>
          </w:tcPr>
          <w:p w14:paraId="6A1CBD62" w14:textId="77777777"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Other Cardiothoracic/Vascular Procedures W CPB Pump, Major Complexity</w:t>
            </w:r>
          </w:p>
        </w:tc>
        <w:tc>
          <w:tcPr>
            <w:tcW w:w="691" w:type="dxa"/>
            <w:noWrap/>
            <w:hideMark/>
          </w:tcPr>
          <w:p w14:paraId="6B9A4E76" w14:textId="77777777" w:rsidR="00272A9E" w:rsidRPr="00164B39" w:rsidRDefault="00272A9E" w:rsidP="00272A9E">
            <w:pPr>
              <w:jc w:val="right"/>
              <w:rPr>
                <w:rFonts w:asciiTheme="minorHAnsi" w:hAnsiTheme="minorHAnsi" w:cstheme="minorHAnsi"/>
                <w:b/>
                <w:color w:val="000000"/>
                <w:sz w:val="14"/>
                <w:szCs w:val="14"/>
                <w:lang w:val="en-US" w:eastAsia="en-US"/>
              </w:rPr>
            </w:pPr>
            <w:r w:rsidRPr="00164B39">
              <w:rPr>
                <w:rFonts w:asciiTheme="minorHAnsi" w:hAnsiTheme="minorHAnsi" w:cstheme="minorHAnsi"/>
                <w:b/>
                <w:color w:val="000000"/>
                <w:sz w:val="14"/>
                <w:szCs w:val="14"/>
                <w:lang w:val="en-US" w:eastAsia="en-US"/>
              </w:rPr>
              <w:t>5.04</w:t>
            </w:r>
          </w:p>
        </w:tc>
        <w:tc>
          <w:tcPr>
            <w:tcW w:w="839" w:type="dxa"/>
            <w:noWrap/>
            <w:hideMark/>
          </w:tcPr>
          <w:p w14:paraId="19C0FA5B"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25</w:t>
            </w:r>
          </w:p>
        </w:tc>
        <w:tc>
          <w:tcPr>
            <w:tcW w:w="691" w:type="dxa"/>
            <w:noWrap/>
            <w:hideMark/>
          </w:tcPr>
          <w:p w14:paraId="1B5147B5"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13.20</w:t>
            </w:r>
          </w:p>
        </w:tc>
        <w:tc>
          <w:tcPr>
            <w:tcW w:w="655" w:type="dxa"/>
            <w:noWrap/>
            <w:hideMark/>
          </w:tcPr>
          <w:p w14:paraId="1838ABA5"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17.7</w:t>
            </w:r>
          </w:p>
        </w:tc>
        <w:tc>
          <w:tcPr>
            <w:tcW w:w="666" w:type="dxa"/>
            <w:noWrap/>
            <w:hideMark/>
          </w:tcPr>
          <w:p w14:paraId="511D97F5"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21%</w:t>
            </w:r>
          </w:p>
        </w:tc>
        <w:tc>
          <w:tcPr>
            <w:tcW w:w="691" w:type="dxa"/>
            <w:noWrap/>
            <w:hideMark/>
          </w:tcPr>
          <w:p w14:paraId="775B62A0"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38%</w:t>
            </w:r>
          </w:p>
        </w:tc>
        <w:tc>
          <w:tcPr>
            <w:tcW w:w="706" w:type="dxa"/>
            <w:noWrap/>
            <w:hideMark/>
          </w:tcPr>
          <w:p w14:paraId="07E37F0D"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8%</w:t>
            </w:r>
          </w:p>
        </w:tc>
        <w:tc>
          <w:tcPr>
            <w:tcW w:w="730" w:type="dxa"/>
            <w:noWrap/>
            <w:hideMark/>
          </w:tcPr>
          <w:p w14:paraId="3D8DD0FE"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33%</w:t>
            </w:r>
          </w:p>
        </w:tc>
        <w:tc>
          <w:tcPr>
            <w:tcW w:w="969" w:type="dxa"/>
            <w:noWrap/>
            <w:hideMark/>
          </w:tcPr>
          <w:p w14:paraId="04976DC1"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4.05</w:t>
            </w:r>
          </w:p>
        </w:tc>
        <w:tc>
          <w:tcPr>
            <w:tcW w:w="660" w:type="dxa"/>
            <w:noWrap/>
            <w:hideMark/>
          </w:tcPr>
          <w:p w14:paraId="405A318C"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xml:space="preserve">10 </w:t>
            </w:r>
          </w:p>
        </w:tc>
      </w:tr>
      <w:tr w:rsidR="00272A9E" w:rsidRPr="00164B39" w14:paraId="782F3F9D" w14:textId="77777777" w:rsidTr="006B3A78">
        <w:trPr>
          <w:trHeight w:hRule="exact" w:val="284"/>
        </w:trPr>
        <w:tc>
          <w:tcPr>
            <w:tcW w:w="709" w:type="dxa"/>
            <w:noWrap/>
            <w:hideMark/>
          </w:tcPr>
          <w:p w14:paraId="264094B6" w14:textId="7777777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Yes</w:t>
            </w:r>
          </w:p>
        </w:tc>
        <w:tc>
          <w:tcPr>
            <w:tcW w:w="660" w:type="dxa"/>
            <w:noWrap/>
            <w:hideMark/>
          </w:tcPr>
          <w:p w14:paraId="1695DB7E" w14:textId="7777777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16</w:t>
            </w:r>
          </w:p>
        </w:tc>
        <w:tc>
          <w:tcPr>
            <w:tcW w:w="574" w:type="dxa"/>
            <w:noWrap/>
            <w:hideMark/>
          </w:tcPr>
          <w:p w14:paraId="0E122E4B" w14:textId="77777777"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F06A</w:t>
            </w:r>
          </w:p>
        </w:tc>
        <w:tc>
          <w:tcPr>
            <w:tcW w:w="5571" w:type="dxa"/>
            <w:noWrap/>
            <w:hideMark/>
          </w:tcPr>
          <w:p w14:paraId="6A86AB97" w14:textId="77777777"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Coronary Bypass W/O Invasive Cardiac Investigation, Major Complexity</w:t>
            </w:r>
          </w:p>
        </w:tc>
        <w:tc>
          <w:tcPr>
            <w:tcW w:w="691" w:type="dxa"/>
            <w:noWrap/>
            <w:hideMark/>
          </w:tcPr>
          <w:p w14:paraId="4B71B079" w14:textId="77777777" w:rsidR="00272A9E" w:rsidRPr="00164B39" w:rsidRDefault="00272A9E" w:rsidP="00272A9E">
            <w:pPr>
              <w:jc w:val="right"/>
              <w:rPr>
                <w:rFonts w:asciiTheme="minorHAnsi" w:hAnsiTheme="minorHAnsi" w:cstheme="minorHAnsi"/>
                <w:b/>
                <w:color w:val="000000"/>
                <w:sz w:val="14"/>
                <w:szCs w:val="14"/>
                <w:lang w:val="en-US" w:eastAsia="en-US"/>
              </w:rPr>
            </w:pPr>
            <w:r w:rsidRPr="00164B39">
              <w:rPr>
                <w:rFonts w:asciiTheme="minorHAnsi" w:hAnsiTheme="minorHAnsi" w:cstheme="minorHAnsi"/>
                <w:b/>
                <w:color w:val="000000"/>
                <w:sz w:val="14"/>
                <w:szCs w:val="14"/>
                <w:lang w:val="en-US" w:eastAsia="en-US"/>
              </w:rPr>
              <w:t>4.99</w:t>
            </w:r>
          </w:p>
        </w:tc>
        <w:tc>
          <w:tcPr>
            <w:tcW w:w="839" w:type="dxa"/>
            <w:noWrap/>
            <w:hideMark/>
          </w:tcPr>
          <w:p w14:paraId="638BEC05"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546</w:t>
            </w:r>
          </w:p>
        </w:tc>
        <w:tc>
          <w:tcPr>
            <w:tcW w:w="691" w:type="dxa"/>
            <w:noWrap/>
            <w:hideMark/>
          </w:tcPr>
          <w:p w14:paraId="09EA6266"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11.16</w:t>
            </w:r>
          </w:p>
        </w:tc>
        <w:tc>
          <w:tcPr>
            <w:tcW w:w="655" w:type="dxa"/>
            <w:noWrap/>
            <w:hideMark/>
          </w:tcPr>
          <w:p w14:paraId="7FCD89B7"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15.9</w:t>
            </w:r>
          </w:p>
        </w:tc>
        <w:tc>
          <w:tcPr>
            <w:tcW w:w="666" w:type="dxa"/>
            <w:noWrap/>
            <w:hideMark/>
          </w:tcPr>
          <w:p w14:paraId="0B292732"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19%</w:t>
            </w:r>
          </w:p>
        </w:tc>
        <w:tc>
          <w:tcPr>
            <w:tcW w:w="691" w:type="dxa"/>
            <w:noWrap/>
            <w:hideMark/>
          </w:tcPr>
          <w:p w14:paraId="44D16A6D"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45%</w:t>
            </w:r>
          </w:p>
        </w:tc>
        <w:tc>
          <w:tcPr>
            <w:tcW w:w="706" w:type="dxa"/>
            <w:noWrap/>
            <w:hideMark/>
          </w:tcPr>
          <w:p w14:paraId="30ECB975"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8%</w:t>
            </w:r>
          </w:p>
        </w:tc>
        <w:tc>
          <w:tcPr>
            <w:tcW w:w="730" w:type="dxa"/>
            <w:noWrap/>
            <w:hideMark/>
          </w:tcPr>
          <w:p w14:paraId="04937987"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29%</w:t>
            </w:r>
          </w:p>
        </w:tc>
        <w:tc>
          <w:tcPr>
            <w:tcW w:w="969" w:type="dxa"/>
            <w:noWrap/>
            <w:hideMark/>
          </w:tcPr>
          <w:p w14:paraId="28A9D01D"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4.47</w:t>
            </w:r>
          </w:p>
        </w:tc>
        <w:tc>
          <w:tcPr>
            <w:tcW w:w="660" w:type="dxa"/>
            <w:noWrap/>
            <w:hideMark/>
          </w:tcPr>
          <w:p w14:paraId="15A1B87D"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xml:space="preserve">9 </w:t>
            </w:r>
          </w:p>
        </w:tc>
      </w:tr>
      <w:tr w:rsidR="00272A9E" w:rsidRPr="00164B39" w14:paraId="630EF801" w14:textId="77777777" w:rsidTr="006B3A78">
        <w:trPr>
          <w:trHeight w:hRule="exact" w:val="284"/>
        </w:trPr>
        <w:tc>
          <w:tcPr>
            <w:tcW w:w="709" w:type="dxa"/>
            <w:noWrap/>
            <w:hideMark/>
          </w:tcPr>
          <w:p w14:paraId="47A870AE" w14:textId="7777777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Yes</w:t>
            </w:r>
          </w:p>
        </w:tc>
        <w:tc>
          <w:tcPr>
            <w:tcW w:w="660" w:type="dxa"/>
            <w:noWrap/>
            <w:hideMark/>
          </w:tcPr>
          <w:p w14:paraId="23F7ACC9" w14:textId="7777777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17</w:t>
            </w:r>
          </w:p>
        </w:tc>
        <w:tc>
          <w:tcPr>
            <w:tcW w:w="574" w:type="dxa"/>
            <w:noWrap/>
            <w:hideMark/>
          </w:tcPr>
          <w:p w14:paraId="6FAC723C" w14:textId="77777777"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F05A</w:t>
            </w:r>
          </w:p>
        </w:tc>
        <w:tc>
          <w:tcPr>
            <w:tcW w:w="5571" w:type="dxa"/>
            <w:noWrap/>
            <w:hideMark/>
          </w:tcPr>
          <w:p w14:paraId="45A7521F" w14:textId="77777777"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Coronary Bypass W Invasive Cardiac Investigation, Major Complexity</w:t>
            </w:r>
          </w:p>
        </w:tc>
        <w:tc>
          <w:tcPr>
            <w:tcW w:w="691" w:type="dxa"/>
            <w:noWrap/>
            <w:hideMark/>
          </w:tcPr>
          <w:p w14:paraId="3F063F83" w14:textId="77777777" w:rsidR="00272A9E" w:rsidRPr="00164B39" w:rsidRDefault="00272A9E" w:rsidP="00272A9E">
            <w:pPr>
              <w:jc w:val="right"/>
              <w:rPr>
                <w:rFonts w:asciiTheme="minorHAnsi" w:hAnsiTheme="minorHAnsi" w:cstheme="minorHAnsi"/>
                <w:b/>
                <w:color w:val="000000"/>
                <w:sz w:val="14"/>
                <w:szCs w:val="14"/>
                <w:lang w:val="en-US" w:eastAsia="en-US"/>
              </w:rPr>
            </w:pPr>
            <w:r w:rsidRPr="00164B39">
              <w:rPr>
                <w:rFonts w:asciiTheme="minorHAnsi" w:hAnsiTheme="minorHAnsi" w:cstheme="minorHAnsi"/>
                <w:b/>
                <w:color w:val="000000"/>
                <w:sz w:val="14"/>
                <w:szCs w:val="14"/>
                <w:lang w:val="en-US" w:eastAsia="en-US"/>
              </w:rPr>
              <w:t>4.84</w:t>
            </w:r>
          </w:p>
        </w:tc>
        <w:tc>
          <w:tcPr>
            <w:tcW w:w="839" w:type="dxa"/>
            <w:noWrap/>
            <w:hideMark/>
          </w:tcPr>
          <w:p w14:paraId="6DBF4CAB"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433</w:t>
            </w:r>
          </w:p>
        </w:tc>
        <w:tc>
          <w:tcPr>
            <w:tcW w:w="691" w:type="dxa"/>
            <w:noWrap/>
            <w:hideMark/>
          </w:tcPr>
          <w:p w14:paraId="5EED3248"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12.03</w:t>
            </w:r>
          </w:p>
        </w:tc>
        <w:tc>
          <w:tcPr>
            <w:tcW w:w="655" w:type="dxa"/>
            <w:noWrap/>
            <w:hideMark/>
          </w:tcPr>
          <w:p w14:paraId="4CAEDF3A"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17.2</w:t>
            </w:r>
          </w:p>
        </w:tc>
        <w:tc>
          <w:tcPr>
            <w:tcW w:w="666" w:type="dxa"/>
            <w:noWrap/>
            <w:hideMark/>
          </w:tcPr>
          <w:p w14:paraId="6BB6A390"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22%</w:t>
            </w:r>
          </w:p>
        </w:tc>
        <w:tc>
          <w:tcPr>
            <w:tcW w:w="691" w:type="dxa"/>
            <w:noWrap/>
            <w:hideMark/>
          </w:tcPr>
          <w:p w14:paraId="58ADAFF1"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40%</w:t>
            </w:r>
          </w:p>
        </w:tc>
        <w:tc>
          <w:tcPr>
            <w:tcW w:w="706" w:type="dxa"/>
            <w:noWrap/>
            <w:hideMark/>
          </w:tcPr>
          <w:p w14:paraId="1A43884B"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8%</w:t>
            </w:r>
          </w:p>
        </w:tc>
        <w:tc>
          <w:tcPr>
            <w:tcW w:w="730" w:type="dxa"/>
            <w:noWrap/>
            <w:hideMark/>
          </w:tcPr>
          <w:p w14:paraId="2BD0739F"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30%</w:t>
            </w:r>
          </w:p>
        </w:tc>
        <w:tc>
          <w:tcPr>
            <w:tcW w:w="969" w:type="dxa"/>
            <w:noWrap/>
            <w:hideMark/>
          </w:tcPr>
          <w:p w14:paraId="76F07473"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4.67</w:t>
            </w:r>
          </w:p>
        </w:tc>
        <w:tc>
          <w:tcPr>
            <w:tcW w:w="660" w:type="dxa"/>
            <w:noWrap/>
            <w:hideMark/>
          </w:tcPr>
          <w:p w14:paraId="01B049E1"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xml:space="preserve">6 </w:t>
            </w:r>
          </w:p>
        </w:tc>
      </w:tr>
      <w:tr w:rsidR="00272A9E" w:rsidRPr="00164B39" w14:paraId="6602DAB1" w14:textId="77777777" w:rsidTr="006B3A78">
        <w:trPr>
          <w:trHeight w:hRule="exact" w:val="284"/>
        </w:trPr>
        <w:tc>
          <w:tcPr>
            <w:tcW w:w="709" w:type="dxa"/>
            <w:noWrap/>
            <w:hideMark/>
          </w:tcPr>
          <w:p w14:paraId="504D3234" w14:textId="7777777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Yes</w:t>
            </w:r>
          </w:p>
        </w:tc>
        <w:tc>
          <w:tcPr>
            <w:tcW w:w="660" w:type="dxa"/>
            <w:noWrap/>
            <w:hideMark/>
          </w:tcPr>
          <w:p w14:paraId="3C8BDEB1" w14:textId="7777777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18</w:t>
            </w:r>
          </w:p>
        </w:tc>
        <w:tc>
          <w:tcPr>
            <w:tcW w:w="574" w:type="dxa"/>
            <w:noWrap/>
            <w:hideMark/>
          </w:tcPr>
          <w:p w14:paraId="5CEAF20F" w14:textId="77777777"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Q01A</w:t>
            </w:r>
          </w:p>
        </w:tc>
        <w:tc>
          <w:tcPr>
            <w:tcW w:w="5571" w:type="dxa"/>
            <w:noWrap/>
            <w:hideMark/>
          </w:tcPr>
          <w:p w14:paraId="3C550769" w14:textId="77777777"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Splenectomy, Major Complexity</w:t>
            </w:r>
          </w:p>
        </w:tc>
        <w:tc>
          <w:tcPr>
            <w:tcW w:w="691" w:type="dxa"/>
            <w:noWrap/>
            <w:hideMark/>
          </w:tcPr>
          <w:p w14:paraId="250A1872" w14:textId="77777777" w:rsidR="00272A9E" w:rsidRPr="00164B39" w:rsidRDefault="00272A9E" w:rsidP="00272A9E">
            <w:pPr>
              <w:jc w:val="right"/>
              <w:rPr>
                <w:rFonts w:asciiTheme="minorHAnsi" w:hAnsiTheme="minorHAnsi" w:cstheme="minorHAnsi"/>
                <w:b/>
                <w:color w:val="000000"/>
                <w:sz w:val="14"/>
                <w:szCs w:val="14"/>
                <w:lang w:val="en-US" w:eastAsia="en-US"/>
              </w:rPr>
            </w:pPr>
            <w:r w:rsidRPr="00164B39">
              <w:rPr>
                <w:rFonts w:asciiTheme="minorHAnsi" w:hAnsiTheme="minorHAnsi" w:cstheme="minorHAnsi"/>
                <w:b/>
                <w:color w:val="000000"/>
                <w:sz w:val="14"/>
                <w:szCs w:val="14"/>
                <w:lang w:val="en-US" w:eastAsia="en-US"/>
              </w:rPr>
              <w:t>4.63</w:t>
            </w:r>
          </w:p>
        </w:tc>
        <w:tc>
          <w:tcPr>
            <w:tcW w:w="839" w:type="dxa"/>
            <w:noWrap/>
            <w:hideMark/>
          </w:tcPr>
          <w:p w14:paraId="0F5883F7"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13</w:t>
            </w:r>
          </w:p>
        </w:tc>
        <w:tc>
          <w:tcPr>
            <w:tcW w:w="691" w:type="dxa"/>
            <w:noWrap/>
            <w:hideMark/>
          </w:tcPr>
          <w:p w14:paraId="51CB5732"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9.45</w:t>
            </w:r>
          </w:p>
        </w:tc>
        <w:tc>
          <w:tcPr>
            <w:tcW w:w="655" w:type="dxa"/>
            <w:noWrap/>
            <w:hideMark/>
          </w:tcPr>
          <w:p w14:paraId="00DD0969"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15.4</w:t>
            </w:r>
          </w:p>
        </w:tc>
        <w:tc>
          <w:tcPr>
            <w:tcW w:w="666" w:type="dxa"/>
            <w:noWrap/>
            <w:hideMark/>
          </w:tcPr>
          <w:p w14:paraId="3ABEB85E"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10%</w:t>
            </w:r>
          </w:p>
        </w:tc>
        <w:tc>
          <w:tcPr>
            <w:tcW w:w="691" w:type="dxa"/>
            <w:noWrap/>
            <w:hideMark/>
          </w:tcPr>
          <w:p w14:paraId="41B3C2F8"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49%</w:t>
            </w:r>
          </w:p>
        </w:tc>
        <w:tc>
          <w:tcPr>
            <w:tcW w:w="706" w:type="dxa"/>
            <w:noWrap/>
            <w:hideMark/>
          </w:tcPr>
          <w:p w14:paraId="284B7AB6"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8%</w:t>
            </w:r>
          </w:p>
        </w:tc>
        <w:tc>
          <w:tcPr>
            <w:tcW w:w="730" w:type="dxa"/>
            <w:noWrap/>
            <w:hideMark/>
          </w:tcPr>
          <w:p w14:paraId="72AF710E"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34%</w:t>
            </w:r>
          </w:p>
        </w:tc>
        <w:tc>
          <w:tcPr>
            <w:tcW w:w="969" w:type="dxa"/>
            <w:noWrap/>
            <w:hideMark/>
          </w:tcPr>
          <w:p w14:paraId="4F91173A"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10.81</w:t>
            </w:r>
          </w:p>
        </w:tc>
        <w:tc>
          <w:tcPr>
            <w:tcW w:w="660" w:type="dxa"/>
            <w:noWrap/>
            <w:hideMark/>
          </w:tcPr>
          <w:p w14:paraId="0C34F0B4"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xml:space="preserve">3 </w:t>
            </w:r>
          </w:p>
        </w:tc>
      </w:tr>
      <w:tr w:rsidR="00272A9E" w:rsidRPr="00164B39" w14:paraId="1BB5F384" w14:textId="77777777" w:rsidTr="006B3A78">
        <w:trPr>
          <w:trHeight w:hRule="exact" w:val="284"/>
        </w:trPr>
        <w:tc>
          <w:tcPr>
            <w:tcW w:w="709" w:type="dxa"/>
            <w:noWrap/>
            <w:hideMark/>
          </w:tcPr>
          <w:p w14:paraId="168CA613" w14:textId="7777777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Yes</w:t>
            </w:r>
          </w:p>
        </w:tc>
        <w:tc>
          <w:tcPr>
            <w:tcW w:w="660" w:type="dxa"/>
            <w:noWrap/>
            <w:hideMark/>
          </w:tcPr>
          <w:p w14:paraId="2CCBDE5A" w14:textId="7777777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19</w:t>
            </w:r>
          </w:p>
        </w:tc>
        <w:tc>
          <w:tcPr>
            <w:tcW w:w="574" w:type="dxa"/>
            <w:noWrap/>
            <w:hideMark/>
          </w:tcPr>
          <w:p w14:paraId="241DE60F" w14:textId="77777777"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E40B</w:t>
            </w:r>
          </w:p>
        </w:tc>
        <w:tc>
          <w:tcPr>
            <w:tcW w:w="5571" w:type="dxa"/>
            <w:noWrap/>
            <w:hideMark/>
          </w:tcPr>
          <w:p w14:paraId="2A0F8C3E" w14:textId="77777777"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Respiratory System Disorders W Ventilator Support, Minor Complexity</w:t>
            </w:r>
          </w:p>
        </w:tc>
        <w:tc>
          <w:tcPr>
            <w:tcW w:w="691" w:type="dxa"/>
            <w:noWrap/>
            <w:hideMark/>
          </w:tcPr>
          <w:p w14:paraId="3183E23E" w14:textId="77777777" w:rsidR="00272A9E" w:rsidRPr="00164B39" w:rsidRDefault="00272A9E" w:rsidP="00272A9E">
            <w:pPr>
              <w:jc w:val="right"/>
              <w:rPr>
                <w:rFonts w:asciiTheme="minorHAnsi" w:hAnsiTheme="minorHAnsi" w:cstheme="minorHAnsi"/>
                <w:b/>
                <w:color w:val="000000"/>
                <w:sz w:val="14"/>
                <w:szCs w:val="14"/>
                <w:lang w:val="en-US" w:eastAsia="en-US"/>
              </w:rPr>
            </w:pPr>
            <w:r w:rsidRPr="00164B39">
              <w:rPr>
                <w:rFonts w:asciiTheme="minorHAnsi" w:hAnsiTheme="minorHAnsi" w:cstheme="minorHAnsi"/>
                <w:b/>
                <w:color w:val="000000"/>
                <w:sz w:val="14"/>
                <w:szCs w:val="14"/>
                <w:lang w:val="en-US" w:eastAsia="en-US"/>
              </w:rPr>
              <w:t>4.56</w:t>
            </w:r>
          </w:p>
        </w:tc>
        <w:tc>
          <w:tcPr>
            <w:tcW w:w="839" w:type="dxa"/>
            <w:noWrap/>
            <w:hideMark/>
          </w:tcPr>
          <w:p w14:paraId="2B8B3573"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48</w:t>
            </w:r>
          </w:p>
        </w:tc>
        <w:tc>
          <w:tcPr>
            <w:tcW w:w="691" w:type="dxa"/>
            <w:noWrap/>
            <w:hideMark/>
          </w:tcPr>
          <w:p w14:paraId="168E36DA"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6.64</w:t>
            </w:r>
          </w:p>
        </w:tc>
        <w:tc>
          <w:tcPr>
            <w:tcW w:w="655" w:type="dxa"/>
            <w:noWrap/>
            <w:hideMark/>
          </w:tcPr>
          <w:p w14:paraId="68DAF3E7"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8.7</w:t>
            </w:r>
          </w:p>
        </w:tc>
        <w:tc>
          <w:tcPr>
            <w:tcW w:w="666" w:type="dxa"/>
            <w:noWrap/>
            <w:hideMark/>
          </w:tcPr>
          <w:p w14:paraId="32CBD34A"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w:t>
            </w:r>
          </w:p>
        </w:tc>
        <w:tc>
          <w:tcPr>
            <w:tcW w:w="691" w:type="dxa"/>
            <w:noWrap/>
            <w:hideMark/>
          </w:tcPr>
          <w:p w14:paraId="507586B6"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69%</w:t>
            </w:r>
          </w:p>
        </w:tc>
        <w:tc>
          <w:tcPr>
            <w:tcW w:w="706" w:type="dxa"/>
            <w:noWrap/>
            <w:hideMark/>
          </w:tcPr>
          <w:p w14:paraId="47BDE33C"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0%</w:t>
            </w:r>
          </w:p>
        </w:tc>
        <w:tc>
          <w:tcPr>
            <w:tcW w:w="730" w:type="dxa"/>
            <w:noWrap/>
            <w:hideMark/>
          </w:tcPr>
          <w:p w14:paraId="5AC35CF2"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30%</w:t>
            </w:r>
          </w:p>
        </w:tc>
        <w:tc>
          <w:tcPr>
            <w:tcW w:w="969" w:type="dxa"/>
            <w:noWrap/>
            <w:hideMark/>
          </w:tcPr>
          <w:p w14:paraId="13D19C30"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3.27</w:t>
            </w:r>
          </w:p>
        </w:tc>
        <w:tc>
          <w:tcPr>
            <w:tcW w:w="660" w:type="dxa"/>
            <w:noWrap/>
            <w:hideMark/>
          </w:tcPr>
          <w:p w14:paraId="6B61A2F8"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xml:space="preserve">15 </w:t>
            </w:r>
          </w:p>
        </w:tc>
      </w:tr>
      <w:tr w:rsidR="00272A9E" w:rsidRPr="00164B39" w14:paraId="43DCBA5A" w14:textId="77777777" w:rsidTr="006B3A78">
        <w:trPr>
          <w:trHeight w:hRule="exact" w:val="284"/>
        </w:trPr>
        <w:tc>
          <w:tcPr>
            <w:tcW w:w="709" w:type="dxa"/>
            <w:tcBorders>
              <w:bottom w:val="single" w:sz="4" w:space="0" w:color="808080" w:themeColor="background1" w:themeShade="80"/>
            </w:tcBorders>
            <w:noWrap/>
            <w:hideMark/>
          </w:tcPr>
          <w:p w14:paraId="2E4BC654" w14:textId="7777777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No</w:t>
            </w:r>
          </w:p>
        </w:tc>
        <w:tc>
          <w:tcPr>
            <w:tcW w:w="660" w:type="dxa"/>
            <w:tcBorders>
              <w:bottom w:val="single" w:sz="4" w:space="0" w:color="808080" w:themeColor="background1" w:themeShade="80"/>
            </w:tcBorders>
            <w:noWrap/>
            <w:hideMark/>
          </w:tcPr>
          <w:p w14:paraId="2C0440E9" w14:textId="77777777" w:rsidR="00272A9E" w:rsidRPr="00164B39" w:rsidRDefault="00272A9E" w:rsidP="00272A9E">
            <w:pPr>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20</w:t>
            </w:r>
          </w:p>
        </w:tc>
        <w:tc>
          <w:tcPr>
            <w:tcW w:w="574" w:type="dxa"/>
            <w:tcBorders>
              <w:bottom w:val="single" w:sz="4" w:space="0" w:color="808080" w:themeColor="background1" w:themeShade="80"/>
            </w:tcBorders>
            <w:noWrap/>
            <w:hideMark/>
          </w:tcPr>
          <w:p w14:paraId="3A3AED8E" w14:textId="77777777"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P65B</w:t>
            </w:r>
          </w:p>
        </w:tc>
        <w:tc>
          <w:tcPr>
            <w:tcW w:w="5571" w:type="dxa"/>
            <w:tcBorders>
              <w:bottom w:val="single" w:sz="4" w:space="0" w:color="808080" w:themeColor="background1" w:themeShade="80"/>
            </w:tcBorders>
            <w:noWrap/>
            <w:hideMark/>
          </w:tcPr>
          <w:p w14:paraId="01B8424C" w14:textId="77777777" w:rsidR="00272A9E" w:rsidRPr="00164B39" w:rsidRDefault="00272A9E" w:rsidP="00272A9E">
            <w:pP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xml:space="preserve">Neonate, </w:t>
            </w:r>
            <w:proofErr w:type="spellStart"/>
            <w:r w:rsidRPr="00164B39">
              <w:rPr>
                <w:rFonts w:asciiTheme="minorHAnsi" w:hAnsiTheme="minorHAnsi" w:cstheme="minorHAnsi"/>
                <w:color w:val="000000"/>
                <w:sz w:val="14"/>
                <w:szCs w:val="14"/>
                <w:lang w:val="en-US" w:eastAsia="en-US"/>
              </w:rPr>
              <w:t>AdmWt</w:t>
            </w:r>
            <w:proofErr w:type="spellEnd"/>
            <w:r w:rsidRPr="00164B39">
              <w:rPr>
                <w:rFonts w:asciiTheme="minorHAnsi" w:hAnsiTheme="minorHAnsi" w:cstheme="minorHAnsi"/>
                <w:color w:val="000000"/>
                <w:sz w:val="14"/>
                <w:szCs w:val="14"/>
                <w:lang w:val="en-US" w:eastAsia="en-US"/>
              </w:rPr>
              <w:t xml:space="preserve"> 1500-1999g W/O Significant OR Proc/Vent&gt;=96hrs, Major Complexity</w:t>
            </w:r>
          </w:p>
        </w:tc>
        <w:tc>
          <w:tcPr>
            <w:tcW w:w="691" w:type="dxa"/>
            <w:tcBorders>
              <w:bottom w:val="single" w:sz="4" w:space="0" w:color="808080" w:themeColor="background1" w:themeShade="80"/>
            </w:tcBorders>
            <w:noWrap/>
            <w:hideMark/>
          </w:tcPr>
          <w:p w14:paraId="14D40BB1" w14:textId="77777777" w:rsidR="00272A9E" w:rsidRPr="00164B39" w:rsidRDefault="00272A9E" w:rsidP="00272A9E">
            <w:pPr>
              <w:jc w:val="right"/>
              <w:rPr>
                <w:rFonts w:asciiTheme="minorHAnsi" w:hAnsiTheme="minorHAnsi" w:cstheme="minorHAnsi"/>
                <w:b/>
                <w:color w:val="000000"/>
                <w:sz w:val="14"/>
                <w:szCs w:val="14"/>
                <w:lang w:val="en-US" w:eastAsia="en-US"/>
              </w:rPr>
            </w:pPr>
            <w:r w:rsidRPr="00164B39">
              <w:rPr>
                <w:rFonts w:asciiTheme="minorHAnsi" w:hAnsiTheme="minorHAnsi" w:cstheme="minorHAnsi"/>
                <w:b/>
                <w:color w:val="000000"/>
                <w:sz w:val="14"/>
                <w:szCs w:val="14"/>
                <w:lang w:val="en-US" w:eastAsia="en-US"/>
              </w:rPr>
              <w:t>4.54</w:t>
            </w:r>
          </w:p>
        </w:tc>
        <w:tc>
          <w:tcPr>
            <w:tcW w:w="839" w:type="dxa"/>
            <w:tcBorders>
              <w:bottom w:val="single" w:sz="4" w:space="0" w:color="808080" w:themeColor="background1" w:themeShade="80"/>
            </w:tcBorders>
            <w:noWrap/>
            <w:hideMark/>
          </w:tcPr>
          <w:p w14:paraId="25D153FB"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164</w:t>
            </w:r>
          </w:p>
        </w:tc>
        <w:tc>
          <w:tcPr>
            <w:tcW w:w="691" w:type="dxa"/>
            <w:tcBorders>
              <w:bottom w:val="single" w:sz="4" w:space="0" w:color="808080" w:themeColor="background1" w:themeShade="80"/>
            </w:tcBorders>
            <w:noWrap/>
            <w:hideMark/>
          </w:tcPr>
          <w:p w14:paraId="6A8F8405"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7.63</w:t>
            </w:r>
          </w:p>
        </w:tc>
        <w:tc>
          <w:tcPr>
            <w:tcW w:w="655" w:type="dxa"/>
            <w:tcBorders>
              <w:bottom w:val="single" w:sz="4" w:space="0" w:color="808080" w:themeColor="background1" w:themeShade="80"/>
            </w:tcBorders>
            <w:noWrap/>
            <w:hideMark/>
          </w:tcPr>
          <w:p w14:paraId="1EC8AABB"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25.0</w:t>
            </w:r>
          </w:p>
        </w:tc>
        <w:tc>
          <w:tcPr>
            <w:tcW w:w="666" w:type="dxa"/>
            <w:tcBorders>
              <w:bottom w:val="single" w:sz="4" w:space="0" w:color="808080" w:themeColor="background1" w:themeShade="80"/>
            </w:tcBorders>
            <w:noWrap/>
            <w:hideMark/>
          </w:tcPr>
          <w:p w14:paraId="134A8587"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0%</w:t>
            </w:r>
          </w:p>
        </w:tc>
        <w:tc>
          <w:tcPr>
            <w:tcW w:w="691" w:type="dxa"/>
            <w:tcBorders>
              <w:bottom w:val="single" w:sz="4" w:space="0" w:color="808080" w:themeColor="background1" w:themeShade="80"/>
            </w:tcBorders>
            <w:noWrap/>
            <w:hideMark/>
          </w:tcPr>
          <w:p w14:paraId="2CF14B5C"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60%</w:t>
            </w:r>
          </w:p>
        </w:tc>
        <w:tc>
          <w:tcPr>
            <w:tcW w:w="706" w:type="dxa"/>
            <w:tcBorders>
              <w:bottom w:val="single" w:sz="4" w:space="0" w:color="808080" w:themeColor="background1" w:themeShade="80"/>
            </w:tcBorders>
            <w:noWrap/>
            <w:hideMark/>
          </w:tcPr>
          <w:p w14:paraId="3FE4CE8E"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0%</w:t>
            </w:r>
          </w:p>
        </w:tc>
        <w:tc>
          <w:tcPr>
            <w:tcW w:w="730" w:type="dxa"/>
            <w:tcBorders>
              <w:bottom w:val="single" w:sz="4" w:space="0" w:color="808080" w:themeColor="background1" w:themeShade="80"/>
            </w:tcBorders>
            <w:noWrap/>
            <w:hideMark/>
          </w:tcPr>
          <w:p w14:paraId="47D4F806"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40%</w:t>
            </w:r>
          </w:p>
        </w:tc>
        <w:tc>
          <w:tcPr>
            <w:tcW w:w="969" w:type="dxa"/>
            <w:tcBorders>
              <w:bottom w:val="single" w:sz="4" w:space="0" w:color="808080" w:themeColor="background1" w:themeShade="80"/>
            </w:tcBorders>
            <w:noWrap/>
            <w:hideMark/>
          </w:tcPr>
          <w:p w14:paraId="503BE13C"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1.41</w:t>
            </w:r>
          </w:p>
        </w:tc>
        <w:tc>
          <w:tcPr>
            <w:tcW w:w="660" w:type="dxa"/>
            <w:tcBorders>
              <w:bottom w:val="single" w:sz="4" w:space="0" w:color="808080" w:themeColor="background1" w:themeShade="80"/>
            </w:tcBorders>
            <w:noWrap/>
            <w:hideMark/>
          </w:tcPr>
          <w:p w14:paraId="243C9995" w14:textId="77777777" w:rsidR="00272A9E" w:rsidRPr="00164B39" w:rsidRDefault="00272A9E" w:rsidP="00272A9E">
            <w:pPr>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xml:space="preserve">48 </w:t>
            </w:r>
          </w:p>
        </w:tc>
      </w:tr>
      <w:tr w:rsidR="00CD460D" w:rsidRPr="00164B39" w14:paraId="5634EC0A" w14:textId="77777777" w:rsidTr="006B3A78">
        <w:trPr>
          <w:trHeight w:val="235"/>
        </w:trPr>
        <w:tc>
          <w:tcPr>
            <w:tcW w:w="1369" w:type="dxa"/>
            <w:gridSpan w:val="2"/>
            <w:tcBorders>
              <w:top w:val="single" w:sz="4" w:space="0" w:color="808080" w:themeColor="background1" w:themeShade="80"/>
            </w:tcBorders>
            <w:noWrap/>
            <w:hideMark/>
          </w:tcPr>
          <w:p w14:paraId="5BAC905E" w14:textId="77777777" w:rsidR="00CD460D" w:rsidRPr="00164B39" w:rsidRDefault="00CD460D" w:rsidP="00CD460D">
            <w:pPr>
              <w:spacing w:after="0"/>
              <w:jc w:val="center"/>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13 in Top 20</w:t>
            </w:r>
          </w:p>
          <w:p w14:paraId="5F81282A" w14:textId="178B724C" w:rsidR="00CD460D" w:rsidRPr="00164B39" w:rsidRDefault="00CD460D" w:rsidP="00CD460D">
            <w:pPr>
              <w:spacing w:after="0"/>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w:t>
            </w:r>
          </w:p>
        </w:tc>
        <w:tc>
          <w:tcPr>
            <w:tcW w:w="6145" w:type="dxa"/>
            <w:gridSpan w:val="2"/>
            <w:tcBorders>
              <w:top w:val="single" w:sz="4" w:space="0" w:color="808080" w:themeColor="background1" w:themeShade="80"/>
            </w:tcBorders>
            <w:noWrap/>
            <w:hideMark/>
          </w:tcPr>
          <w:p w14:paraId="78EEC31F" w14:textId="77777777" w:rsidR="00CD460D" w:rsidRPr="00164B39" w:rsidRDefault="00CD460D" w:rsidP="00CD460D">
            <w:pPr>
              <w:spacing w:after="0"/>
              <w:rPr>
                <w:rFonts w:asciiTheme="minorHAnsi" w:hAnsiTheme="minorHAnsi" w:cstheme="minorHAnsi"/>
                <w:b/>
                <w:bCs/>
                <w:color w:val="000000"/>
                <w:sz w:val="14"/>
                <w:szCs w:val="14"/>
                <w:lang w:val="en-US" w:eastAsia="en-US"/>
              </w:rPr>
            </w:pPr>
            <w:r w:rsidRPr="00164B39">
              <w:rPr>
                <w:rFonts w:asciiTheme="minorHAnsi" w:hAnsiTheme="minorHAnsi" w:cstheme="minorHAnsi"/>
                <w:b/>
                <w:bCs/>
                <w:color w:val="000000"/>
                <w:sz w:val="14"/>
                <w:szCs w:val="14"/>
                <w:lang w:val="en-US" w:eastAsia="en-US"/>
              </w:rPr>
              <w:t>Sub-total, top 20 highest critical care cost-weight DRGs</w:t>
            </w:r>
          </w:p>
        </w:tc>
        <w:tc>
          <w:tcPr>
            <w:tcW w:w="691" w:type="dxa"/>
            <w:tcBorders>
              <w:top w:val="single" w:sz="4" w:space="0" w:color="808080" w:themeColor="background1" w:themeShade="80"/>
            </w:tcBorders>
            <w:noWrap/>
            <w:hideMark/>
          </w:tcPr>
          <w:p w14:paraId="7AC083BB" w14:textId="77777777" w:rsidR="00CD460D" w:rsidRPr="00164B39" w:rsidRDefault="00CD460D" w:rsidP="00CD460D">
            <w:pPr>
              <w:spacing w:after="0"/>
              <w:jc w:val="right"/>
              <w:rPr>
                <w:rFonts w:asciiTheme="minorHAnsi" w:hAnsiTheme="minorHAnsi" w:cstheme="minorHAnsi"/>
                <w:b/>
                <w:bCs/>
                <w:color w:val="000000"/>
                <w:sz w:val="14"/>
                <w:szCs w:val="14"/>
                <w:lang w:val="en-US" w:eastAsia="en-US"/>
              </w:rPr>
            </w:pPr>
            <w:r w:rsidRPr="00164B39">
              <w:rPr>
                <w:rFonts w:asciiTheme="minorHAnsi" w:hAnsiTheme="minorHAnsi" w:cstheme="minorHAnsi"/>
                <w:b/>
                <w:bCs/>
                <w:color w:val="000000"/>
                <w:sz w:val="14"/>
                <w:szCs w:val="14"/>
                <w:lang w:val="en-US" w:eastAsia="en-US"/>
              </w:rPr>
              <w:t>8.19</w:t>
            </w:r>
          </w:p>
        </w:tc>
        <w:tc>
          <w:tcPr>
            <w:tcW w:w="839" w:type="dxa"/>
            <w:tcBorders>
              <w:top w:val="single" w:sz="4" w:space="0" w:color="808080" w:themeColor="background1" w:themeShade="80"/>
            </w:tcBorders>
            <w:noWrap/>
            <w:hideMark/>
          </w:tcPr>
          <w:p w14:paraId="468A865C" w14:textId="77777777" w:rsidR="00CD460D" w:rsidRPr="00164B39" w:rsidRDefault="00CD460D" w:rsidP="00CD460D">
            <w:pPr>
              <w:spacing w:after="0"/>
              <w:jc w:val="right"/>
              <w:rPr>
                <w:rFonts w:asciiTheme="minorHAnsi" w:hAnsiTheme="minorHAnsi" w:cstheme="minorHAnsi"/>
                <w:b/>
                <w:bCs/>
                <w:color w:val="000000"/>
                <w:sz w:val="14"/>
                <w:szCs w:val="14"/>
                <w:lang w:val="en-US" w:eastAsia="en-US"/>
              </w:rPr>
            </w:pPr>
            <w:r w:rsidRPr="00164B39">
              <w:rPr>
                <w:rFonts w:asciiTheme="minorHAnsi" w:hAnsiTheme="minorHAnsi" w:cstheme="minorHAnsi"/>
                <w:b/>
                <w:bCs/>
                <w:color w:val="000000"/>
                <w:sz w:val="14"/>
                <w:szCs w:val="14"/>
                <w:lang w:val="en-US" w:eastAsia="en-US"/>
              </w:rPr>
              <w:t>3,389</w:t>
            </w:r>
          </w:p>
        </w:tc>
        <w:tc>
          <w:tcPr>
            <w:tcW w:w="691" w:type="dxa"/>
            <w:tcBorders>
              <w:top w:val="single" w:sz="4" w:space="0" w:color="808080" w:themeColor="background1" w:themeShade="80"/>
            </w:tcBorders>
            <w:noWrap/>
            <w:hideMark/>
          </w:tcPr>
          <w:p w14:paraId="4B5140C7" w14:textId="77777777" w:rsidR="00CD460D" w:rsidRPr="00164B39" w:rsidRDefault="00CD460D" w:rsidP="00CD460D">
            <w:pPr>
              <w:spacing w:after="0"/>
              <w:jc w:val="right"/>
              <w:rPr>
                <w:rFonts w:asciiTheme="minorHAnsi" w:hAnsiTheme="minorHAnsi" w:cstheme="minorHAnsi"/>
                <w:b/>
                <w:bCs/>
                <w:color w:val="000000"/>
                <w:sz w:val="14"/>
                <w:szCs w:val="14"/>
                <w:lang w:val="en-US" w:eastAsia="en-US"/>
              </w:rPr>
            </w:pPr>
            <w:r w:rsidRPr="00164B39">
              <w:rPr>
                <w:rFonts w:asciiTheme="minorHAnsi" w:hAnsiTheme="minorHAnsi" w:cstheme="minorHAnsi"/>
                <w:b/>
                <w:bCs/>
                <w:color w:val="000000"/>
                <w:sz w:val="14"/>
                <w:szCs w:val="14"/>
                <w:lang w:val="en-US" w:eastAsia="en-US"/>
              </w:rPr>
              <w:t>15.56</w:t>
            </w:r>
          </w:p>
        </w:tc>
        <w:tc>
          <w:tcPr>
            <w:tcW w:w="655" w:type="dxa"/>
            <w:tcBorders>
              <w:top w:val="single" w:sz="4" w:space="0" w:color="808080" w:themeColor="background1" w:themeShade="80"/>
            </w:tcBorders>
            <w:noWrap/>
            <w:hideMark/>
          </w:tcPr>
          <w:p w14:paraId="072EE578" w14:textId="77777777" w:rsidR="00CD460D" w:rsidRPr="00164B39" w:rsidRDefault="00CD460D" w:rsidP="00CD460D">
            <w:pPr>
              <w:spacing w:after="0"/>
              <w:jc w:val="right"/>
              <w:rPr>
                <w:rFonts w:asciiTheme="minorHAnsi" w:hAnsiTheme="minorHAnsi" w:cstheme="minorHAnsi"/>
                <w:b/>
                <w:bCs/>
                <w:color w:val="000000"/>
                <w:sz w:val="14"/>
                <w:szCs w:val="14"/>
                <w:lang w:val="en-US" w:eastAsia="en-US"/>
              </w:rPr>
            </w:pPr>
            <w:r w:rsidRPr="00164B39">
              <w:rPr>
                <w:rFonts w:asciiTheme="minorHAnsi" w:hAnsiTheme="minorHAnsi" w:cstheme="minorHAnsi"/>
                <w:b/>
                <w:bCs/>
                <w:color w:val="000000"/>
                <w:sz w:val="14"/>
                <w:szCs w:val="14"/>
                <w:lang w:val="en-US" w:eastAsia="en-US"/>
              </w:rPr>
              <w:t>23.7</w:t>
            </w:r>
          </w:p>
        </w:tc>
        <w:tc>
          <w:tcPr>
            <w:tcW w:w="666" w:type="dxa"/>
            <w:tcBorders>
              <w:top w:val="single" w:sz="4" w:space="0" w:color="808080" w:themeColor="background1" w:themeShade="80"/>
            </w:tcBorders>
            <w:noWrap/>
            <w:hideMark/>
          </w:tcPr>
          <w:p w14:paraId="2D25D189" w14:textId="77777777" w:rsidR="00CD460D" w:rsidRPr="00164B39" w:rsidRDefault="00CD460D" w:rsidP="00CD460D">
            <w:pPr>
              <w:spacing w:after="0"/>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10%</w:t>
            </w:r>
          </w:p>
        </w:tc>
        <w:tc>
          <w:tcPr>
            <w:tcW w:w="691" w:type="dxa"/>
            <w:tcBorders>
              <w:top w:val="single" w:sz="4" w:space="0" w:color="808080" w:themeColor="background1" w:themeShade="80"/>
            </w:tcBorders>
            <w:noWrap/>
            <w:hideMark/>
          </w:tcPr>
          <w:p w14:paraId="1EE43D4D" w14:textId="77777777" w:rsidR="00CD460D" w:rsidRPr="00164B39" w:rsidRDefault="00CD460D" w:rsidP="00CD460D">
            <w:pPr>
              <w:spacing w:after="0"/>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53%</w:t>
            </w:r>
          </w:p>
        </w:tc>
        <w:tc>
          <w:tcPr>
            <w:tcW w:w="706" w:type="dxa"/>
            <w:tcBorders>
              <w:top w:val="single" w:sz="4" w:space="0" w:color="808080" w:themeColor="background1" w:themeShade="80"/>
            </w:tcBorders>
            <w:noWrap/>
            <w:hideMark/>
          </w:tcPr>
          <w:p w14:paraId="35108638" w14:textId="77777777" w:rsidR="00CD460D" w:rsidRPr="00164B39" w:rsidRDefault="00CD460D" w:rsidP="00CD460D">
            <w:pPr>
              <w:spacing w:after="0"/>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7%</w:t>
            </w:r>
          </w:p>
        </w:tc>
        <w:tc>
          <w:tcPr>
            <w:tcW w:w="730" w:type="dxa"/>
            <w:tcBorders>
              <w:top w:val="single" w:sz="4" w:space="0" w:color="808080" w:themeColor="background1" w:themeShade="80"/>
            </w:tcBorders>
            <w:noWrap/>
            <w:hideMark/>
          </w:tcPr>
          <w:p w14:paraId="55F9E49D" w14:textId="77777777" w:rsidR="00CD460D" w:rsidRPr="00164B39" w:rsidRDefault="00CD460D" w:rsidP="00CD460D">
            <w:pPr>
              <w:spacing w:after="0"/>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30%</w:t>
            </w:r>
          </w:p>
        </w:tc>
        <w:tc>
          <w:tcPr>
            <w:tcW w:w="969" w:type="dxa"/>
            <w:tcBorders>
              <w:top w:val="single" w:sz="4" w:space="0" w:color="808080" w:themeColor="background1" w:themeShade="80"/>
            </w:tcBorders>
            <w:noWrap/>
            <w:hideMark/>
          </w:tcPr>
          <w:p w14:paraId="6EC445CE" w14:textId="77777777" w:rsidR="00CD460D" w:rsidRPr="00164B39" w:rsidRDefault="00CD460D" w:rsidP="00CD460D">
            <w:pPr>
              <w:spacing w:after="0"/>
              <w:rPr>
                <w:rFonts w:asciiTheme="minorHAnsi" w:hAnsiTheme="minorHAnsi" w:cstheme="minorHAnsi"/>
                <w:b/>
                <w:bCs/>
                <w:color w:val="000000"/>
                <w:sz w:val="14"/>
                <w:szCs w:val="14"/>
                <w:lang w:val="en-US" w:eastAsia="en-US"/>
              </w:rPr>
            </w:pPr>
            <w:r w:rsidRPr="00164B39">
              <w:rPr>
                <w:rFonts w:asciiTheme="minorHAnsi" w:hAnsiTheme="minorHAnsi" w:cstheme="minorHAnsi"/>
                <w:b/>
                <w:bCs/>
                <w:color w:val="000000"/>
                <w:sz w:val="14"/>
                <w:szCs w:val="14"/>
                <w:lang w:val="en-US" w:eastAsia="en-US"/>
              </w:rPr>
              <w:t> </w:t>
            </w:r>
          </w:p>
        </w:tc>
        <w:tc>
          <w:tcPr>
            <w:tcW w:w="660" w:type="dxa"/>
            <w:tcBorders>
              <w:top w:val="single" w:sz="4" w:space="0" w:color="808080" w:themeColor="background1" w:themeShade="80"/>
            </w:tcBorders>
            <w:noWrap/>
            <w:hideMark/>
          </w:tcPr>
          <w:p w14:paraId="7AB6E9D1" w14:textId="77777777" w:rsidR="00CD460D" w:rsidRPr="00164B39" w:rsidRDefault="00CD460D" w:rsidP="00CD460D">
            <w:pPr>
              <w:spacing w:after="0"/>
              <w:rPr>
                <w:rFonts w:asciiTheme="minorHAnsi" w:hAnsiTheme="minorHAnsi" w:cstheme="minorHAnsi"/>
                <w:b/>
                <w:bCs/>
                <w:color w:val="000000"/>
                <w:sz w:val="14"/>
                <w:szCs w:val="14"/>
                <w:lang w:val="en-US" w:eastAsia="en-US"/>
              </w:rPr>
            </w:pPr>
            <w:r w:rsidRPr="00164B39">
              <w:rPr>
                <w:rFonts w:asciiTheme="minorHAnsi" w:hAnsiTheme="minorHAnsi" w:cstheme="minorHAnsi"/>
                <w:b/>
                <w:bCs/>
                <w:color w:val="000000"/>
                <w:sz w:val="14"/>
                <w:szCs w:val="14"/>
                <w:lang w:val="en-US" w:eastAsia="en-US"/>
              </w:rPr>
              <w:t> </w:t>
            </w:r>
          </w:p>
        </w:tc>
      </w:tr>
      <w:tr w:rsidR="003956FC" w:rsidRPr="00164B39" w14:paraId="7A956C97" w14:textId="77777777" w:rsidTr="006B3A78">
        <w:trPr>
          <w:trHeight w:val="235"/>
        </w:trPr>
        <w:tc>
          <w:tcPr>
            <w:tcW w:w="709" w:type="dxa"/>
            <w:noWrap/>
          </w:tcPr>
          <w:p w14:paraId="475011E0" w14:textId="5A608799" w:rsidR="003956FC" w:rsidRPr="00164B39" w:rsidRDefault="003956FC" w:rsidP="00CD460D">
            <w:pPr>
              <w:spacing w:after="0"/>
              <w:jc w:val="center"/>
              <w:rPr>
                <w:rFonts w:asciiTheme="minorHAnsi" w:hAnsiTheme="minorHAnsi" w:cstheme="minorHAnsi"/>
                <w:color w:val="000000"/>
                <w:sz w:val="14"/>
                <w:szCs w:val="14"/>
                <w:lang w:val="en-US" w:eastAsia="en-US"/>
              </w:rPr>
            </w:pPr>
          </w:p>
        </w:tc>
        <w:tc>
          <w:tcPr>
            <w:tcW w:w="660" w:type="dxa"/>
            <w:noWrap/>
            <w:hideMark/>
          </w:tcPr>
          <w:p w14:paraId="65CA9AD6" w14:textId="77777777" w:rsidR="003956FC" w:rsidRPr="00164B39" w:rsidRDefault="003956FC" w:rsidP="00CD460D">
            <w:pPr>
              <w:spacing w:after="0"/>
              <w:jc w:val="center"/>
              <w:rPr>
                <w:rFonts w:asciiTheme="minorHAnsi" w:hAnsiTheme="minorHAnsi" w:cstheme="minorHAnsi"/>
                <w:color w:val="000000"/>
                <w:sz w:val="14"/>
                <w:szCs w:val="14"/>
                <w:lang w:val="en-US" w:eastAsia="en-US"/>
              </w:rPr>
            </w:pPr>
          </w:p>
        </w:tc>
        <w:tc>
          <w:tcPr>
            <w:tcW w:w="6145" w:type="dxa"/>
            <w:gridSpan w:val="2"/>
            <w:noWrap/>
            <w:hideMark/>
          </w:tcPr>
          <w:p w14:paraId="0BF0253C" w14:textId="5CCB86A3" w:rsidR="003956FC" w:rsidRPr="00164B39" w:rsidRDefault="003956FC" w:rsidP="00CD460D">
            <w:pPr>
              <w:spacing w:after="0"/>
              <w:rPr>
                <w:rFonts w:asciiTheme="minorHAnsi" w:hAnsiTheme="minorHAnsi" w:cstheme="minorHAnsi"/>
                <w:b/>
                <w:bCs/>
                <w:color w:val="000000"/>
                <w:sz w:val="14"/>
                <w:szCs w:val="14"/>
                <w:lang w:val="en-US" w:eastAsia="en-US"/>
              </w:rPr>
            </w:pPr>
            <w:r w:rsidRPr="00164B39">
              <w:rPr>
                <w:rFonts w:asciiTheme="minorHAnsi" w:hAnsiTheme="minorHAnsi" w:cstheme="minorHAnsi"/>
                <w:b/>
                <w:bCs/>
                <w:color w:val="000000"/>
                <w:sz w:val="14"/>
                <w:szCs w:val="14"/>
                <w:lang w:val="en-US" w:eastAsia="en-US"/>
              </w:rPr>
              <w:t>All DRGs</w:t>
            </w:r>
          </w:p>
        </w:tc>
        <w:tc>
          <w:tcPr>
            <w:tcW w:w="691" w:type="dxa"/>
            <w:noWrap/>
            <w:hideMark/>
          </w:tcPr>
          <w:p w14:paraId="16D123C6" w14:textId="77777777" w:rsidR="003956FC" w:rsidRPr="00164B39" w:rsidRDefault="003956FC" w:rsidP="00CD460D">
            <w:pPr>
              <w:spacing w:after="0"/>
              <w:jc w:val="right"/>
              <w:rPr>
                <w:rFonts w:asciiTheme="minorHAnsi" w:hAnsiTheme="minorHAnsi" w:cstheme="minorHAnsi"/>
                <w:b/>
                <w:bCs/>
                <w:color w:val="000000"/>
                <w:sz w:val="14"/>
                <w:szCs w:val="14"/>
                <w:lang w:val="en-US" w:eastAsia="en-US"/>
              </w:rPr>
            </w:pPr>
            <w:r w:rsidRPr="00164B39">
              <w:rPr>
                <w:rFonts w:asciiTheme="minorHAnsi" w:hAnsiTheme="minorHAnsi" w:cstheme="minorHAnsi"/>
                <w:b/>
                <w:bCs/>
                <w:color w:val="000000"/>
                <w:sz w:val="14"/>
                <w:szCs w:val="14"/>
                <w:lang w:val="en-US" w:eastAsia="en-US"/>
              </w:rPr>
              <w:t>0.06</w:t>
            </w:r>
          </w:p>
        </w:tc>
        <w:tc>
          <w:tcPr>
            <w:tcW w:w="839" w:type="dxa"/>
            <w:noWrap/>
            <w:hideMark/>
          </w:tcPr>
          <w:p w14:paraId="70562683" w14:textId="77777777" w:rsidR="003956FC" w:rsidRPr="00164B39" w:rsidRDefault="003956FC" w:rsidP="00CD460D">
            <w:pPr>
              <w:spacing w:after="0"/>
              <w:jc w:val="right"/>
              <w:rPr>
                <w:rFonts w:asciiTheme="minorHAnsi" w:hAnsiTheme="minorHAnsi" w:cstheme="minorHAnsi"/>
                <w:b/>
                <w:bCs/>
                <w:color w:val="000000"/>
                <w:sz w:val="14"/>
                <w:szCs w:val="14"/>
                <w:lang w:val="en-US" w:eastAsia="en-US"/>
              </w:rPr>
            </w:pPr>
            <w:r w:rsidRPr="00164B39">
              <w:rPr>
                <w:rFonts w:asciiTheme="minorHAnsi" w:hAnsiTheme="minorHAnsi" w:cstheme="minorHAnsi"/>
                <w:b/>
                <w:bCs/>
                <w:color w:val="000000"/>
                <w:sz w:val="14"/>
                <w:szCs w:val="14"/>
                <w:lang w:val="en-US" w:eastAsia="en-US"/>
              </w:rPr>
              <w:t>3,051,681</w:t>
            </w:r>
          </w:p>
        </w:tc>
        <w:tc>
          <w:tcPr>
            <w:tcW w:w="691" w:type="dxa"/>
            <w:noWrap/>
            <w:hideMark/>
          </w:tcPr>
          <w:p w14:paraId="341069A6" w14:textId="77777777" w:rsidR="003956FC" w:rsidRPr="00164B39" w:rsidRDefault="003956FC" w:rsidP="00CD460D">
            <w:pPr>
              <w:spacing w:after="0"/>
              <w:jc w:val="right"/>
              <w:rPr>
                <w:rFonts w:asciiTheme="minorHAnsi" w:hAnsiTheme="minorHAnsi" w:cstheme="minorHAnsi"/>
                <w:b/>
                <w:bCs/>
                <w:color w:val="000000"/>
                <w:sz w:val="14"/>
                <w:szCs w:val="14"/>
                <w:lang w:val="en-US" w:eastAsia="en-US"/>
              </w:rPr>
            </w:pPr>
            <w:r w:rsidRPr="00164B39">
              <w:rPr>
                <w:rFonts w:asciiTheme="minorHAnsi" w:hAnsiTheme="minorHAnsi" w:cstheme="minorHAnsi"/>
                <w:b/>
                <w:bCs/>
                <w:color w:val="000000"/>
                <w:sz w:val="14"/>
                <w:szCs w:val="14"/>
                <w:lang w:val="en-US" w:eastAsia="en-US"/>
              </w:rPr>
              <w:t>1.00</w:t>
            </w:r>
          </w:p>
        </w:tc>
        <w:tc>
          <w:tcPr>
            <w:tcW w:w="655" w:type="dxa"/>
            <w:noWrap/>
            <w:hideMark/>
          </w:tcPr>
          <w:p w14:paraId="74B1DB18" w14:textId="77777777" w:rsidR="003956FC" w:rsidRPr="00164B39" w:rsidRDefault="003956FC" w:rsidP="00CD460D">
            <w:pPr>
              <w:spacing w:after="0"/>
              <w:jc w:val="right"/>
              <w:rPr>
                <w:rFonts w:asciiTheme="minorHAnsi" w:hAnsiTheme="minorHAnsi" w:cstheme="minorHAnsi"/>
                <w:b/>
                <w:bCs/>
                <w:color w:val="000000"/>
                <w:sz w:val="14"/>
                <w:szCs w:val="14"/>
                <w:lang w:val="en-US" w:eastAsia="en-US"/>
              </w:rPr>
            </w:pPr>
            <w:r w:rsidRPr="00164B39">
              <w:rPr>
                <w:rFonts w:asciiTheme="minorHAnsi" w:hAnsiTheme="minorHAnsi" w:cstheme="minorHAnsi"/>
                <w:b/>
                <w:bCs/>
                <w:color w:val="000000"/>
                <w:sz w:val="14"/>
                <w:szCs w:val="14"/>
                <w:lang w:val="en-US" w:eastAsia="en-US"/>
              </w:rPr>
              <w:t>2.3</w:t>
            </w:r>
          </w:p>
        </w:tc>
        <w:tc>
          <w:tcPr>
            <w:tcW w:w="666" w:type="dxa"/>
            <w:noWrap/>
            <w:hideMark/>
          </w:tcPr>
          <w:p w14:paraId="662F2718" w14:textId="77777777" w:rsidR="003956FC" w:rsidRPr="00164B39" w:rsidRDefault="003956FC" w:rsidP="00CD460D">
            <w:pPr>
              <w:spacing w:after="0"/>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26%</w:t>
            </w:r>
          </w:p>
        </w:tc>
        <w:tc>
          <w:tcPr>
            <w:tcW w:w="691" w:type="dxa"/>
            <w:noWrap/>
            <w:hideMark/>
          </w:tcPr>
          <w:p w14:paraId="39FBBBD4" w14:textId="77777777" w:rsidR="003956FC" w:rsidRPr="00164B39" w:rsidRDefault="003956FC" w:rsidP="00CD460D">
            <w:pPr>
              <w:spacing w:after="0"/>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6%</w:t>
            </w:r>
          </w:p>
        </w:tc>
        <w:tc>
          <w:tcPr>
            <w:tcW w:w="706" w:type="dxa"/>
            <w:noWrap/>
            <w:hideMark/>
          </w:tcPr>
          <w:p w14:paraId="09619461" w14:textId="77777777" w:rsidR="003956FC" w:rsidRPr="00164B39" w:rsidRDefault="003956FC" w:rsidP="00CD460D">
            <w:pPr>
              <w:spacing w:after="0"/>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19%</w:t>
            </w:r>
          </w:p>
        </w:tc>
        <w:tc>
          <w:tcPr>
            <w:tcW w:w="730" w:type="dxa"/>
            <w:noWrap/>
            <w:hideMark/>
          </w:tcPr>
          <w:p w14:paraId="7F85F0FA" w14:textId="77777777" w:rsidR="003956FC" w:rsidRPr="00164B39" w:rsidRDefault="003956FC" w:rsidP="00CD460D">
            <w:pPr>
              <w:spacing w:after="0"/>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48%</w:t>
            </w:r>
          </w:p>
        </w:tc>
        <w:tc>
          <w:tcPr>
            <w:tcW w:w="969" w:type="dxa"/>
            <w:noWrap/>
            <w:hideMark/>
          </w:tcPr>
          <w:p w14:paraId="507A994F" w14:textId="77777777" w:rsidR="003956FC" w:rsidRPr="00164B39" w:rsidRDefault="003956FC" w:rsidP="00CD460D">
            <w:pPr>
              <w:spacing w:after="0"/>
              <w:rPr>
                <w:rFonts w:asciiTheme="minorHAnsi" w:hAnsiTheme="minorHAnsi" w:cstheme="minorHAnsi"/>
                <w:b/>
                <w:bCs/>
                <w:color w:val="000000"/>
                <w:sz w:val="14"/>
                <w:szCs w:val="14"/>
                <w:lang w:val="en-US" w:eastAsia="en-US"/>
              </w:rPr>
            </w:pPr>
            <w:r w:rsidRPr="00164B39">
              <w:rPr>
                <w:rFonts w:asciiTheme="minorHAnsi" w:hAnsiTheme="minorHAnsi" w:cstheme="minorHAnsi"/>
                <w:b/>
                <w:bCs/>
                <w:color w:val="000000"/>
                <w:sz w:val="14"/>
                <w:szCs w:val="14"/>
                <w:lang w:val="en-US" w:eastAsia="en-US"/>
              </w:rPr>
              <w:t> </w:t>
            </w:r>
          </w:p>
        </w:tc>
        <w:tc>
          <w:tcPr>
            <w:tcW w:w="660" w:type="dxa"/>
            <w:noWrap/>
            <w:hideMark/>
          </w:tcPr>
          <w:p w14:paraId="0A585A86" w14:textId="77777777" w:rsidR="003956FC" w:rsidRPr="00164B39" w:rsidRDefault="003956FC" w:rsidP="00CD460D">
            <w:pPr>
              <w:spacing w:after="0"/>
              <w:rPr>
                <w:rFonts w:asciiTheme="minorHAnsi" w:hAnsiTheme="minorHAnsi" w:cstheme="minorHAnsi"/>
                <w:b/>
                <w:bCs/>
                <w:color w:val="000000"/>
                <w:sz w:val="14"/>
                <w:szCs w:val="14"/>
                <w:lang w:val="en-US" w:eastAsia="en-US"/>
              </w:rPr>
            </w:pPr>
            <w:r w:rsidRPr="00164B39">
              <w:rPr>
                <w:rFonts w:asciiTheme="minorHAnsi" w:hAnsiTheme="minorHAnsi" w:cstheme="minorHAnsi"/>
                <w:b/>
                <w:bCs/>
                <w:color w:val="000000"/>
                <w:sz w:val="14"/>
                <w:szCs w:val="14"/>
                <w:lang w:val="en-US" w:eastAsia="en-US"/>
              </w:rPr>
              <w:t> </w:t>
            </w:r>
          </w:p>
        </w:tc>
      </w:tr>
      <w:tr w:rsidR="00272A9E" w:rsidRPr="00164B39" w14:paraId="7AFE8BEB" w14:textId="77777777" w:rsidTr="006B3A78">
        <w:trPr>
          <w:trHeight w:val="235"/>
        </w:trPr>
        <w:tc>
          <w:tcPr>
            <w:tcW w:w="709" w:type="dxa"/>
            <w:tcBorders>
              <w:bottom w:val="single" w:sz="4" w:space="0" w:color="808080" w:themeColor="background1" w:themeShade="80"/>
            </w:tcBorders>
            <w:noWrap/>
          </w:tcPr>
          <w:p w14:paraId="5173D99C" w14:textId="443EE48E" w:rsidR="00272A9E" w:rsidRPr="00164B39" w:rsidRDefault="00272A9E" w:rsidP="00CD460D">
            <w:pPr>
              <w:spacing w:after="0"/>
              <w:jc w:val="center"/>
              <w:rPr>
                <w:rFonts w:asciiTheme="minorHAnsi" w:hAnsiTheme="minorHAnsi" w:cstheme="minorHAnsi"/>
                <w:color w:val="000000"/>
                <w:sz w:val="14"/>
                <w:szCs w:val="14"/>
                <w:lang w:val="en-US" w:eastAsia="en-US"/>
              </w:rPr>
            </w:pPr>
          </w:p>
        </w:tc>
        <w:tc>
          <w:tcPr>
            <w:tcW w:w="660" w:type="dxa"/>
            <w:tcBorders>
              <w:bottom w:val="single" w:sz="4" w:space="0" w:color="808080" w:themeColor="background1" w:themeShade="80"/>
            </w:tcBorders>
            <w:noWrap/>
            <w:hideMark/>
          </w:tcPr>
          <w:p w14:paraId="64702025" w14:textId="77777777" w:rsidR="00272A9E" w:rsidRPr="00164B39" w:rsidRDefault="00272A9E" w:rsidP="00CD460D">
            <w:pPr>
              <w:spacing w:after="0"/>
              <w:jc w:val="right"/>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w:t>
            </w:r>
          </w:p>
        </w:tc>
        <w:tc>
          <w:tcPr>
            <w:tcW w:w="6145" w:type="dxa"/>
            <w:gridSpan w:val="2"/>
            <w:tcBorders>
              <w:bottom w:val="single" w:sz="4" w:space="0" w:color="808080" w:themeColor="background1" w:themeShade="80"/>
            </w:tcBorders>
            <w:noWrap/>
            <w:hideMark/>
          </w:tcPr>
          <w:p w14:paraId="3C8E098D" w14:textId="77777777" w:rsidR="00272A9E" w:rsidRPr="00164B39" w:rsidRDefault="00272A9E" w:rsidP="00CD460D">
            <w:pPr>
              <w:spacing w:after="0"/>
              <w:rPr>
                <w:rFonts w:asciiTheme="minorHAnsi" w:hAnsiTheme="minorHAnsi" w:cstheme="minorHAnsi"/>
                <w:b/>
                <w:bCs/>
                <w:color w:val="000000"/>
                <w:sz w:val="14"/>
                <w:szCs w:val="14"/>
                <w:lang w:val="en-US" w:eastAsia="en-US"/>
              </w:rPr>
            </w:pPr>
            <w:r w:rsidRPr="00164B39">
              <w:rPr>
                <w:rFonts w:asciiTheme="minorHAnsi" w:hAnsiTheme="minorHAnsi" w:cstheme="minorHAnsi"/>
                <w:b/>
                <w:bCs/>
                <w:color w:val="000000"/>
                <w:sz w:val="14"/>
                <w:szCs w:val="14"/>
                <w:lang w:val="en-US" w:eastAsia="en-US"/>
              </w:rPr>
              <w:t>Top 20 Critical Care cost-weight DRGs, % of all DRGs</w:t>
            </w:r>
          </w:p>
        </w:tc>
        <w:tc>
          <w:tcPr>
            <w:tcW w:w="691" w:type="dxa"/>
            <w:tcBorders>
              <w:bottom w:val="single" w:sz="4" w:space="0" w:color="808080" w:themeColor="background1" w:themeShade="80"/>
            </w:tcBorders>
            <w:noWrap/>
            <w:hideMark/>
          </w:tcPr>
          <w:p w14:paraId="30114575" w14:textId="06B3D1AC" w:rsidR="00272A9E" w:rsidRPr="00164B39" w:rsidRDefault="00272A9E" w:rsidP="00CD460D">
            <w:pPr>
              <w:spacing w:after="0"/>
              <w:rPr>
                <w:rFonts w:asciiTheme="minorHAnsi" w:hAnsiTheme="minorHAnsi" w:cstheme="minorHAnsi"/>
                <w:b/>
                <w:bCs/>
                <w:color w:val="000000"/>
                <w:sz w:val="14"/>
                <w:szCs w:val="14"/>
                <w:lang w:val="en-US" w:eastAsia="en-US"/>
              </w:rPr>
            </w:pPr>
          </w:p>
        </w:tc>
        <w:tc>
          <w:tcPr>
            <w:tcW w:w="839" w:type="dxa"/>
            <w:tcBorders>
              <w:bottom w:val="single" w:sz="4" w:space="0" w:color="808080" w:themeColor="background1" w:themeShade="80"/>
            </w:tcBorders>
            <w:noWrap/>
            <w:hideMark/>
          </w:tcPr>
          <w:p w14:paraId="21A26E2D" w14:textId="77777777" w:rsidR="00272A9E" w:rsidRPr="00164B39" w:rsidRDefault="00272A9E" w:rsidP="00CD460D">
            <w:pPr>
              <w:spacing w:after="0"/>
              <w:jc w:val="right"/>
              <w:rPr>
                <w:rFonts w:asciiTheme="minorHAnsi" w:hAnsiTheme="minorHAnsi" w:cstheme="minorHAnsi"/>
                <w:b/>
                <w:bCs/>
                <w:color w:val="000000"/>
                <w:sz w:val="14"/>
                <w:szCs w:val="14"/>
                <w:lang w:val="en-US" w:eastAsia="en-US"/>
              </w:rPr>
            </w:pPr>
            <w:r w:rsidRPr="00164B39">
              <w:rPr>
                <w:rFonts w:asciiTheme="minorHAnsi" w:hAnsiTheme="minorHAnsi" w:cstheme="minorHAnsi"/>
                <w:b/>
                <w:bCs/>
                <w:color w:val="000000"/>
                <w:sz w:val="14"/>
                <w:szCs w:val="14"/>
                <w:lang w:val="en-US" w:eastAsia="en-US"/>
              </w:rPr>
              <w:t>0.1%</w:t>
            </w:r>
          </w:p>
        </w:tc>
        <w:tc>
          <w:tcPr>
            <w:tcW w:w="691" w:type="dxa"/>
            <w:tcBorders>
              <w:bottom w:val="single" w:sz="4" w:space="0" w:color="808080" w:themeColor="background1" w:themeShade="80"/>
            </w:tcBorders>
            <w:noWrap/>
            <w:hideMark/>
          </w:tcPr>
          <w:p w14:paraId="6F697190" w14:textId="77777777" w:rsidR="00272A9E" w:rsidRPr="00164B39" w:rsidRDefault="00272A9E" w:rsidP="00CD460D">
            <w:pPr>
              <w:spacing w:after="0"/>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w:t>
            </w:r>
          </w:p>
        </w:tc>
        <w:tc>
          <w:tcPr>
            <w:tcW w:w="655" w:type="dxa"/>
            <w:tcBorders>
              <w:bottom w:val="single" w:sz="4" w:space="0" w:color="808080" w:themeColor="background1" w:themeShade="80"/>
            </w:tcBorders>
            <w:noWrap/>
            <w:hideMark/>
          </w:tcPr>
          <w:p w14:paraId="3B368A83" w14:textId="77777777" w:rsidR="00272A9E" w:rsidRPr="00164B39" w:rsidRDefault="00272A9E" w:rsidP="00CD460D">
            <w:pPr>
              <w:spacing w:after="0"/>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w:t>
            </w:r>
          </w:p>
        </w:tc>
        <w:tc>
          <w:tcPr>
            <w:tcW w:w="666" w:type="dxa"/>
            <w:tcBorders>
              <w:bottom w:val="single" w:sz="4" w:space="0" w:color="808080" w:themeColor="background1" w:themeShade="80"/>
            </w:tcBorders>
            <w:noWrap/>
            <w:hideMark/>
          </w:tcPr>
          <w:p w14:paraId="366C9E54" w14:textId="77777777" w:rsidR="00272A9E" w:rsidRPr="00164B39" w:rsidRDefault="00272A9E" w:rsidP="00CD460D">
            <w:pPr>
              <w:spacing w:after="0"/>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w:t>
            </w:r>
          </w:p>
        </w:tc>
        <w:tc>
          <w:tcPr>
            <w:tcW w:w="691" w:type="dxa"/>
            <w:tcBorders>
              <w:bottom w:val="single" w:sz="4" w:space="0" w:color="808080" w:themeColor="background1" w:themeShade="80"/>
            </w:tcBorders>
            <w:noWrap/>
            <w:hideMark/>
          </w:tcPr>
          <w:p w14:paraId="0002D516" w14:textId="77777777" w:rsidR="00272A9E" w:rsidRPr="00164B39" w:rsidRDefault="00272A9E" w:rsidP="00CD460D">
            <w:pPr>
              <w:spacing w:after="0"/>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w:t>
            </w:r>
          </w:p>
        </w:tc>
        <w:tc>
          <w:tcPr>
            <w:tcW w:w="706" w:type="dxa"/>
            <w:tcBorders>
              <w:bottom w:val="single" w:sz="4" w:space="0" w:color="808080" w:themeColor="background1" w:themeShade="80"/>
            </w:tcBorders>
            <w:noWrap/>
            <w:hideMark/>
          </w:tcPr>
          <w:p w14:paraId="07B554EF" w14:textId="77777777" w:rsidR="00272A9E" w:rsidRPr="00164B39" w:rsidRDefault="00272A9E" w:rsidP="00CD460D">
            <w:pPr>
              <w:spacing w:after="0"/>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w:t>
            </w:r>
          </w:p>
        </w:tc>
        <w:tc>
          <w:tcPr>
            <w:tcW w:w="730" w:type="dxa"/>
            <w:tcBorders>
              <w:bottom w:val="single" w:sz="4" w:space="0" w:color="808080" w:themeColor="background1" w:themeShade="80"/>
            </w:tcBorders>
            <w:noWrap/>
            <w:hideMark/>
          </w:tcPr>
          <w:p w14:paraId="5288012F" w14:textId="77777777" w:rsidR="00272A9E" w:rsidRPr="00164B39" w:rsidRDefault="00272A9E" w:rsidP="00CD460D">
            <w:pPr>
              <w:spacing w:after="0"/>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w:t>
            </w:r>
          </w:p>
        </w:tc>
        <w:tc>
          <w:tcPr>
            <w:tcW w:w="969" w:type="dxa"/>
            <w:tcBorders>
              <w:bottom w:val="single" w:sz="4" w:space="0" w:color="808080" w:themeColor="background1" w:themeShade="80"/>
            </w:tcBorders>
            <w:noWrap/>
            <w:hideMark/>
          </w:tcPr>
          <w:p w14:paraId="46A23DC4" w14:textId="77777777" w:rsidR="00272A9E" w:rsidRPr="00164B39" w:rsidRDefault="00272A9E" w:rsidP="00CD460D">
            <w:pPr>
              <w:spacing w:after="0"/>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w:t>
            </w:r>
          </w:p>
        </w:tc>
        <w:tc>
          <w:tcPr>
            <w:tcW w:w="660" w:type="dxa"/>
            <w:tcBorders>
              <w:bottom w:val="single" w:sz="4" w:space="0" w:color="808080" w:themeColor="background1" w:themeShade="80"/>
            </w:tcBorders>
            <w:noWrap/>
            <w:hideMark/>
          </w:tcPr>
          <w:p w14:paraId="592852D5" w14:textId="77777777" w:rsidR="00272A9E" w:rsidRPr="00164B39" w:rsidRDefault="00272A9E" w:rsidP="00CD460D">
            <w:pPr>
              <w:spacing w:after="0"/>
              <w:rPr>
                <w:rFonts w:asciiTheme="minorHAnsi" w:hAnsiTheme="minorHAnsi" w:cstheme="minorHAnsi"/>
                <w:color w:val="000000"/>
                <w:sz w:val="14"/>
                <w:szCs w:val="14"/>
                <w:lang w:val="en-US" w:eastAsia="en-US"/>
              </w:rPr>
            </w:pPr>
            <w:r w:rsidRPr="00164B39">
              <w:rPr>
                <w:rFonts w:asciiTheme="minorHAnsi" w:hAnsiTheme="minorHAnsi" w:cstheme="minorHAnsi"/>
                <w:color w:val="000000"/>
                <w:sz w:val="14"/>
                <w:szCs w:val="14"/>
                <w:lang w:val="en-US" w:eastAsia="en-US"/>
              </w:rPr>
              <w:t> </w:t>
            </w:r>
          </w:p>
        </w:tc>
      </w:tr>
    </w:tbl>
    <w:p w14:paraId="261F1F29" w14:textId="1711F02E" w:rsidR="00272A9E" w:rsidRPr="00272A9E" w:rsidRDefault="00272A9E" w:rsidP="00272A9E">
      <w:pPr>
        <w:rPr>
          <w:rFonts w:asciiTheme="minorHAnsi" w:hAnsiTheme="minorHAnsi" w:cstheme="minorHAnsi"/>
          <w:color w:val="008A00" w:themeColor="accent2"/>
          <w:sz w:val="16"/>
        </w:rPr>
      </w:pPr>
      <w:r w:rsidRPr="00272A9E">
        <w:rPr>
          <w:rFonts w:asciiTheme="minorHAnsi" w:hAnsiTheme="minorHAnsi" w:cstheme="minorHAnsi"/>
          <w:color w:val="008A00" w:themeColor="accent2"/>
          <w:sz w:val="16"/>
        </w:rPr>
        <w:t>Notes</w:t>
      </w:r>
      <w:r w:rsidRPr="00272A9E">
        <w:rPr>
          <w:rFonts w:asciiTheme="minorHAnsi" w:hAnsiTheme="minorHAnsi" w:cstheme="minorHAnsi"/>
          <w:color w:val="008A00" w:themeColor="accent2"/>
          <w:sz w:val="16"/>
        </w:rPr>
        <w:tab/>
      </w:r>
      <w:r w:rsidRPr="00272A9E">
        <w:rPr>
          <w:rFonts w:asciiTheme="minorHAnsi" w:hAnsiTheme="minorHAnsi" w:cstheme="minorHAnsi"/>
          <w:color w:val="008A00" w:themeColor="accent2"/>
          <w:sz w:val="16"/>
        </w:rPr>
        <w:tab/>
      </w:r>
    </w:p>
    <w:p w14:paraId="12FB21F8" w14:textId="2E72DA4C" w:rsidR="00272A9E" w:rsidRPr="00544B40" w:rsidRDefault="00272A9E" w:rsidP="00544B40">
      <w:pPr>
        <w:spacing w:after="0"/>
        <w:rPr>
          <w:rFonts w:asciiTheme="minorHAnsi" w:hAnsiTheme="minorHAnsi" w:cstheme="minorHAnsi"/>
          <w:sz w:val="16"/>
        </w:rPr>
      </w:pPr>
      <w:r w:rsidRPr="00272A9E">
        <w:rPr>
          <w:rFonts w:asciiTheme="minorHAnsi" w:hAnsiTheme="minorHAnsi" w:cstheme="minorHAnsi"/>
          <w:sz w:val="16"/>
        </w:rPr>
        <w:t xml:space="preserve">(a) For cost weight (cost bucket specific) calculations please refer to </w:t>
      </w:r>
      <w:r w:rsidR="00544B40">
        <w:rPr>
          <w:rFonts w:asciiTheme="minorHAnsi" w:hAnsiTheme="minorHAnsi" w:cstheme="minorHAnsi"/>
          <w:sz w:val="16"/>
        </w:rPr>
        <w:fldChar w:fldCharType="begin"/>
      </w:r>
      <w:r w:rsidR="00544B40">
        <w:rPr>
          <w:rFonts w:asciiTheme="minorHAnsi" w:hAnsiTheme="minorHAnsi" w:cstheme="minorHAnsi"/>
          <w:sz w:val="16"/>
        </w:rPr>
        <w:instrText xml:space="preserve"> REF _Ref497335615 \h  \* MERGEFORMAT </w:instrText>
      </w:r>
      <w:r w:rsidR="00544B40">
        <w:rPr>
          <w:rFonts w:asciiTheme="minorHAnsi" w:hAnsiTheme="minorHAnsi" w:cstheme="minorHAnsi"/>
          <w:sz w:val="16"/>
        </w:rPr>
      </w:r>
      <w:r w:rsidR="00544B40">
        <w:rPr>
          <w:rFonts w:asciiTheme="minorHAnsi" w:hAnsiTheme="minorHAnsi" w:cstheme="minorHAnsi"/>
          <w:sz w:val="16"/>
        </w:rPr>
        <w:fldChar w:fldCharType="separate"/>
      </w:r>
      <w:r w:rsidR="00681CD9" w:rsidRPr="00681CD9">
        <w:rPr>
          <w:rFonts w:asciiTheme="minorHAnsi" w:hAnsiTheme="minorHAnsi" w:cstheme="minorHAnsi"/>
          <w:sz w:val="16"/>
        </w:rPr>
        <w:t>Appendix D: Cost weight tables by AR-DRG Version 8.0</w:t>
      </w:r>
      <w:r w:rsidR="00544B40">
        <w:rPr>
          <w:rFonts w:asciiTheme="minorHAnsi" w:hAnsiTheme="minorHAnsi" w:cstheme="minorHAnsi"/>
          <w:sz w:val="16"/>
        </w:rPr>
        <w:fldChar w:fldCharType="end"/>
      </w:r>
      <w:r w:rsidR="00544B40">
        <w:rPr>
          <w:rFonts w:asciiTheme="minorHAnsi" w:hAnsiTheme="minorHAnsi" w:cstheme="minorHAnsi"/>
          <w:sz w:val="16"/>
        </w:rPr>
        <w:tab/>
      </w:r>
    </w:p>
    <w:p w14:paraId="4752D1CE" w14:textId="12E5FE1D" w:rsidR="00272A9E" w:rsidRPr="00272A9E" w:rsidRDefault="00272A9E" w:rsidP="00544B40">
      <w:pPr>
        <w:pStyle w:val="Tablesheadings"/>
        <w:rPr>
          <w:rFonts w:asciiTheme="minorHAnsi" w:hAnsiTheme="minorHAnsi" w:cstheme="minorHAnsi"/>
          <w:b w:val="0"/>
          <w:color w:val="auto"/>
          <w:sz w:val="16"/>
        </w:rPr>
      </w:pPr>
      <w:bookmarkStart w:id="196" w:name="_Toc497332774"/>
      <w:bookmarkStart w:id="197" w:name="_Toc497332913"/>
      <w:bookmarkStart w:id="198" w:name="_Toc497486118"/>
      <w:bookmarkStart w:id="199" w:name="_Toc497488037"/>
      <w:r w:rsidRPr="00272A9E">
        <w:rPr>
          <w:rFonts w:asciiTheme="minorHAnsi" w:hAnsiTheme="minorHAnsi" w:cstheme="minorHAnsi"/>
          <w:b w:val="0"/>
          <w:color w:val="auto"/>
          <w:sz w:val="16"/>
        </w:rPr>
        <w:t>(b) Separations shown are strata weighted</w:t>
      </w:r>
      <w:bookmarkEnd w:id="196"/>
      <w:bookmarkEnd w:id="197"/>
      <w:bookmarkEnd w:id="198"/>
      <w:bookmarkEnd w:id="199"/>
      <w:r w:rsidRPr="00272A9E">
        <w:rPr>
          <w:rFonts w:asciiTheme="minorHAnsi" w:hAnsiTheme="minorHAnsi" w:cstheme="minorHAnsi"/>
          <w:b w:val="0"/>
          <w:color w:val="auto"/>
          <w:sz w:val="16"/>
        </w:rPr>
        <w:tab/>
      </w:r>
    </w:p>
    <w:p w14:paraId="4F4793D7" w14:textId="1C5259A8" w:rsidR="00272A9E" w:rsidRPr="00272A9E" w:rsidRDefault="00272A9E" w:rsidP="00544B40">
      <w:pPr>
        <w:pStyle w:val="Tablesheadings"/>
        <w:rPr>
          <w:rFonts w:asciiTheme="minorHAnsi" w:hAnsiTheme="minorHAnsi" w:cstheme="minorHAnsi"/>
          <w:b w:val="0"/>
          <w:color w:val="auto"/>
          <w:sz w:val="16"/>
        </w:rPr>
      </w:pPr>
      <w:bookmarkStart w:id="200" w:name="_Toc497332775"/>
      <w:bookmarkStart w:id="201" w:name="_Toc497332914"/>
      <w:bookmarkStart w:id="202" w:name="_Toc497486119"/>
      <w:bookmarkStart w:id="203" w:name="_Toc497488038"/>
      <w:r w:rsidRPr="00272A9E">
        <w:rPr>
          <w:rFonts w:asciiTheme="minorHAnsi" w:hAnsiTheme="minorHAnsi" w:cstheme="minorHAnsi"/>
          <w:b w:val="0"/>
          <w:color w:val="auto"/>
          <w:sz w:val="16"/>
        </w:rPr>
        <w:t xml:space="preserve">(c) DRG-rank for cost weight across all cost buckets. </w:t>
      </w:r>
      <w:proofErr w:type="gramStart"/>
      <w:r w:rsidRPr="00272A9E">
        <w:rPr>
          <w:rFonts w:asciiTheme="minorHAnsi" w:hAnsiTheme="minorHAnsi" w:cstheme="minorHAnsi"/>
          <w:b w:val="0"/>
          <w:color w:val="auto"/>
          <w:sz w:val="16"/>
        </w:rPr>
        <w:t>A rank of 1 means that the DRG has the highest cost weight.</w:t>
      </w:r>
      <w:bookmarkEnd w:id="200"/>
      <w:bookmarkEnd w:id="201"/>
      <w:bookmarkEnd w:id="202"/>
      <w:bookmarkEnd w:id="203"/>
      <w:proofErr w:type="gramEnd"/>
      <w:r w:rsidRPr="00272A9E">
        <w:rPr>
          <w:rFonts w:asciiTheme="minorHAnsi" w:hAnsiTheme="minorHAnsi" w:cstheme="minorHAnsi"/>
          <w:b w:val="0"/>
          <w:color w:val="auto"/>
          <w:sz w:val="16"/>
        </w:rPr>
        <w:t xml:space="preserve"> </w:t>
      </w:r>
      <w:r w:rsidRPr="00272A9E">
        <w:rPr>
          <w:rFonts w:asciiTheme="minorHAnsi" w:hAnsiTheme="minorHAnsi" w:cstheme="minorHAnsi"/>
          <w:b w:val="0"/>
          <w:color w:val="auto"/>
          <w:sz w:val="16"/>
        </w:rPr>
        <w:tab/>
      </w:r>
    </w:p>
    <w:p w14:paraId="02DEF488" w14:textId="2F733CE0" w:rsidR="005D7320" w:rsidRDefault="00272A9E" w:rsidP="00544B40">
      <w:pPr>
        <w:pStyle w:val="Tablesheadings"/>
      </w:pPr>
      <w:bookmarkStart w:id="204" w:name="_Toc497332776"/>
      <w:bookmarkStart w:id="205" w:name="_Toc497332915"/>
      <w:bookmarkStart w:id="206" w:name="_Toc497486120"/>
      <w:bookmarkStart w:id="207" w:name="_Toc497488039"/>
      <w:r w:rsidRPr="00272A9E">
        <w:rPr>
          <w:rFonts w:asciiTheme="minorHAnsi" w:hAnsiTheme="minorHAnsi" w:cstheme="minorHAnsi"/>
          <w:b w:val="0"/>
          <w:color w:val="auto"/>
          <w:sz w:val="16"/>
        </w:rPr>
        <w:t xml:space="preserve">(d) </w:t>
      </w:r>
      <w:proofErr w:type="spellStart"/>
      <w:r w:rsidRPr="00272A9E">
        <w:rPr>
          <w:rFonts w:asciiTheme="minorHAnsi" w:hAnsiTheme="minorHAnsi" w:cstheme="minorHAnsi"/>
          <w:b w:val="0"/>
          <w:color w:val="auto"/>
          <w:sz w:val="16"/>
        </w:rPr>
        <w:t>ALoS</w:t>
      </w:r>
      <w:proofErr w:type="spellEnd"/>
      <w:r w:rsidRPr="00272A9E">
        <w:rPr>
          <w:rFonts w:asciiTheme="minorHAnsi" w:hAnsiTheme="minorHAnsi" w:cstheme="minorHAnsi"/>
          <w:b w:val="0"/>
          <w:color w:val="auto"/>
          <w:sz w:val="16"/>
        </w:rPr>
        <w:t xml:space="preserve"> means average length of stay</w:t>
      </w:r>
      <w:bookmarkEnd w:id="204"/>
      <w:bookmarkEnd w:id="205"/>
      <w:bookmarkEnd w:id="206"/>
      <w:bookmarkEnd w:id="207"/>
      <w:r w:rsidRPr="00272A9E">
        <w:rPr>
          <w:rFonts w:asciiTheme="minorHAnsi" w:hAnsiTheme="minorHAnsi" w:cstheme="minorHAnsi"/>
          <w:color w:val="auto"/>
          <w:sz w:val="16"/>
        </w:rPr>
        <w:tab/>
      </w:r>
      <w:r w:rsidR="005D7320">
        <w:br w:type="page"/>
      </w:r>
    </w:p>
    <w:p w14:paraId="71AE92F6" w14:textId="77777777" w:rsidR="00272A9E" w:rsidRDefault="00272A9E" w:rsidP="005D7320">
      <w:pPr>
        <w:pStyle w:val="Figureheadings"/>
        <w:sectPr w:rsidR="00272A9E" w:rsidSect="006B3A78">
          <w:pgSz w:w="16840" w:h="11907" w:orient="landscape" w:code="9"/>
          <w:pgMar w:top="1701" w:right="2041" w:bottom="1134" w:left="1021" w:header="680" w:footer="510" w:gutter="0"/>
          <w:cols w:space="708"/>
          <w:docGrid w:linePitch="360"/>
        </w:sectPr>
      </w:pPr>
    </w:p>
    <w:p w14:paraId="5196FD05" w14:textId="5C0C1869" w:rsidR="005D7320" w:rsidRPr="00CA6746" w:rsidRDefault="005D7320" w:rsidP="00823FE0">
      <w:pPr>
        <w:pStyle w:val="Heading3"/>
      </w:pPr>
      <w:bookmarkStart w:id="208" w:name="_Toc496857585"/>
      <w:r>
        <w:lastRenderedPageBreak/>
        <w:t>Operating room/specialised procedure suite cost bucket</w:t>
      </w:r>
      <w:bookmarkEnd w:id="208"/>
    </w:p>
    <w:p w14:paraId="28757E9C" w14:textId="77777777" w:rsidR="005D7320" w:rsidRDefault="005D7320" w:rsidP="005D7320">
      <w:pPr>
        <w:pStyle w:val="Intro"/>
      </w:pPr>
      <w:r>
        <w:t>Key findings</w:t>
      </w:r>
    </w:p>
    <w:p w14:paraId="09F36036" w14:textId="29BA0234" w:rsidR="00E7439E" w:rsidRDefault="005D7320" w:rsidP="005D7320">
      <w:proofErr w:type="gramStart"/>
      <w:r w:rsidRPr="00415E27">
        <w:t xml:space="preserve">Figure </w:t>
      </w:r>
      <w:r w:rsidR="00FD56F8">
        <w:t>7</w:t>
      </w:r>
      <w:r w:rsidRPr="00415E27">
        <w:t xml:space="preserve"> shows that the highest cost weigh</w:t>
      </w:r>
      <w:r w:rsidR="008913E2">
        <w:t>t</w:t>
      </w:r>
      <w:r w:rsidRPr="00415E27">
        <w:t xml:space="preserve"> DRG is </w:t>
      </w:r>
      <w:r w:rsidR="00415E27" w:rsidRPr="00415E27">
        <w:t>J01A</w:t>
      </w:r>
      <w:r w:rsidR="008913E2">
        <w:t xml:space="preserve"> </w:t>
      </w:r>
      <w:proofErr w:type="spellStart"/>
      <w:r w:rsidR="00415E27" w:rsidRPr="00415E27">
        <w:t>Microvas</w:t>
      </w:r>
      <w:proofErr w:type="spellEnd"/>
      <w:r w:rsidR="00415E27" w:rsidRPr="00415E27">
        <w:t xml:space="preserve"> </w:t>
      </w:r>
      <w:proofErr w:type="spellStart"/>
      <w:r w:rsidR="00415E27" w:rsidRPr="00415E27">
        <w:t>Tiss</w:t>
      </w:r>
      <w:proofErr w:type="spellEnd"/>
      <w:r w:rsidR="00415E27" w:rsidRPr="00415E27">
        <w:t xml:space="preserve"> </w:t>
      </w:r>
      <w:proofErr w:type="spellStart"/>
      <w:r w:rsidR="00415E27" w:rsidRPr="00415E27">
        <w:t>Transf</w:t>
      </w:r>
      <w:proofErr w:type="spellEnd"/>
      <w:r w:rsidR="00415E27" w:rsidRPr="00415E27">
        <w:t xml:space="preserve"> for Skin, </w:t>
      </w:r>
      <w:proofErr w:type="spellStart"/>
      <w:r w:rsidR="00415E27" w:rsidRPr="00415E27">
        <w:t>Subcut</w:t>
      </w:r>
      <w:proofErr w:type="spellEnd"/>
      <w:r w:rsidR="00415E27" w:rsidRPr="00415E27">
        <w:t xml:space="preserve"> </w:t>
      </w:r>
      <w:proofErr w:type="spellStart"/>
      <w:r w:rsidR="00415E27" w:rsidRPr="00415E27">
        <w:t>Tiss</w:t>
      </w:r>
      <w:proofErr w:type="spellEnd"/>
      <w:r w:rsidR="00415E27" w:rsidRPr="00415E27">
        <w:t xml:space="preserve"> &amp;</w:t>
      </w:r>
      <w:r w:rsidR="00281672">
        <w:t xml:space="preserve"> Breast </w:t>
      </w:r>
      <w:proofErr w:type="spellStart"/>
      <w:r w:rsidR="00281672">
        <w:t>Dsrds</w:t>
      </w:r>
      <w:proofErr w:type="spellEnd"/>
      <w:r w:rsidR="00281672">
        <w:t>, Major Complexity.</w:t>
      </w:r>
      <w:proofErr w:type="gramEnd"/>
      <w:r w:rsidR="00281672">
        <w:t xml:space="preserve"> </w:t>
      </w:r>
      <w:r w:rsidRPr="00415E27">
        <w:t xml:space="preserve">This was ranked number one </w:t>
      </w:r>
      <w:r w:rsidR="00D61C39">
        <w:t xml:space="preserve">in Round 18 </w:t>
      </w:r>
      <w:r w:rsidRPr="00415E27">
        <w:t xml:space="preserve">and is accustomed to be ranked number one or two given the fact </w:t>
      </w:r>
      <w:r w:rsidR="0060596E">
        <w:t xml:space="preserve">that </w:t>
      </w:r>
      <w:r w:rsidRPr="00415E27">
        <w:t>this procedure utilises a large amount of theatre time.</w:t>
      </w:r>
    </w:p>
    <w:p w14:paraId="58BEB296" w14:textId="3B9C6CCA" w:rsidR="00E7439E" w:rsidRDefault="00AA16B4" w:rsidP="005D7320">
      <w:r>
        <w:t xml:space="preserve">As presented in </w:t>
      </w:r>
      <w:r w:rsidR="006654BA">
        <w:t>Table 11</w:t>
      </w:r>
      <w:r w:rsidR="005D7320" w:rsidRPr="00415E27">
        <w:t xml:space="preserve"> the DRGs listed in the top 20 are customary to be within this ranking given that the majority are coded to DRGs ending in A or B and are all known for consuming high levels of theatre time for example cardiac investigative procedures.</w:t>
      </w:r>
    </w:p>
    <w:p w14:paraId="4EB72D96" w14:textId="77777777" w:rsidR="005D7320" w:rsidRDefault="005D7320" w:rsidP="005D7320">
      <w:pPr>
        <w:pStyle w:val="Intro"/>
      </w:pPr>
      <w:r>
        <w:t>Consistencies between Round 18 and Round 20</w:t>
      </w:r>
    </w:p>
    <w:p w14:paraId="26D5FC76" w14:textId="03552752" w:rsidR="00E7439E" w:rsidRDefault="00415E27" w:rsidP="005D7320">
      <w:r w:rsidRPr="00415E27">
        <w:t xml:space="preserve">DRGs ranked one and two were ranked in the same order </w:t>
      </w:r>
      <w:r>
        <w:t>as Round 18 with a minor change in weighting</w:t>
      </w:r>
      <w:r w:rsidR="0057344E">
        <w:t>.</w:t>
      </w:r>
      <w:r>
        <w:t xml:space="preserve"> </w:t>
      </w:r>
    </w:p>
    <w:p w14:paraId="7A42F7C8" w14:textId="67F19819" w:rsidR="00E7439E" w:rsidRDefault="005D7320" w:rsidP="005D7320">
      <w:r w:rsidRPr="00415E27">
        <w:t xml:space="preserve">The </w:t>
      </w:r>
      <w:r w:rsidR="0057344E">
        <w:t xml:space="preserve">greatest </w:t>
      </w:r>
      <w:r w:rsidRPr="00415E27">
        <w:t xml:space="preserve">increase was </w:t>
      </w:r>
      <w:r w:rsidR="0057344E" w:rsidRPr="0057344E">
        <w:t>F07A</w:t>
      </w:r>
      <w:r w:rsidR="0057344E">
        <w:t xml:space="preserve"> </w:t>
      </w:r>
      <w:r w:rsidR="0057344E" w:rsidRPr="0057344E">
        <w:t>Other Cardiothoracic/Vascular Procedures W CPB Pump, Major Complexity</w:t>
      </w:r>
      <w:r w:rsidR="0057344E">
        <w:t xml:space="preserve"> </w:t>
      </w:r>
      <w:r w:rsidRPr="00415E27">
        <w:t xml:space="preserve">increasing its cost weight by </w:t>
      </w:r>
      <w:r w:rsidR="00FE4117">
        <w:t>0.96</w:t>
      </w:r>
      <w:r w:rsidRPr="00415E27">
        <w:t xml:space="preserve">.  This relates to increased feeder data and allocation statistics being utilised and </w:t>
      </w:r>
      <w:r w:rsidR="00D61C39">
        <w:t>service weight changes between r</w:t>
      </w:r>
      <w:r w:rsidRPr="00415E27">
        <w:t>ounds.</w:t>
      </w:r>
    </w:p>
    <w:p w14:paraId="2853613E" w14:textId="37206632" w:rsidR="00BF794D" w:rsidRPr="0012767B" w:rsidRDefault="00BF794D" w:rsidP="00BF794D">
      <w:pPr>
        <w:pStyle w:val="Intro"/>
      </w:pPr>
      <w:r>
        <w:t>Differences</w:t>
      </w:r>
      <w:r w:rsidRPr="0012767B">
        <w:t xml:space="preserve"> between Round 18 and Round 20</w:t>
      </w:r>
    </w:p>
    <w:p w14:paraId="7628A758" w14:textId="3A64DF28" w:rsidR="00E7439E" w:rsidRDefault="0057344E" w:rsidP="005D7320">
      <w:r w:rsidRPr="0057344E">
        <w:t>A40B</w:t>
      </w:r>
      <w:r>
        <w:t xml:space="preserve"> </w:t>
      </w:r>
      <w:r w:rsidRPr="0057344E">
        <w:t>ECMO, Minor Complexity</w:t>
      </w:r>
      <w:r w:rsidR="00281672">
        <w:t xml:space="preserve"> (see </w:t>
      </w:r>
      <w:r w:rsidR="006654BA">
        <w:t>Table 11</w:t>
      </w:r>
      <w:r>
        <w:t xml:space="preserve">) was masked in Round 18 due to </w:t>
      </w:r>
      <w:r w:rsidR="00362478">
        <w:t xml:space="preserve">the sample containing </w:t>
      </w:r>
      <w:r>
        <w:t xml:space="preserve">less than 5 separations compared to </w:t>
      </w:r>
      <w:r w:rsidR="00D61C39">
        <w:t>Round 20</w:t>
      </w:r>
      <w:r>
        <w:t xml:space="preserve"> w</w:t>
      </w:r>
      <w:r w:rsidR="00362478">
        <w:t>h</w:t>
      </w:r>
      <w:r>
        <w:t xml:space="preserve">ere </w:t>
      </w:r>
      <w:r w:rsidR="00362478">
        <w:t>there were</w:t>
      </w:r>
      <w:r>
        <w:t xml:space="preserve"> 30 weighted separations and </w:t>
      </w:r>
      <w:r w:rsidR="00362478">
        <w:t xml:space="preserve">it </w:t>
      </w:r>
      <w:r>
        <w:t xml:space="preserve">is ranked </w:t>
      </w:r>
      <w:r w:rsidR="00362478">
        <w:t>three</w:t>
      </w:r>
      <w:r>
        <w:t xml:space="preserve">.  </w:t>
      </w:r>
    </w:p>
    <w:p w14:paraId="10A8C632" w14:textId="3EF452A4" w:rsidR="00E7439E" w:rsidRDefault="0057344E" w:rsidP="0057344E">
      <w:r>
        <w:t xml:space="preserve">The top </w:t>
      </w:r>
      <w:r w:rsidR="00362478">
        <w:t>five</w:t>
      </w:r>
      <w:r>
        <w:t xml:space="preserve"> </w:t>
      </w:r>
      <w:r w:rsidR="00362478">
        <w:t>rankings include</w:t>
      </w:r>
      <w:r>
        <w:t xml:space="preserve"> a new entrant </w:t>
      </w:r>
      <w:r w:rsidRPr="0057344E">
        <w:t>F07A</w:t>
      </w:r>
      <w:r>
        <w:t xml:space="preserve"> </w:t>
      </w:r>
      <w:r w:rsidRPr="0057344E">
        <w:t>Other Cardiothoracic/Vascular Procedures W CPB Pump, Major Complexity</w:t>
      </w:r>
      <w:r>
        <w:t xml:space="preserve"> (</w:t>
      </w:r>
      <w:r w:rsidR="00281672">
        <w:t xml:space="preserve">see </w:t>
      </w:r>
      <w:r w:rsidR="009E6DCF">
        <w:t>Figure</w:t>
      </w:r>
      <w:r>
        <w:t xml:space="preserve"> </w:t>
      </w:r>
      <w:r w:rsidR="00FD56F8">
        <w:t>7</w:t>
      </w:r>
      <w:r>
        <w:t xml:space="preserve">) which was ranked 18 in </w:t>
      </w:r>
      <w:r w:rsidR="00D61C39">
        <w:t>Round 18</w:t>
      </w:r>
      <w:r>
        <w:t xml:space="preserve"> and is now ranked number </w:t>
      </w:r>
      <w:r w:rsidR="00362478">
        <w:t>five</w:t>
      </w:r>
      <w:r>
        <w:t xml:space="preserve">. A reason for this is </w:t>
      </w:r>
      <w:r w:rsidR="00362478">
        <w:t xml:space="preserve">the </w:t>
      </w:r>
      <w:r>
        <w:t>different sample size and increase in weighted separations for this DRG.</w:t>
      </w:r>
    </w:p>
    <w:p w14:paraId="4D13DDBD" w14:textId="7A53A40F" w:rsidR="0057344E" w:rsidRDefault="00D61C39" w:rsidP="0057344E">
      <w:r>
        <w:t xml:space="preserve">The other two new </w:t>
      </w:r>
      <w:r w:rsidR="0057344E">
        <w:t xml:space="preserve">DRGs are </w:t>
      </w:r>
      <w:r w:rsidR="0057344E" w:rsidRPr="0057344E">
        <w:t>I09A</w:t>
      </w:r>
      <w:r w:rsidR="0057344E">
        <w:t xml:space="preserve"> </w:t>
      </w:r>
      <w:r w:rsidR="0057344E" w:rsidRPr="0057344E">
        <w:t>Spinal Fusion, Major Complexity</w:t>
      </w:r>
      <w:r w:rsidR="0057344E">
        <w:t xml:space="preserve"> and </w:t>
      </w:r>
      <w:r w:rsidR="0057344E" w:rsidRPr="0057344E">
        <w:t>A06B</w:t>
      </w:r>
      <w:r w:rsidR="0057344E">
        <w:t xml:space="preserve"> T</w:t>
      </w:r>
      <w:r w:rsidR="0057344E" w:rsidRPr="0057344E">
        <w:t>racheostomy and/or Ventilation &gt;=96hours, Intermediate Complexity</w:t>
      </w:r>
      <w:r w:rsidR="0057344E">
        <w:t xml:space="preserve"> (</w:t>
      </w:r>
      <w:r w:rsidR="00281672">
        <w:t>see</w:t>
      </w:r>
      <w:r w:rsidR="0057344E">
        <w:t xml:space="preserve"> </w:t>
      </w:r>
      <w:r w:rsidR="009E6DCF">
        <w:t>Figure</w:t>
      </w:r>
      <w:r w:rsidR="00FD56F8">
        <w:t xml:space="preserve"> 7</w:t>
      </w:r>
      <w:r w:rsidR="0057344E">
        <w:t>).</w:t>
      </w:r>
      <w:r w:rsidR="001D6402">
        <w:t xml:space="preserve"> </w:t>
      </w:r>
      <w:r w:rsidR="00580247">
        <w:t>The</w:t>
      </w:r>
      <w:r w:rsidR="001D6402">
        <w:t xml:space="preserve"> reason for th</w:t>
      </w:r>
      <w:r w:rsidR="00580247">
        <w:t>e</w:t>
      </w:r>
      <w:r w:rsidR="001D6402">
        <w:t>s</w:t>
      </w:r>
      <w:r w:rsidR="00580247">
        <w:t>e</w:t>
      </w:r>
      <w:r w:rsidR="001D6402">
        <w:t xml:space="preserve"> entering the top 20 is sample size changes, costing approach changes and increase in weighted separations between rounds. </w:t>
      </w:r>
    </w:p>
    <w:p w14:paraId="6BA1DF96" w14:textId="6C62A6DE" w:rsidR="001B1824" w:rsidRDefault="001B1824" w:rsidP="001B1824">
      <w:pPr>
        <w:pStyle w:val="Tableoffigures3"/>
      </w:pPr>
      <w:bookmarkStart w:id="209" w:name="_Toc497750039"/>
      <w:proofErr w:type="gramStart"/>
      <w:r>
        <w:lastRenderedPageBreak/>
        <w:t>Figure 7</w:t>
      </w:r>
      <w:r w:rsidR="008C0756">
        <w:t>.</w:t>
      </w:r>
      <w:proofErr w:type="gramEnd"/>
      <w:r>
        <w:t xml:space="preserve"> Top 20 DRGs for operating room/specialised procedure suite cost bucket</w:t>
      </w:r>
      <w:bookmarkEnd w:id="209"/>
    </w:p>
    <w:p w14:paraId="3C0B76E0" w14:textId="77777777" w:rsidR="001B1824" w:rsidRPr="00B95C7E" w:rsidRDefault="001B1824" w:rsidP="001B1824">
      <w:pPr>
        <w:rPr>
          <w:snapToGrid w:val="0"/>
        </w:rPr>
      </w:pPr>
      <w:r>
        <w:rPr>
          <w:noProof/>
        </w:rPr>
        <w:drawing>
          <wp:inline distT="0" distB="0" distL="0" distR="0" wp14:anchorId="1EDC531B" wp14:editId="425E9E8E">
            <wp:extent cx="5998210" cy="3314700"/>
            <wp:effectExtent l="0" t="0" r="21590" b="19050"/>
            <wp:docPr id="7" name="Chart 7" descr="This figure shows the 20 diagnosis related groups that have the highest operating room and specialist procedure suite cost weight in Round 20 with associated Round 18 valu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B95C7E">
        <w:rPr>
          <w:b/>
          <w:snapToGrid w:val="0"/>
        </w:rPr>
        <w:t>Note:</w:t>
      </w:r>
      <w:r w:rsidRPr="00B95C7E">
        <w:rPr>
          <w:snapToGrid w:val="0"/>
        </w:rPr>
        <w:t xml:space="preserve"> when a Round 18 bar is missing from the chart, this is because that DRG was masked in Round 18 due to having less than 5 separations or having less than 3 hospitals with that DRG.</w:t>
      </w:r>
      <w:r w:rsidRPr="00426D7B">
        <w:rPr>
          <w:noProof/>
          <w:lang w:val="en-US" w:eastAsia="en-US"/>
        </w:rPr>
        <w:t xml:space="preserve"> </w:t>
      </w:r>
    </w:p>
    <w:p w14:paraId="75C9BA06" w14:textId="2494A73A" w:rsidR="00965341" w:rsidRDefault="00965341" w:rsidP="0057344E"/>
    <w:p w14:paraId="7E0F55AF" w14:textId="175625C6" w:rsidR="00164B39" w:rsidRDefault="00164B39" w:rsidP="0057344E">
      <w:pPr>
        <w:sectPr w:rsidR="00164B39" w:rsidSect="006B3A78">
          <w:pgSz w:w="11907" w:h="16840" w:code="9"/>
          <w:pgMar w:top="2041" w:right="1440" w:bottom="1021" w:left="1021" w:header="680" w:footer="510" w:gutter="0"/>
          <w:cols w:space="708"/>
          <w:docGrid w:linePitch="360"/>
        </w:sectPr>
      </w:pPr>
    </w:p>
    <w:p w14:paraId="0B774AED" w14:textId="4AD1E6D5" w:rsidR="00415E27" w:rsidRDefault="006654BA" w:rsidP="006F21D0">
      <w:pPr>
        <w:pStyle w:val="TableHeadings3"/>
      </w:pPr>
      <w:bookmarkStart w:id="210" w:name="_Toc497488040"/>
      <w:bookmarkStart w:id="211" w:name="_Toc497750025"/>
      <w:proofErr w:type="gramStart"/>
      <w:r>
        <w:lastRenderedPageBreak/>
        <w:t>Table 11</w:t>
      </w:r>
      <w:r w:rsidR="008C0756">
        <w:t>.</w:t>
      </w:r>
      <w:proofErr w:type="gramEnd"/>
      <w:r w:rsidR="00AE24CA">
        <w:t xml:space="preserve"> Top 20 D</w:t>
      </w:r>
      <w:r w:rsidR="005D7320">
        <w:t>RGs for operating room/specialised procedure suite cost bucket</w:t>
      </w:r>
      <w:bookmarkEnd w:id="210"/>
      <w:bookmarkEnd w:id="211"/>
    </w:p>
    <w:tbl>
      <w:tblPr>
        <w:tblW w:w="15130" w:type="dxa"/>
        <w:tblInd w:w="108" w:type="dxa"/>
        <w:tblLook w:val="04A0" w:firstRow="1" w:lastRow="0" w:firstColumn="1" w:lastColumn="0" w:noHBand="0" w:noVBand="1"/>
      </w:tblPr>
      <w:tblGrid>
        <w:gridCol w:w="689"/>
        <w:gridCol w:w="689"/>
        <w:gridCol w:w="574"/>
        <w:gridCol w:w="5304"/>
        <w:gridCol w:w="761"/>
        <w:gridCol w:w="968"/>
        <w:gridCol w:w="797"/>
        <w:gridCol w:w="725"/>
        <w:gridCol w:w="645"/>
        <w:gridCol w:w="797"/>
        <w:gridCol w:w="814"/>
        <w:gridCol w:w="845"/>
        <w:gridCol w:w="761"/>
        <w:gridCol w:w="761"/>
      </w:tblGrid>
      <w:tr w:rsidR="00415E27" w:rsidRPr="00415E27" w14:paraId="352B2CDC" w14:textId="77777777" w:rsidTr="008C0756">
        <w:trPr>
          <w:trHeight w:val="155"/>
        </w:trPr>
        <w:tc>
          <w:tcPr>
            <w:tcW w:w="689" w:type="dxa"/>
            <w:vMerge w:val="restart"/>
            <w:tcBorders>
              <w:top w:val="single" w:sz="4" w:space="0" w:color="auto"/>
              <w:left w:val="nil"/>
              <w:bottom w:val="single" w:sz="4" w:space="0" w:color="000000"/>
              <w:right w:val="nil"/>
            </w:tcBorders>
            <w:shd w:val="clear" w:color="000000" w:fill="FFFFFF"/>
            <w:hideMark/>
          </w:tcPr>
          <w:p w14:paraId="215D8FD0" w14:textId="77777777" w:rsidR="00415E27" w:rsidRPr="00415E27" w:rsidRDefault="00415E27" w:rsidP="00CD460D">
            <w:pPr>
              <w:spacing w:after="0"/>
              <w:jc w:val="center"/>
              <w:rPr>
                <w:b/>
                <w:bCs/>
                <w:color w:val="000000"/>
                <w:sz w:val="14"/>
                <w:szCs w:val="14"/>
                <w:lang w:val="en-US" w:eastAsia="en-US"/>
              </w:rPr>
            </w:pPr>
            <w:r w:rsidRPr="00415E27">
              <w:rPr>
                <w:b/>
                <w:bCs/>
                <w:color w:val="000000"/>
                <w:sz w:val="14"/>
                <w:szCs w:val="14"/>
                <w:lang w:val="en-US" w:eastAsia="en-US"/>
              </w:rPr>
              <w:t>Top 20 Round 18</w:t>
            </w:r>
          </w:p>
        </w:tc>
        <w:tc>
          <w:tcPr>
            <w:tcW w:w="689" w:type="dxa"/>
            <w:vMerge w:val="restart"/>
            <w:tcBorders>
              <w:top w:val="single" w:sz="4" w:space="0" w:color="auto"/>
              <w:left w:val="nil"/>
              <w:bottom w:val="single" w:sz="4" w:space="0" w:color="000000"/>
              <w:right w:val="nil"/>
            </w:tcBorders>
            <w:shd w:val="clear" w:color="000000" w:fill="FFFFFF"/>
            <w:hideMark/>
          </w:tcPr>
          <w:p w14:paraId="1D62F243" w14:textId="77777777" w:rsidR="00415E27" w:rsidRPr="00415E27" w:rsidRDefault="00415E27" w:rsidP="00CD460D">
            <w:pPr>
              <w:spacing w:after="0"/>
              <w:jc w:val="center"/>
              <w:rPr>
                <w:b/>
                <w:bCs/>
                <w:color w:val="000000"/>
                <w:sz w:val="14"/>
                <w:szCs w:val="14"/>
                <w:lang w:val="en-US" w:eastAsia="en-US"/>
              </w:rPr>
            </w:pPr>
            <w:r w:rsidRPr="00415E27">
              <w:rPr>
                <w:b/>
                <w:bCs/>
                <w:color w:val="000000"/>
                <w:sz w:val="14"/>
                <w:szCs w:val="14"/>
                <w:lang w:val="en-US" w:eastAsia="en-US"/>
              </w:rPr>
              <w:t>Rank Round 20</w:t>
            </w:r>
          </w:p>
        </w:tc>
        <w:tc>
          <w:tcPr>
            <w:tcW w:w="574" w:type="dxa"/>
            <w:vMerge w:val="restart"/>
            <w:tcBorders>
              <w:top w:val="single" w:sz="4" w:space="0" w:color="auto"/>
              <w:left w:val="nil"/>
              <w:bottom w:val="single" w:sz="4" w:space="0" w:color="000000"/>
              <w:right w:val="nil"/>
            </w:tcBorders>
            <w:shd w:val="clear" w:color="000000" w:fill="FFFFFF"/>
            <w:hideMark/>
          </w:tcPr>
          <w:p w14:paraId="77F4A3B1" w14:textId="6F80AC10" w:rsidR="00415E27" w:rsidRPr="00415E27" w:rsidRDefault="00415E27" w:rsidP="00CD460D">
            <w:pPr>
              <w:spacing w:after="0"/>
              <w:jc w:val="center"/>
              <w:rPr>
                <w:b/>
                <w:bCs/>
                <w:color w:val="000000"/>
                <w:sz w:val="14"/>
                <w:szCs w:val="14"/>
                <w:lang w:val="en-US" w:eastAsia="en-US"/>
              </w:rPr>
            </w:pPr>
            <w:r w:rsidRPr="00415E27">
              <w:rPr>
                <w:b/>
                <w:bCs/>
                <w:color w:val="000000"/>
                <w:sz w:val="14"/>
                <w:szCs w:val="14"/>
                <w:lang w:val="en-US" w:eastAsia="en-US"/>
              </w:rPr>
              <w:t>DRG</w:t>
            </w:r>
          </w:p>
        </w:tc>
        <w:tc>
          <w:tcPr>
            <w:tcW w:w="5304" w:type="dxa"/>
            <w:vMerge w:val="restart"/>
            <w:tcBorders>
              <w:top w:val="single" w:sz="4" w:space="0" w:color="auto"/>
              <w:left w:val="nil"/>
              <w:bottom w:val="single" w:sz="4" w:space="0" w:color="000000"/>
              <w:right w:val="nil"/>
            </w:tcBorders>
            <w:shd w:val="clear" w:color="000000" w:fill="FFFFFF"/>
            <w:noWrap/>
            <w:hideMark/>
          </w:tcPr>
          <w:p w14:paraId="7F38B5B5" w14:textId="3655E5C3" w:rsidR="00415E27" w:rsidRPr="00415E27" w:rsidRDefault="00415E27" w:rsidP="00CD460D">
            <w:pPr>
              <w:spacing w:after="0"/>
              <w:jc w:val="center"/>
              <w:rPr>
                <w:b/>
                <w:bCs/>
                <w:color w:val="000000"/>
                <w:sz w:val="14"/>
                <w:szCs w:val="14"/>
                <w:lang w:val="en-US" w:eastAsia="en-US"/>
              </w:rPr>
            </w:pPr>
            <w:r w:rsidRPr="00415E27">
              <w:rPr>
                <w:b/>
                <w:bCs/>
                <w:color w:val="000000"/>
                <w:sz w:val="14"/>
                <w:szCs w:val="14"/>
                <w:lang w:val="en-US" w:eastAsia="en-US"/>
              </w:rPr>
              <w:t>DRG Description</w:t>
            </w:r>
          </w:p>
        </w:tc>
        <w:tc>
          <w:tcPr>
            <w:tcW w:w="761" w:type="dxa"/>
            <w:vMerge w:val="restart"/>
            <w:tcBorders>
              <w:top w:val="single" w:sz="4" w:space="0" w:color="auto"/>
              <w:left w:val="nil"/>
              <w:bottom w:val="single" w:sz="4" w:space="0" w:color="000000"/>
              <w:right w:val="nil"/>
            </w:tcBorders>
            <w:shd w:val="clear" w:color="000000" w:fill="FFFFFF"/>
            <w:hideMark/>
          </w:tcPr>
          <w:p w14:paraId="3D9FDD0F" w14:textId="77777777" w:rsidR="00415E27" w:rsidRPr="00415E27" w:rsidRDefault="00415E27" w:rsidP="00CD460D">
            <w:pPr>
              <w:spacing w:after="0"/>
              <w:jc w:val="center"/>
              <w:rPr>
                <w:b/>
                <w:bCs/>
                <w:color w:val="000000"/>
                <w:sz w:val="14"/>
                <w:szCs w:val="14"/>
                <w:lang w:val="en-US" w:eastAsia="en-US"/>
              </w:rPr>
            </w:pPr>
            <w:r w:rsidRPr="00415E27">
              <w:rPr>
                <w:b/>
                <w:bCs/>
                <w:color w:val="000000"/>
                <w:sz w:val="14"/>
                <w:szCs w:val="14"/>
                <w:lang w:val="en-US" w:eastAsia="en-US"/>
              </w:rPr>
              <w:t>OR and SPS cost weight</w:t>
            </w:r>
            <w:r w:rsidRPr="00415E27">
              <w:rPr>
                <w:b/>
                <w:bCs/>
                <w:color w:val="000000"/>
                <w:sz w:val="14"/>
                <w:szCs w:val="14"/>
                <w:lang w:val="en-US" w:eastAsia="en-US"/>
              </w:rPr>
              <w:br/>
              <w:t>(a)</w:t>
            </w:r>
          </w:p>
        </w:tc>
        <w:tc>
          <w:tcPr>
            <w:tcW w:w="968" w:type="dxa"/>
            <w:vMerge w:val="restart"/>
            <w:tcBorders>
              <w:top w:val="single" w:sz="4" w:space="0" w:color="auto"/>
              <w:left w:val="nil"/>
              <w:bottom w:val="single" w:sz="4" w:space="0" w:color="000000"/>
              <w:right w:val="nil"/>
            </w:tcBorders>
            <w:shd w:val="clear" w:color="000000" w:fill="FFFFFF"/>
            <w:hideMark/>
          </w:tcPr>
          <w:p w14:paraId="38F06F7A" w14:textId="77777777" w:rsidR="00415E27" w:rsidRPr="00415E27" w:rsidRDefault="00415E27" w:rsidP="00CD460D">
            <w:pPr>
              <w:spacing w:after="0"/>
              <w:jc w:val="center"/>
              <w:rPr>
                <w:b/>
                <w:bCs/>
                <w:color w:val="000000"/>
                <w:sz w:val="14"/>
                <w:szCs w:val="14"/>
                <w:lang w:val="en-US" w:eastAsia="en-US"/>
              </w:rPr>
            </w:pPr>
            <w:r w:rsidRPr="00415E27">
              <w:rPr>
                <w:b/>
                <w:bCs/>
                <w:color w:val="000000"/>
                <w:sz w:val="14"/>
                <w:szCs w:val="14"/>
                <w:lang w:val="en-US" w:eastAsia="en-US"/>
              </w:rPr>
              <w:t xml:space="preserve">No. of weighted </w:t>
            </w:r>
            <w:proofErr w:type="spellStart"/>
            <w:r w:rsidRPr="00415E27">
              <w:rPr>
                <w:b/>
                <w:bCs/>
                <w:color w:val="000000"/>
                <w:sz w:val="14"/>
                <w:szCs w:val="14"/>
                <w:lang w:val="en-US" w:eastAsia="en-US"/>
              </w:rPr>
              <w:t>seps</w:t>
            </w:r>
            <w:proofErr w:type="spellEnd"/>
            <w:r w:rsidRPr="00415E27">
              <w:rPr>
                <w:b/>
                <w:bCs/>
                <w:color w:val="000000"/>
                <w:sz w:val="14"/>
                <w:szCs w:val="14"/>
                <w:lang w:val="en-US" w:eastAsia="en-US"/>
              </w:rPr>
              <w:br/>
              <w:t>(b)</w:t>
            </w:r>
          </w:p>
        </w:tc>
        <w:tc>
          <w:tcPr>
            <w:tcW w:w="797" w:type="dxa"/>
            <w:vMerge w:val="restart"/>
            <w:tcBorders>
              <w:top w:val="single" w:sz="4" w:space="0" w:color="auto"/>
              <w:left w:val="nil"/>
              <w:bottom w:val="single" w:sz="4" w:space="0" w:color="000000"/>
              <w:right w:val="nil"/>
            </w:tcBorders>
            <w:shd w:val="clear" w:color="000000" w:fill="FFFFFF"/>
            <w:hideMark/>
          </w:tcPr>
          <w:p w14:paraId="7AF16BCA" w14:textId="77777777" w:rsidR="00415E27" w:rsidRPr="00415E27" w:rsidRDefault="00415E27" w:rsidP="00CD460D">
            <w:pPr>
              <w:spacing w:after="0"/>
              <w:jc w:val="center"/>
              <w:rPr>
                <w:b/>
                <w:bCs/>
                <w:color w:val="000000"/>
                <w:sz w:val="14"/>
                <w:szCs w:val="14"/>
                <w:lang w:val="en-US" w:eastAsia="en-US"/>
              </w:rPr>
            </w:pPr>
            <w:r w:rsidRPr="00415E27">
              <w:rPr>
                <w:b/>
                <w:bCs/>
                <w:color w:val="000000"/>
                <w:sz w:val="14"/>
                <w:szCs w:val="14"/>
                <w:lang w:val="en-US" w:eastAsia="en-US"/>
              </w:rPr>
              <w:t>Overall cost weight</w:t>
            </w:r>
            <w:r w:rsidRPr="00415E27">
              <w:rPr>
                <w:b/>
                <w:bCs/>
                <w:color w:val="000000"/>
                <w:sz w:val="14"/>
                <w:szCs w:val="14"/>
                <w:lang w:val="en-US" w:eastAsia="en-US"/>
              </w:rPr>
              <w:br/>
              <w:t>(c)</w:t>
            </w:r>
          </w:p>
        </w:tc>
        <w:tc>
          <w:tcPr>
            <w:tcW w:w="725" w:type="dxa"/>
            <w:vMerge w:val="restart"/>
            <w:tcBorders>
              <w:top w:val="single" w:sz="4" w:space="0" w:color="auto"/>
              <w:left w:val="nil"/>
              <w:bottom w:val="single" w:sz="4" w:space="0" w:color="000000"/>
              <w:right w:val="single" w:sz="4" w:space="0" w:color="000000"/>
            </w:tcBorders>
            <w:shd w:val="clear" w:color="000000" w:fill="FFFFFF"/>
            <w:hideMark/>
          </w:tcPr>
          <w:p w14:paraId="1AC127BC" w14:textId="77777777" w:rsidR="00415E27" w:rsidRPr="00415E27" w:rsidRDefault="00415E27" w:rsidP="00CD460D">
            <w:pPr>
              <w:spacing w:after="0"/>
              <w:jc w:val="center"/>
              <w:rPr>
                <w:b/>
                <w:bCs/>
                <w:color w:val="000000"/>
                <w:sz w:val="14"/>
                <w:szCs w:val="14"/>
                <w:lang w:val="en-US" w:eastAsia="en-US"/>
              </w:rPr>
            </w:pPr>
            <w:proofErr w:type="spellStart"/>
            <w:r w:rsidRPr="00415E27">
              <w:rPr>
                <w:b/>
                <w:bCs/>
                <w:color w:val="000000"/>
                <w:sz w:val="14"/>
                <w:szCs w:val="14"/>
                <w:lang w:val="en-US" w:eastAsia="en-US"/>
              </w:rPr>
              <w:t>ALoS</w:t>
            </w:r>
            <w:proofErr w:type="spellEnd"/>
            <w:r w:rsidRPr="00415E27">
              <w:rPr>
                <w:b/>
                <w:bCs/>
                <w:color w:val="000000"/>
                <w:sz w:val="14"/>
                <w:szCs w:val="14"/>
                <w:lang w:val="en-US" w:eastAsia="en-US"/>
              </w:rPr>
              <w:t xml:space="preserve"> (days)</w:t>
            </w:r>
            <w:r w:rsidRPr="00415E27">
              <w:rPr>
                <w:b/>
                <w:bCs/>
                <w:color w:val="000000"/>
                <w:sz w:val="14"/>
                <w:szCs w:val="14"/>
                <w:lang w:val="en-US" w:eastAsia="en-US"/>
              </w:rPr>
              <w:br/>
              <w:t>(d)</w:t>
            </w:r>
          </w:p>
        </w:tc>
        <w:tc>
          <w:tcPr>
            <w:tcW w:w="3101" w:type="dxa"/>
            <w:gridSpan w:val="4"/>
            <w:tcBorders>
              <w:top w:val="single" w:sz="4" w:space="0" w:color="auto"/>
              <w:left w:val="single" w:sz="4" w:space="0" w:color="000000"/>
              <w:bottom w:val="single" w:sz="4" w:space="0" w:color="auto"/>
              <w:right w:val="nil"/>
            </w:tcBorders>
            <w:shd w:val="clear" w:color="000000" w:fill="FFFFFF"/>
            <w:noWrap/>
            <w:hideMark/>
          </w:tcPr>
          <w:p w14:paraId="7F1E1ACE" w14:textId="4FBF534C" w:rsidR="00415E27" w:rsidRPr="00415E27" w:rsidRDefault="00D61C39" w:rsidP="00CD460D">
            <w:pPr>
              <w:spacing w:after="0"/>
              <w:jc w:val="center"/>
              <w:rPr>
                <w:b/>
                <w:bCs/>
                <w:color w:val="000000"/>
                <w:sz w:val="14"/>
                <w:szCs w:val="14"/>
                <w:lang w:val="en-US" w:eastAsia="en-US"/>
              </w:rPr>
            </w:pPr>
            <w:r>
              <w:rPr>
                <w:b/>
                <w:bCs/>
                <w:color w:val="000000"/>
                <w:sz w:val="14"/>
                <w:szCs w:val="14"/>
                <w:lang w:val="en-US" w:eastAsia="en-US"/>
              </w:rPr>
              <w:t xml:space="preserve">% of </w:t>
            </w:r>
            <w:r w:rsidR="00415E27" w:rsidRPr="00415E27">
              <w:rPr>
                <w:b/>
                <w:bCs/>
                <w:color w:val="000000"/>
                <w:sz w:val="14"/>
                <w:szCs w:val="14"/>
                <w:lang w:val="en-US" w:eastAsia="en-US"/>
              </w:rPr>
              <w:t>DRG total cost</w:t>
            </w:r>
          </w:p>
        </w:tc>
        <w:tc>
          <w:tcPr>
            <w:tcW w:w="761" w:type="dxa"/>
            <w:vMerge w:val="restart"/>
            <w:tcBorders>
              <w:top w:val="single" w:sz="4" w:space="0" w:color="auto"/>
              <w:left w:val="single" w:sz="4" w:space="0" w:color="auto"/>
              <w:bottom w:val="single" w:sz="4" w:space="0" w:color="000000"/>
              <w:right w:val="nil"/>
            </w:tcBorders>
            <w:shd w:val="clear" w:color="000000" w:fill="FFFFFF"/>
            <w:hideMark/>
          </w:tcPr>
          <w:p w14:paraId="40F743ED" w14:textId="77777777" w:rsidR="00415E27" w:rsidRPr="00415E27" w:rsidRDefault="00415E27" w:rsidP="00CD460D">
            <w:pPr>
              <w:spacing w:after="0"/>
              <w:jc w:val="center"/>
              <w:rPr>
                <w:b/>
                <w:bCs/>
                <w:color w:val="000000"/>
                <w:sz w:val="14"/>
                <w:szCs w:val="14"/>
                <w:lang w:val="en-US" w:eastAsia="en-US"/>
              </w:rPr>
            </w:pPr>
            <w:r w:rsidRPr="00415E27">
              <w:rPr>
                <w:b/>
                <w:bCs/>
                <w:color w:val="000000"/>
                <w:sz w:val="14"/>
                <w:szCs w:val="14"/>
                <w:lang w:val="en-US" w:eastAsia="en-US"/>
              </w:rPr>
              <w:t>Round 18 OR and SPS cost weight</w:t>
            </w:r>
          </w:p>
        </w:tc>
        <w:tc>
          <w:tcPr>
            <w:tcW w:w="761" w:type="dxa"/>
            <w:vMerge w:val="restart"/>
            <w:tcBorders>
              <w:top w:val="single" w:sz="4" w:space="0" w:color="auto"/>
              <w:left w:val="nil"/>
              <w:bottom w:val="single" w:sz="4" w:space="0" w:color="000000"/>
              <w:right w:val="nil"/>
            </w:tcBorders>
            <w:shd w:val="clear" w:color="000000" w:fill="FFFFFF"/>
            <w:hideMark/>
          </w:tcPr>
          <w:p w14:paraId="68F5B4EF" w14:textId="77777777" w:rsidR="00415E27" w:rsidRPr="00415E27" w:rsidRDefault="00415E27" w:rsidP="00CD460D">
            <w:pPr>
              <w:spacing w:after="0"/>
              <w:jc w:val="center"/>
              <w:rPr>
                <w:b/>
                <w:bCs/>
                <w:color w:val="000000"/>
                <w:sz w:val="14"/>
                <w:szCs w:val="14"/>
                <w:lang w:val="en-US" w:eastAsia="en-US"/>
              </w:rPr>
            </w:pPr>
            <w:r w:rsidRPr="00415E27">
              <w:rPr>
                <w:b/>
                <w:bCs/>
                <w:color w:val="000000"/>
                <w:sz w:val="14"/>
                <w:szCs w:val="14"/>
                <w:lang w:val="en-US" w:eastAsia="en-US"/>
              </w:rPr>
              <w:t>Rank Round 18</w:t>
            </w:r>
          </w:p>
        </w:tc>
      </w:tr>
      <w:tr w:rsidR="00415E27" w:rsidRPr="00415E27" w14:paraId="0F7A84A0" w14:textId="77777777" w:rsidTr="008C0756">
        <w:trPr>
          <w:trHeight w:val="297"/>
        </w:trPr>
        <w:tc>
          <w:tcPr>
            <w:tcW w:w="689" w:type="dxa"/>
            <w:vMerge/>
            <w:tcBorders>
              <w:top w:val="single" w:sz="4" w:space="0" w:color="auto"/>
              <w:left w:val="nil"/>
              <w:bottom w:val="single" w:sz="4" w:space="0" w:color="000000"/>
              <w:right w:val="nil"/>
            </w:tcBorders>
            <w:vAlign w:val="center"/>
            <w:hideMark/>
          </w:tcPr>
          <w:p w14:paraId="5464CD4F" w14:textId="77777777" w:rsidR="00415E27" w:rsidRPr="00415E27" w:rsidRDefault="00415E27" w:rsidP="00415E27">
            <w:pPr>
              <w:rPr>
                <w:b/>
                <w:bCs/>
                <w:color w:val="000000"/>
                <w:sz w:val="14"/>
                <w:szCs w:val="14"/>
                <w:lang w:val="en-US" w:eastAsia="en-US"/>
              </w:rPr>
            </w:pPr>
          </w:p>
        </w:tc>
        <w:tc>
          <w:tcPr>
            <w:tcW w:w="689" w:type="dxa"/>
            <w:vMerge/>
            <w:tcBorders>
              <w:top w:val="single" w:sz="4" w:space="0" w:color="auto"/>
              <w:left w:val="nil"/>
              <w:bottom w:val="single" w:sz="4" w:space="0" w:color="000000"/>
              <w:right w:val="nil"/>
            </w:tcBorders>
            <w:vAlign w:val="center"/>
            <w:hideMark/>
          </w:tcPr>
          <w:p w14:paraId="3A25444A" w14:textId="77777777" w:rsidR="00415E27" w:rsidRPr="00415E27" w:rsidRDefault="00415E27" w:rsidP="00415E27">
            <w:pPr>
              <w:rPr>
                <w:b/>
                <w:bCs/>
                <w:color w:val="000000"/>
                <w:sz w:val="14"/>
                <w:szCs w:val="14"/>
                <w:lang w:val="en-US" w:eastAsia="en-US"/>
              </w:rPr>
            </w:pPr>
          </w:p>
        </w:tc>
        <w:tc>
          <w:tcPr>
            <w:tcW w:w="574" w:type="dxa"/>
            <w:vMerge/>
            <w:tcBorders>
              <w:top w:val="single" w:sz="4" w:space="0" w:color="auto"/>
              <w:left w:val="nil"/>
              <w:bottom w:val="single" w:sz="4" w:space="0" w:color="000000"/>
              <w:right w:val="nil"/>
            </w:tcBorders>
            <w:vAlign w:val="center"/>
            <w:hideMark/>
          </w:tcPr>
          <w:p w14:paraId="42B996A3" w14:textId="77777777" w:rsidR="00415E27" w:rsidRPr="00415E27" w:rsidRDefault="00415E27" w:rsidP="00415E27">
            <w:pPr>
              <w:rPr>
                <w:b/>
                <w:bCs/>
                <w:color w:val="000000"/>
                <w:sz w:val="14"/>
                <w:szCs w:val="14"/>
                <w:lang w:val="en-US" w:eastAsia="en-US"/>
              </w:rPr>
            </w:pPr>
          </w:p>
        </w:tc>
        <w:tc>
          <w:tcPr>
            <w:tcW w:w="5304" w:type="dxa"/>
            <w:vMerge/>
            <w:tcBorders>
              <w:top w:val="single" w:sz="4" w:space="0" w:color="auto"/>
              <w:left w:val="nil"/>
              <w:bottom w:val="single" w:sz="4" w:space="0" w:color="000000"/>
              <w:right w:val="nil"/>
            </w:tcBorders>
            <w:vAlign w:val="center"/>
            <w:hideMark/>
          </w:tcPr>
          <w:p w14:paraId="64D4B731" w14:textId="77777777" w:rsidR="00415E27" w:rsidRPr="00415E27" w:rsidRDefault="00415E27" w:rsidP="00415E27">
            <w:pPr>
              <w:rPr>
                <w:b/>
                <w:bCs/>
                <w:color w:val="000000"/>
                <w:sz w:val="14"/>
                <w:szCs w:val="14"/>
                <w:lang w:val="en-US" w:eastAsia="en-US"/>
              </w:rPr>
            </w:pPr>
          </w:p>
        </w:tc>
        <w:tc>
          <w:tcPr>
            <w:tcW w:w="761" w:type="dxa"/>
            <w:vMerge/>
            <w:tcBorders>
              <w:top w:val="single" w:sz="4" w:space="0" w:color="auto"/>
              <w:left w:val="nil"/>
              <w:bottom w:val="single" w:sz="4" w:space="0" w:color="000000"/>
              <w:right w:val="nil"/>
            </w:tcBorders>
            <w:vAlign w:val="center"/>
            <w:hideMark/>
          </w:tcPr>
          <w:p w14:paraId="4F84B3AF" w14:textId="77777777" w:rsidR="00415E27" w:rsidRPr="00415E27" w:rsidRDefault="00415E27" w:rsidP="00415E27">
            <w:pPr>
              <w:rPr>
                <w:b/>
                <w:bCs/>
                <w:color w:val="000000"/>
                <w:sz w:val="14"/>
                <w:szCs w:val="14"/>
                <w:lang w:val="en-US" w:eastAsia="en-US"/>
              </w:rPr>
            </w:pPr>
          </w:p>
        </w:tc>
        <w:tc>
          <w:tcPr>
            <w:tcW w:w="968" w:type="dxa"/>
            <w:vMerge/>
            <w:tcBorders>
              <w:top w:val="single" w:sz="4" w:space="0" w:color="auto"/>
              <w:left w:val="nil"/>
              <w:bottom w:val="single" w:sz="4" w:space="0" w:color="000000"/>
              <w:right w:val="nil"/>
            </w:tcBorders>
            <w:vAlign w:val="center"/>
            <w:hideMark/>
          </w:tcPr>
          <w:p w14:paraId="30EE1518" w14:textId="77777777" w:rsidR="00415E27" w:rsidRPr="00415E27" w:rsidRDefault="00415E27" w:rsidP="00415E27">
            <w:pPr>
              <w:rPr>
                <w:b/>
                <w:bCs/>
                <w:color w:val="000000"/>
                <w:sz w:val="14"/>
                <w:szCs w:val="14"/>
                <w:lang w:val="en-US" w:eastAsia="en-US"/>
              </w:rPr>
            </w:pPr>
          </w:p>
        </w:tc>
        <w:tc>
          <w:tcPr>
            <w:tcW w:w="797" w:type="dxa"/>
            <w:vMerge/>
            <w:tcBorders>
              <w:top w:val="single" w:sz="4" w:space="0" w:color="auto"/>
              <w:left w:val="nil"/>
              <w:bottom w:val="single" w:sz="4" w:space="0" w:color="000000"/>
              <w:right w:val="nil"/>
            </w:tcBorders>
            <w:vAlign w:val="center"/>
            <w:hideMark/>
          </w:tcPr>
          <w:p w14:paraId="38AC0F5D" w14:textId="77777777" w:rsidR="00415E27" w:rsidRPr="00415E27" w:rsidRDefault="00415E27" w:rsidP="00415E27">
            <w:pPr>
              <w:rPr>
                <w:b/>
                <w:bCs/>
                <w:color w:val="000000"/>
                <w:sz w:val="14"/>
                <w:szCs w:val="14"/>
                <w:lang w:val="en-US" w:eastAsia="en-US"/>
              </w:rPr>
            </w:pPr>
          </w:p>
        </w:tc>
        <w:tc>
          <w:tcPr>
            <w:tcW w:w="725" w:type="dxa"/>
            <w:vMerge/>
            <w:tcBorders>
              <w:top w:val="single" w:sz="4" w:space="0" w:color="auto"/>
              <w:left w:val="nil"/>
              <w:bottom w:val="single" w:sz="4" w:space="0" w:color="000000"/>
              <w:right w:val="single" w:sz="4" w:space="0" w:color="000000"/>
            </w:tcBorders>
            <w:vAlign w:val="center"/>
            <w:hideMark/>
          </w:tcPr>
          <w:p w14:paraId="3BD62DDD" w14:textId="77777777" w:rsidR="00415E27" w:rsidRPr="00415E27" w:rsidRDefault="00415E27" w:rsidP="00415E27">
            <w:pPr>
              <w:rPr>
                <w:b/>
                <w:bCs/>
                <w:color w:val="000000"/>
                <w:sz w:val="14"/>
                <w:szCs w:val="14"/>
                <w:lang w:val="en-US" w:eastAsia="en-US"/>
              </w:rPr>
            </w:pPr>
          </w:p>
        </w:tc>
        <w:tc>
          <w:tcPr>
            <w:tcW w:w="645" w:type="dxa"/>
            <w:vMerge w:val="restart"/>
            <w:tcBorders>
              <w:top w:val="nil"/>
              <w:left w:val="single" w:sz="4" w:space="0" w:color="000000"/>
              <w:bottom w:val="single" w:sz="4" w:space="0" w:color="000000"/>
              <w:right w:val="nil"/>
            </w:tcBorders>
            <w:shd w:val="clear" w:color="000000" w:fill="FFFFFF"/>
            <w:hideMark/>
          </w:tcPr>
          <w:p w14:paraId="22AA5147" w14:textId="77777777" w:rsidR="00415E27" w:rsidRPr="00415E27" w:rsidRDefault="00415E27" w:rsidP="00415E27">
            <w:pPr>
              <w:jc w:val="center"/>
              <w:rPr>
                <w:b/>
                <w:bCs/>
                <w:color w:val="000000"/>
                <w:sz w:val="14"/>
                <w:szCs w:val="14"/>
                <w:lang w:val="en-US" w:eastAsia="en-US"/>
              </w:rPr>
            </w:pPr>
            <w:r w:rsidRPr="00415E27">
              <w:rPr>
                <w:b/>
                <w:bCs/>
                <w:color w:val="000000"/>
                <w:sz w:val="14"/>
                <w:szCs w:val="14"/>
                <w:lang w:val="en-US" w:eastAsia="en-US"/>
              </w:rPr>
              <w:t>OR and SPS</w:t>
            </w:r>
          </w:p>
        </w:tc>
        <w:tc>
          <w:tcPr>
            <w:tcW w:w="797" w:type="dxa"/>
            <w:vMerge w:val="restart"/>
            <w:tcBorders>
              <w:top w:val="nil"/>
              <w:left w:val="nil"/>
              <w:bottom w:val="single" w:sz="4" w:space="0" w:color="000000"/>
              <w:right w:val="nil"/>
            </w:tcBorders>
            <w:shd w:val="clear" w:color="000000" w:fill="FFFFFF"/>
            <w:hideMark/>
          </w:tcPr>
          <w:p w14:paraId="7AFCCA09" w14:textId="77777777" w:rsidR="00415E27" w:rsidRPr="00415E27" w:rsidRDefault="00415E27" w:rsidP="00415E27">
            <w:pPr>
              <w:jc w:val="center"/>
              <w:rPr>
                <w:b/>
                <w:bCs/>
                <w:color w:val="000000"/>
                <w:sz w:val="14"/>
                <w:szCs w:val="14"/>
                <w:lang w:val="en-US" w:eastAsia="en-US"/>
              </w:rPr>
            </w:pPr>
            <w:r w:rsidRPr="00415E27">
              <w:rPr>
                <w:b/>
                <w:bCs/>
                <w:color w:val="000000"/>
                <w:sz w:val="14"/>
                <w:szCs w:val="14"/>
                <w:lang w:val="en-US" w:eastAsia="en-US"/>
              </w:rPr>
              <w:t>Critical care</w:t>
            </w:r>
          </w:p>
        </w:tc>
        <w:tc>
          <w:tcPr>
            <w:tcW w:w="814" w:type="dxa"/>
            <w:vMerge w:val="restart"/>
            <w:tcBorders>
              <w:top w:val="nil"/>
              <w:left w:val="nil"/>
              <w:bottom w:val="single" w:sz="4" w:space="0" w:color="000000"/>
              <w:right w:val="nil"/>
            </w:tcBorders>
            <w:shd w:val="clear" w:color="000000" w:fill="FFFFFF"/>
            <w:hideMark/>
          </w:tcPr>
          <w:p w14:paraId="4EDFB2C8" w14:textId="77777777" w:rsidR="00415E27" w:rsidRPr="00415E27" w:rsidRDefault="00415E27" w:rsidP="00415E27">
            <w:pPr>
              <w:jc w:val="center"/>
              <w:rPr>
                <w:b/>
                <w:bCs/>
                <w:color w:val="000000"/>
                <w:sz w:val="14"/>
                <w:szCs w:val="14"/>
                <w:lang w:val="en-US" w:eastAsia="en-US"/>
              </w:rPr>
            </w:pPr>
            <w:proofErr w:type="spellStart"/>
            <w:r w:rsidRPr="00415E27">
              <w:rPr>
                <w:b/>
                <w:bCs/>
                <w:color w:val="000000"/>
                <w:sz w:val="14"/>
                <w:szCs w:val="14"/>
                <w:lang w:val="en-US" w:eastAsia="en-US"/>
              </w:rPr>
              <w:t>Prosth-esis</w:t>
            </w:r>
            <w:proofErr w:type="spellEnd"/>
          </w:p>
        </w:tc>
        <w:tc>
          <w:tcPr>
            <w:tcW w:w="845" w:type="dxa"/>
            <w:vMerge w:val="restart"/>
            <w:tcBorders>
              <w:top w:val="nil"/>
              <w:left w:val="nil"/>
              <w:bottom w:val="single" w:sz="4" w:space="0" w:color="000000"/>
              <w:right w:val="nil"/>
            </w:tcBorders>
            <w:shd w:val="clear" w:color="000000" w:fill="FFFFFF"/>
            <w:hideMark/>
          </w:tcPr>
          <w:p w14:paraId="76DA71B4" w14:textId="77777777" w:rsidR="00415E27" w:rsidRPr="00415E27" w:rsidRDefault="00415E27" w:rsidP="00415E27">
            <w:pPr>
              <w:jc w:val="center"/>
              <w:rPr>
                <w:b/>
                <w:bCs/>
                <w:color w:val="000000"/>
                <w:sz w:val="14"/>
                <w:szCs w:val="14"/>
                <w:lang w:val="en-US" w:eastAsia="en-US"/>
              </w:rPr>
            </w:pPr>
            <w:proofErr w:type="spellStart"/>
            <w:r w:rsidRPr="00415E27">
              <w:rPr>
                <w:b/>
                <w:bCs/>
                <w:color w:val="000000"/>
                <w:sz w:val="14"/>
                <w:szCs w:val="14"/>
                <w:lang w:val="en-US" w:eastAsia="en-US"/>
              </w:rPr>
              <w:t>Miscell-aneous</w:t>
            </w:r>
            <w:proofErr w:type="spellEnd"/>
            <w:r w:rsidRPr="00415E27">
              <w:rPr>
                <w:b/>
                <w:bCs/>
                <w:color w:val="000000"/>
                <w:sz w:val="14"/>
                <w:szCs w:val="14"/>
                <w:lang w:val="en-US" w:eastAsia="en-US"/>
              </w:rPr>
              <w:t xml:space="preserve"> </w:t>
            </w:r>
          </w:p>
        </w:tc>
        <w:tc>
          <w:tcPr>
            <w:tcW w:w="761" w:type="dxa"/>
            <w:vMerge/>
            <w:tcBorders>
              <w:top w:val="single" w:sz="4" w:space="0" w:color="auto"/>
              <w:left w:val="single" w:sz="4" w:space="0" w:color="auto"/>
              <w:bottom w:val="single" w:sz="4" w:space="0" w:color="000000"/>
              <w:right w:val="nil"/>
            </w:tcBorders>
            <w:vAlign w:val="center"/>
            <w:hideMark/>
          </w:tcPr>
          <w:p w14:paraId="3548F86F" w14:textId="77777777" w:rsidR="00415E27" w:rsidRPr="00415E27" w:rsidRDefault="00415E27" w:rsidP="00415E27">
            <w:pPr>
              <w:rPr>
                <w:b/>
                <w:bCs/>
                <w:color w:val="000000"/>
                <w:sz w:val="14"/>
                <w:szCs w:val="14"/>
                <w:lang w:val="en-US" w:eastAsia="en-US"/>
              </w:rPr>
            </w:pPr>
          </w:p>
        </w:tc>
        <w:tc>
          <w:tcPr>
            <w:tcW w:w="761" w:type="dxa"/>
            <w:vMerge/>
            <w:tcBorders>
              <w:top w:val="single" w:sz="4" w:space="0" w:color="auto"/>
              <w:left w:val="nil"/>
              <w:bottom w:val="single" w:sz="4" w:space="0" w:color="000000"/>
              <w:right w:val="nil"/>
            </w:tcBorders>
            <w:vAlign w:val="center"/>
            <w:hideMark/>
          </w:tcPr>
          <w:p w14:paraId="4B6F7F7C" w14:textId="77777777" w:rsidR="00415E27" w:rsidRPr="00415E27" w:rsidRDefault="00415E27" w:rsidP="00415E27">
            <w:pPr>
              <w:rPr>
                <w:b/>
                <w:bCs/>
                <w:color w:val="000000"/>
                <w:sz w:val="14"/>
                <w:szCs w:val="14"/>
                <w:lang w:val="en-US" w:eastAsia="en-US"/>
              </w:rPr>
            </w:pPr>
          </w:p>
        </w:tc>
      </w:tr>
      <w:tr w:rsidR="00415E27" w:rsidRPr="00415E27" w14:paraId="0B690BB6" w14:textId="77777777" w:rsidTr="008C0756">
        <w:trPr>
          <w:trHeight w:val="297"/>
        </w:trPr>
        <w:tc>
          <w:tcPr>
            <w:tcW w:w="689" w:type="dxa"/>
            <w:vMerge/>
            <w:tcBorders>
              <w:top w:val="single" w:sz="4" w:space="0" w:color="auto"/>
              <w:left w:val="nil"/>
              <w:bottom w:val="single" w:sz="4" w:space="0" w:color="000000"/>
              <w:right w:val="nil"/>
            </w:tcBorders>
            <w:vAlign w:val="center"/>
            <w:hideMark/>
          </w:tcPr>
          <w:p w14:paraId="6A3EBA06" w14:textId="77777777" w:rsidR="00415E27" w:rsidRPr="00415E27" w:rsidRDefault="00415E27" w:rsidP="00415E27">
            <w:pPr>
              <w:rPr>
                <w:b/>
                <w:bCs/>
                <w:color w:val="000000"/>
                <w:sz w:val="14"/>
                <w:szCs w:val="14"/>
                <w:lang w:val="en-US" w:eastAsia="en-US"/>
              </w:rPr>
            </w:pPr>
          </w:p>
        </w:tc>
        <w:tc>
          <w:tcPr>
            <w:tcW w:w="689" w:type="dxa"/>
            <w:vMerge/>
            <w:tcBorders>
              <w:top w:val="single" w:sz="4" w:space="0" w:color="auto"/>
              <w:left w:val="nil"/>
              <w:bottom w:val="single" w:sz="4" w:space="0" w:color="000000"/>
              <w:right w:val="nil"/>
            </w:tcBorders>
            <w:vAlign w:val="center"/>
            <w:hideMark/>
          </w:tcPr>
          <w:p w14:paraId="03737876" w14:textId="77777777" w:rsidR="00415E27" w:rsidRPr="00415E27" w:rsidRDefault="00415E27" w:rsidP="00415E27">
            <w:pPr>
              <w:rPr>
                <w:b/>
                <w:bCs/>
                <w:color w:val="000000"/>
                <w:sz w:val="14"/>
                <w:szCs w:val="14"/>
                <w:lang w:val="en-US" w:eastAsia="en-US"/>
              </w:rPr>
            </w:pPr>
          </w:p>
        </w:tc>
        <w:tc>
          <w:tcPr>
            <w:tcW w:w="574" w:type="dxa"/>
            <w:vMerge/>
            <w:tcBorders>
              <w:top w:val="single" w:sz="4" w:space="0" w:color="auto"/>
              <w:left w:val="nil"/>
              <w:bottom w:val="single" w:sz="4" w:space="0" w:color="000000"/>
              <w:right w:val="nil"/>
            </w:tcBorders>
            <w:vAlign w:val="center"/>
            <w:hideMark/>
          </w:tcPr>
          <w:p w14:paraId="7FE0F924" w14:textId="77777777" w:rsidR="00415E27" w:rsidRPr="00415E27" w:rsidRDefault="00415E27" w:rsidP="00415E27">
            <w:pPr>
              <w:rPr>
                <w:b/>
                <w:bCs/>
                <w:color w:val="000000"/>
                <w:sz w:val="14"/>
                <w:szCs w:val="14"/>
                <w:lang w:val="en-US" w:eastAsia="en-US"/>
              </w:rPr>
            </w:pPr>
          </w:p>
        </w:tc>
        <w:tc>
          <w:tcPr>
            <w:tcW w:w="5304" w:type="dxa"/>
            <w:vMerge/>
            <w:tcBorders>
              <w:top w:val="single" w:sz="4" w:space="0" w:color="auto"/>
              <w:left w:val="nil"/>
              <w:bottom w:val="single" w:sz="4" w:space="0" w:color="000000"/>
              <w:right w:val="nil"/>
            </w:tcBorders>
            <w:vAlign w:val="center"/>
            <w:hideMark/>
          </w:tcPr>
          <w:p w14:paraId="74C2D5B5" w14:textId="77777777" w:rsidR="00415E27" w:rsidRPr="00415E27" w:rsidRDefault="00415E27" w:rsidP="00415E27">
            <w:pPr>
              <w:rPr>
                <w:b/>
                <w:bCs/>
                <w:color w:val="000000"/>
                <w:sz w:val="14"/>
                <w:szCs w:val="14"/>
                <w:lang w:val="en-US" w:eastAsia="en-US"/>
              </w:rPr>
            </w:pPr>
          </w:p>
        </w:tc>
        <w:tc>
          <w:tcPr>
            <w:tcW w:w="761" w:type="dxa"/>
            <w:vMerge/>
            <w:tcBorders>
              <w:top w:val="single" w:sz="4" w:space="0" w:color="auto"/>
              <w:left w:val="nil"/>
              <w:bottom w:val="single" w:sz="4" w:space="0" w:color="000000"/>
              <w:right w:val="nil"/>
            </w:tcBorders>
            <w:vAlign w:val="center"/>
            <w:hideMark/>
          </w:tcPr>
          <w:p w14:paraId="718D75DD" w14:textId="77777777" w:rsidR="00415E27" w:rsidRPr="00415E27" w:rsidRDefault="00415E27" w:rsidP="00415E27">
            <w:pPr>
              <w:rPr>
                <w:b/>
                <w:bCs/>
                <w:color w:val="000000"/>
                <w:sz w:val="14"/>
                <w:szCs w:val="14"/>
                <w:lang w:val="en-US" w:eastAsia="en-US"/>
              </w:rPr>
            </w:pPr>
          </w:p>
        </w:tc>
        <w:tc>
          <w:tcPr>
            <w:tcW w:w="968" w:type="dxa"/>
            <w:vMerge/>
            <w:tcBorders>
              <w:top w:val="single" w:sz="4" w:space="0" w:color="auto"/>
              <w:left w:val="nil"/>
              <w:bottom w:val="single" w:sz="4" w:space="0" w:color="000000"/>
              <w:right w:val="nil"/>
            </w:tcBorders>
            <w:vAlign w:val="center"/>
            <w:hideMark/>
          </w:tcPr>
          <w:p w14:paraId="5AEF9BE4" w14:textId="77777777" w:rsidR="00415E27" w:rsidRPr="00415E27" w:rsidRDefault="00415E27" w:rsidP="00415E27">
            <w:pPr>
              <w:rPr>
                <w:b/>
                <w:bCs/>
                <w:color w:val="000000"/>
                <w:sz w:val="14"/>
                <w:szCs w:val="14"/>
                <w:lang w:val="en-US" w:eastAsia="en-US"/>
              </w:rPr>
            </w:pPr>
          </w:p>
        </w:tc>
        <w:tc>
          <w:tcPr>
            <w:tcW w:w="797" w:type="dxa"/>
            <w:vMerge/>
            <w:tcBorders>
              <w:top w:val="single" w:sz="4" w:space="0" w:color="auto"/>
              <w:left w:val="nil"/>
              <w:bottom w:val="single" w:sz="4" w:space="0" w:color="000000"/>
              <w:right w:val="nil"/>
            </w:tcBorders>
            <w:vAlign w:val="center"/>
            <w:hideMark/>
          </w:tcPr>
          <w:p w14:paraId="353C565E" w14:textId="77777777" w:rsidR="00415E27" w:rsidRPr="00415E27" w:rsidRDefault="00415E27" w:rsidP="00415E27">
            <w:pPr>
              <w:rPr>
                <w:b/>
                <w:bCs/>
                <w:color w:val="000000"/>
                <w:sz w:val="14"/>
                <w:szCs w:val="14"/>
                <w:lang w:val="en-US" w:eastAsia="en-US"/>
              </w:rPr>
            </w:pPr>
          </w:p>
        </w:tc>
        <w:tc>
          <w:tcPr>
            <w:tcW w:w="725" w:type="dxa"/>
            <w:vMerge/>
            <w:tcBorders>
              <w:top w:val="single" w:sz="4" w:space="0" w:color="auto"/>
              <w:left w:val="nil"/>
              <w:bottom w:val="single" w:sz="4" w:space="0" w:color="000000"/>
              <w:right w:val="single" w:sz="4" w:space="0" w:color="000000"/>
            </w:tcBorders>
            <w:vAlign w:val="center"/>
            <w:hideMark/>
          </w:tcPr>
          <w:p w14:paraId="66CA1423" w14:textId="77777777" w:rsidR="00415E27" w:rsidRPr="00415E27" w:rsidRDefault="00415E27" w:rsidP="00415E27">
            <w:pPr>
              <w:rPr>
                <w:b/>
                <w:bCs/>
                <w:color w:val="000000"/>
                <w:sz w:val="14"/>
                <w:szCs w:val="14"/>
                <w:lang w:val="en-US" w:eastAsia="en-US"/>
              </w:rPr>
            </w:pPr>
          </w:p>
        </w:tc>
        <w:tc>
          <w:tcPr>
            <w:tcW w:w="645" w:type="dxa"/>
            <w:vMerge/>
            <w:tcBorders>
              <w:top w:val="nil"/>
              <w:left w:val="single" w:sz="4" w:space="0" w:color="000000"/>
              <w:bottom w:val="single" w:sz="4" w:space="0" w:color="000000"/>
              <w:right w:val="nil"/>
            </w:tcBorders>
            <w:vAlign w:val="center"/>
            <w:hideMark/>
          </w:tcPr>
          <w:p w14:paraId="71736132" w14:textId="77777777" w:rsidR="00415E27" w:rsidRPr="00415E27" w:rsidRDefault="00415E27" w:rsidP="00415E27">
            <w:pPr>
              <w:rPr>
                <w:b/>
                <w:bCs/>
                <w:color w:val="000000"/>
                <w:sz w:val="14"/>
                <w:szCs w:val="14"/>
                <w:lang w:val="en-US" w:eastAsia="en-US"/>
              </w:rPr>
            </w:pPr>
          </w:p>
        </w:tc>
        <w:tc>
          <w:tcPr>
            <w:tcW w:w="797" w:type="dxa"/>
            <w:vMerge/>
            <w:tcBorders>
              <w:top w:val="nil"/>
              <w:left w:val="nil"/>
              <w:bottom w:val="single" w:sz="4" w:space="0" w:color="000000"/>
              <w:right w:val="nil"/>
            </w:tcBorders>
            <w:vAlign w:val="center"/>
            <w:hideMark/>
          </w:tcPr>
          <w:p w14:paraId="7264BD3D" w14:textId="77777777" w:rsidR="00415E27" w:rsidRPr="00415E27" w:rsidRDefault="00415E27" w:rsidP="00415E27">
            <w:pPr>
              <w:rPr>
                <w:b/>
                <w:bCs/>
                <w:color w:val="000000"/>
                <w:sz w:val="14"/>
                <w:szCs w:val="14"/>
                <w:lang w:val="en-US" w:eastAsia="en-US"/>
              </w:rPr>
            </w:pPr>
          </w:p>
        </w:tc>
        <w:tc>
          <w:tcPr>
            <w:tcW w:w="814" w:type="dxa"/>
            <w:vMerge/>
            <w:tcBorders>
              <w:top w:val="nil"/>
              <w:left w:val="nil"/>
              <w:bottom w:val="single" w:sz="4" w:space="0" w:color="000000"/>
              <w:right w:val="nil"/>
            </w:tcBorders>
            <w:vAlign w:val="center"/>
            <w:hideMark/>
          </w:tcPr>
          <w:p w14:paraId="1DBCB397" w14:textId="77777777" w:rsidR="00415E27" w:rsidRPr="00415E27" w:rsidRDefault="00415E27" w:rsidP="00415E27">
            <w:pPr>
              <w:rPr>
                <w:b/>
                <w:bCs/>
                <w:color w:val="000000"/>
                <w:sz w:val="14"/>
                <w:szCs w:val="14"/>
                <w:lang w:val="en-US" w:eastAsia="en-US"/>
              </w:rPr>
            </w:pPr>
          </w:p>
        </w:tc>
        <w:tc>
          <w:tcPr>
            <w:tcW w:w="845" w:type="dxa"/>
            <w:vMerge/>
            <w:tcBorders>
              <w:top w:val="nil"/>
              <w:left w:val="nil"/>
              <w:bottom w:val="single" w:sz="4" w:space="0" w:color="000000"/>
              <w:right w:val="nil"/>
            </w:tcBorders>
            <w:vAlign w:val="center"/>
            <w:hideMark/>
          </w:tcPr>
          <w:p w14:paraId="6B426705" w14:textId="77777777" w:rsidR="00415E27" w:rsidRPr="00415E27" w:rsidRDefault="00415E27" w:rsidP="00415E27">
            <w:pPr>
              <w:rPr>
                <w:b/>
                <w:bCs/>
                <w:color w:val="000000"/>
                <w:sz w:val="14"/>
                <w:szCs w:val="14"/>
                <w:lang w:val="en-US" w:eastAsia="en-US"/>
              </w:rPr>
            </w:pPr>
          </w:p>
        </w:tc>
        <w:tc>
          <w:tcPr>
            <w:tcW w:w="761" w:type="dxa"/>
            <w:vMerge/>
            <w:tcBorders>
              <w:top w:val="single" w:sz="4" w:space="0" w:color="auto"/>
              <w:left w:val="single" w:sz="4" w:space="0" w:color="auto"/>
              <w:bottom w:val="single" w:sz="4" w:space="0" w:color="000000"/>
              <w:right w:val="nil"/>
            </w:tcBorders>
            <w:vAlign w:val="center"/>
            <w:hideMark/>
          </w:tcPr>
          <w:p w14:paraId="6D770960" w14:textId="77777777" w:rsidR="00415E27" w:rsidRPr="00415E27" w:rsidRDefault="00415E27" w:rsidP="00415E27">
            <w:pPr>
              <w:rPr>
                <w:b/>
                <w:bCs/>
                <w:color w:val="000000"/>
                <w:sz w:val="14"/>
                <w:szCs w:val="14"/>
                <w:lang w:val="en-US" w:eastAsia="en-US"/>
              </w:rPr>
            </w:pPr>
          </w:p>
        </w:tc>
        <w:tc>
          <w:tcPr>
            <w:tcW w:w="761" w:type="dxa"/>
            <w:vMerge/>
            <w:tcBorders>
              <w:top w:val="single" w:sz="4" w:space="0" w:color="auto"/>
              <w:left w:val="nil"/>
              <w:bottom w:val="single" w:sz="4" w:space="0" w:color="000000"/>
              <w:right w:val="nil"/>
            </w:tcBorders>
            <w:vAlign w:val="center"/>
            <w:hideMark/>
          </w:tcPr>
          <w:p w14:paraId="0AAF8AB6" w14:textId="77777777" w:rsidR="00415E27" w:rsidRPr="00415E27" w:rsidRDefault="00415E27" w:rsidP="00415E27">
            <w:pPr>
              <w:rPr>
                <w:b/>
                <w:bCs/>
                <w:color w:val="000000"/>
                <w:sz w:val="14"/>
                <w:szCs w:val="14"/>
                <w:lang w:val="en-US" w:eastAsia="en-US"/>
              </w:rPr>
            </w:pPr>
          </w:p>
        </w:tc>
      </w:tr>
      <w:tr w:rsidR="00415E27" w:rsidRPr="00415E27" w14:paraId="6CD078D1" w14:textId="77777777" w:rsidTr="008C0756">
        <w:trPr>
          <w:trHeight w:val="284"/>
        </w:trPr>
        <w:tc>
          <w:tcPr>
            <w:tcW w:w="689" w:type="dxa"/>
            <w:vMerge/>
            <w:tcBorders>
              <w:top w:val="single" w:sz="4" w:space="0" w:color="auto"/>
              <w:left w:val="nil"/>
              <w:bottom w:val="single" w:sz="4" w:space="0" w:color="000000"/>
              <w:right w:val="nil"/>
            </w:tcBorders>
            <w:vAlign w:val="center"/>
            <w:hideMark/>
          </w:tcPr>
          <w:p w14:paraId="57F3034E" w14:textId="77777777" w:rsidR="00415E27" w:rsidRPr="00415E27" w:rsidRDefault="00415E27" w:rsidP="00415E27">
            <w:pPr>
              <w:rPr>
                <w:b/>
                <w:bCs/>
                <w:color w:val="000000"/>
                <w:sz w:val="14"/>
                <w:szCs w:val="14"/>
                <w:lang w:val="en-US" w:eastAsia="en-US"/>
              </w:rPr>
            </w:pPr>
          </w:p>
        </w:tc>
        <w:tc>
          <w:tcPr>
            <w:tcW w:w="689" w:type="dxa"/>
            <w:vMerge/>
            <w:tcBorders>
              <w:top w:val="single" w:sz="4" w:space="0" w:color="auto"/>
              <w:left w:val="nil"/>
              <w:bottom w:val="single" w:sz="4" w:space="0" w:color="000000"/>
              <w:right w:val="nil"/>
            </w:tcBorders>
            <w:vAlign w:val="center"/>
            <w:hideMark/>
          </w:tcPr>
          <w:p w14:paraId="20D2BE66" w14:textId="77777777" w:rsidR="00415E27" w:rsidRPr="00415E27" w:rsidRDefault="00415E27" w:rsidP="00415E27">
            <w:pPr>
              <w:rPr>
                <w:b/>
                <w:bCs/>
                <w:color w:val="000000"/>
                <w:sz w:val="14"/>
                <w:szCs w:val="14"/>
                <w:lang w:val="en-US" w:eastAsia="en-US"/>
              </w:rPr>
            </w:pPr>
          </w:p>
        </w:tc>
        <w:tc>
          <w:tcPr>
            <w:tcW w:w="574" w:type="dxa"/>
            <w:vMerge/>
            <w:tcBorders>
              <w:top w:val="single" w:sz="4" w:space="0" w:color="auto"/>
              <w:left w:val="nil"/>
              <w:bottom w:val="single" w:sz="4" w:space="0" w:color="000000"/>
              <w:right w:val="nil"/>
            </w:tcBorders>
            <w:vAlign w:val="center"/>
            <w:hideMark/>
          </w:tcPr>
          <w:p w14:paraId="4FDF1A95" w14:textId="77777777" w:rsidR="00415E27" w:rsidRPr="00415E27" w:rsidRDefault="00415E27" w:rsidP="00415E27">
            <w:pPr>
              <w:rPr>
                <w:b/>
                <w:bCs/>
                <w:color w:val="000000"/>
                <w:sz w:val="14"/>
                <w:szCs w:val="14"/>
                <w:lang w:val="en-US" w:eastAsia="en-US"/>
              </w:rPr>
            </w:pPr>
          </w:p>
        </w:tc>
        <w:tc>
          <w:tcPr>
            <w:tcW w:w="5304" w:type="dxa"/>
            <w:vMerge/>
            <w:tcBorders>
              <w:top w:val="single" w:sz="4" w:space="0" w:color="auto"/>
              <w:left w:val="nil"/>
              <w:bottom w:val="single" w:sz="4" w:space="0" w:color="000000"/>
              <w:right w:val="nil"/>
            </w:tcBorders>
            <w:vAlign w:val="center"/>
            <w:hideMark/>
          </w:tcPr>
          <w:p w14:paraId="3D0BA391" w14:textId="77777777" w:rsidR="00415E27" w:rsidRPr="00415E27" w:rsidRDefault="00415E27" w:rsidP="00415E27">
            <w:pPr>
              <w:rPr>
                <w:b/>
                <w:bCs/>
                <w:color w:val="000000"/>
                <w:sz w:val="14"/>
                <w:szCs w:val="14"/>
                <w:lang w:val="en-US" w:eastAsia="en-US"/>
              </w:rPr>
            </w:pPr>
          </w:p>
        </w:tc>
        <w:tc>
          <w:tcPr>
            <w:tcW w:w="761" w:type="dxa"/>
            <w:vMerge/>
            <w:tcBorders>
              <w:top w:val="single" w:sz="4" w:space="0" w:color="auto"/>
              <w:left w:val="nil"/>
              <w:bottom w:val="single" w:sz="4" w:space="0" w:color="000000"/>
              <w:right w:val="nil"/>
            </w:tcBorders>
            <w:vAlign w:val="center"/>
            <w:hideMark/>
          </w:tcPr>
          <w:p w14:paraId="028EB890" w14:textId="77777777" w:rsidR="00415E27" w:rsidRPr="00415E27" w:rsidRDefault="00415E27" w:rsidP="00415E27">
            <w:pPr>
              <w:rPr>
                <w:b/>
                <w:bCs/>
                <w:color w:val="000000"/>
                <w:sz w:val="14"/>
                <w:szCs w:val="14"/>
                <w:lang w:val="en-US" w:eastAsia="en-US"/>
              </w:rPr>
            </w:pPr>
          </w:p>
        </w:tc>
        <w:tc>
          <w:tcPr>
            <w:tcW w:w="968" w:type="dxa"/>
            <w:vMerge/>
            <w:tcBorders>
              <w:top w:val="single" w:sz="4" w:space="0" w:color="auto"/>
              <w:left w:val="nil"/>
              <w:bottom w:val="single" w:sz="4" w:space="0" w:color="000000"/>
              <w:right w:val="nil"/>
            </w:tcBorders>
            <w:vAlign w:val="center"/>
            <w:hideMark/>
          </w:tcPr>
          <w:p w14:paraId="384B1958" w14:textId="77777777" w:rsidR="00415E27" w:rsidRPr="00415E27" w:rsidRDefault="00415E27" w:rsidP="00415E27">
            <w:pPr>
              <w:rPr>
                <w:b/>
                <w:bCs/>
                <w:color w:val="000000"/>
                <w:sz w:val="14"/>
                <w:szCs w:val="14"/>
                <w:lang w:val="en-US" w:eastAsia="en-US"/>
              </w:rPr>
            </w:pPr>
          </w:p>
        </w:tc>
        <w:tc>
          <w:tcPr>
            <w:tcW w:w="797" w:type="dxa"/>
            <w:vMerge/>
            <w:tcBorders>
              <w:top w:val="single" w:sz="4" w:space="0" w:color="auto"/>
              <w:left w:val="nil"/>
              <w:bottom w:val="single" w:sz="4" w:space="0" w:color="000000"/>
              <w:right w:val="nil"/>
            </w:tcBorders>
            <w:vAlign w:val="center"/>
            <w:hideMark/>
          </w:tcPr>
          <w:p w14:paraId="3418252E" w14:textId="77777777" w:rsidR="00415E27" w:rsidRPr="00415E27" w:rsidRDefault="00415E27" w:rsidP="00415E27">
            <w:pPr>
              <w:rPr>
                <w:b/>
                <w:bCs/>
                <w:color w:val="000000"/>
                <w:sz w:val="14"/>
                <w:szCs w:val="14"/>
                <w:lang w:val="en-US" w:eastAsia="en-US"/>
              </w:rPr>
            </w:pPr>
          </w:p>
        </w:tc>
        <w:tc>
          <w:tcPr>
            <w:tcW w:w="725" w:type="dxa"/>
            <w:vMerge/>
            <w:tcBorders>
              <w:top w:val="single" w:sz="4" w:space="0" w:color="auto"/>
              <w:left w:val="nil"/>
              <w:bottom w:val="single" w:sz="4" w:space="0" w:color="000000"/>
              <w:right w:val="single" w:sz="4" w:space="0" w:color="000000"/>
            </w:tcBorders>
            <w:vAlign w:val="center"/>
            <w:hideMark/>
          </w:tcPr>
          <w:p w14:paraId="1D5728E2" w14:textId="77777777" w:rsidR="00415E27" w:rsidRPr="00415E27" w:rsidRDefault="00415E27" w:rsidP="00415E27">
            <w:pPr>
              <w:rPr>
                <w:b/>
                <w:bCs/>
                <w:color w:val="000000"/>
                <w:sz w:val="14"/>
                <w:szCs w:val="14"/>
                <w:lang w:val="en-US" w:eastAsia="en-US"/>
              </w:rPr>
            </w:pPr>
          </w:p>
        </w:tc>
        <w:tc>
          <w:tcPr>
            <w:tcW w:w="645" w:type="dxa"/>
            <w:vMerge/>
            <w:tcBorders>
              <w:top w:val="nil"/>
              <w:left w:val="single" w:sz="4" w:space="0" w:color="000000"/>
              <w:bottom w:val="single" w:sz="4" w:space="0" w:color="000000"/>
              <w:right w:val="nil"/>
            </w:tcBorders>
            <w:vAlign w:val="center"/>
            <w:hideMark/>
          </w:tcPr>
          <w:p w14:paraId="33C83168" w14:textId="77777777" w:rsidR="00415E27" w:rsidRPr="00415E27" w:rsidRDefault="00415E27" w:rsidP="00415E27">
            <w:pPr>
              <w:rPr>
                <w:b/>
                <w:bCs/>
                <w:color w:val="000000"/>
                <w:sz w:val="14"/>
                <w:szCs w:val="14"/>
                <w:lang w:val="en-US" w:eastAsia="en-US"/>
              </w:rPr>
            </w:pPr>
          </w:p>
        </w:tc>
        <w:tc>
          <w:tcPr>
            <w:tcW w:w="797" w:type="dxa"/>
            <w:vMerge/>
            <w:tcBorders>
              <w:top w:val="nil"/>
              <w:left w:val="nil"/>
              <w:bottom w:val="single" w:sz="4" w:space="0" w:color="000000"/>
              <w:right w:val="nil"/>
            </w:tcBorders>
            <w:vAlign w:val="center"/>
            <w:hideMark/>
          </w:tcPr>
          <w:p w14:paraId="221C2B50" w14:textId="77777777" w:rsidR="00415E27" w:rsidRPr="00415E27" w:rsidRDefault="00415E27" w:rsidP="00415E27">
            <w:pPr>
              <w:rPr>
                <w:b/>
                <w:bCs/>
                <w:color w:val="000000"/>
                <w:sz w:val="14"/>
                <w:szCs w:val="14"/>
                <w:lang w:val="en-US" w:eastAsia="en-US"/>
              </w:rPr>
            </w:pPr>
          </w:p>
        </w:tc>
        <w:tc>
          <w:tcPr>
            <w:tcW w:w="814" w:type="dxa"/>
            <w:vMerge/>
            <w:tcBorders>
              <w:top w:val="nil"/>
              <w:left w:val="nil"/>
              <w:bottom w:val="single" w:sz="4" w:space="0" w:color="000000"/>
              <w:right w:val="nil"/>
            </w:tcBorders>
            <w:vAlign w:val="center"/>
            <w:hideMark/>
          </w:tcPr>
          <w:p w14:paraId="2DB66F4F" w14:textId="77777777" w:rsidR="00415E27" w:rsidRPr="00415E27" w:rsidRDefault="00415E27" w:rsidP="00415E27">
            <w:pPr>
              <w:rPr>
                <w:b/>
                <w:bCs/>
                <w:color w:val="000000"/>
                <w:sz w:val="14"/>
                <w:szCs w:val="14"/>
                <w:lang w:val="en-US" w:eastAsia="en-US"/>
              </w:rPr>
            </w:pPr>
          </w:p>
        </w:tc>
        <w:tc>
          <w:tcPr>
            <w:tcW w:w="845" w:type="dxa"/>
            <w:vMerge/>
            <w:tcBorders>
              <w:top w:val="nil"/>
              <w:left w:val="nil"/>
              <w:bottom w:val="single" w:sz="4" w:space="0" w:color="000000"/>
              <w:right w:val="nil"/>
            </w:tcBorders>
            <w:vAlign w:val="center"/>
            <w:hideMark/>
          </w:tcPr>
          <w:p w14:paraId="4AD8FBF8" w14:textId="77777777" w:rsidR="00415E27" w:rsidRPr="00415E27" w:rsidRDefault="00415E27" w:rsidP="00415E27">
            <w:pPr>
              <w:rPr>
                <w:b/>
                <w:bCs/>
                <w:color w:val="000000"/>
                <w:sz w:val="14"/>
                <w:szCs w:val="14"/>
                <w:lang w:val="en-US" w:eastAsia="en-US"/>
              </w:rPr>
            </w:pPr>
          </w:p>
        </w:tc>
        <w:tc>
          <w:tcPr>
            <w:tcW w:w="761" w:type="dxa"/>
            <w:vMerge/>
            <w:tcBorders>
              <w:top w:val="single" w:sz="4" w:space="0" w:color="auto"/>
              <w:left w:val="single" w:sz="4" w:space="0" w:color="auto"/>
              <w:bottom w:val="single" w:sz="4" w:space="0" w:color="000000"/>
              <w:right w:val="nil"/>
            </w:tcBorders>
            <w:vAlign w:val="center"/>
            <w:hideMark/>
          </w:tcPr>
          <w:p w14:paraId="014743DF" w14:textId="77777777" w:rsidR="00415E27" w:rsidRPr="00415E27" w:rsidRDefault="00415E27" w:rsidP="00415E27">
            <w:pPr>
              <w:rPr>
                <w:b/>
                <w:bCs/>
                <w:color w:val="000000"/>
                <w:sz w:val="14"/>
                <w:szCs w:val="14"/>
                <w:lang w:val="en-US" w:eastAsia="en-US"/>
              </w:rPr>
            </w:pPr>
          </w:p>
        </w:tc>
        <w:tc>
          <w:tcPr>
            <w:tcW w:w="761" w:type="dxa"/>
            <w:vMerge/>
            <w:tcBorders>
              <w:top w:val="single" w:sz="4" w:space="0" w:color="auto"/>
              <w:left w:val="nil"/>
              <w:bottom w:val="single" w:sz="4" w:space="0" w:color="000000"/>
              <w:right w:val="nil"/>
            </w:tcBorders>
            <w:vAlign w:val="center"/>
            <w:hideMark/>
          </w:tcPr>
          <w:p w14:paraId="26036F45" w14:textId="77777777" w:rsidR="00415E27" w:rsidRPr="00415E27" w:rsidRDefault="00415E27" w:rsidP="00415E27">
            <w:pPr>
              <w:rPr>
                <w:b/>
                <w:bCs/>
                <w:color w:val="000000"/>
                <w:sz w:val="14"/>
                <w:szCs w:val="14"/>
                <w:lang w:val="en-US" w:eastAsia="en-US"/>
              </w:rPr>
            </w:pPr>
          </w:p>
        </w:tc>
      </w:tr>
      <w:tr w:rsidR="00415E27" w:rsidRPr="00415E27" w14:paraId="385886DE" w14:textId="77777777" w:rsidTr="008C0756">
        <w:trPr>
          <w:trHeight w:hRule="exact" w:val="284"/>
        </w:trPr>
        <w:tc>
          <w:tcPr>
            <w:tcW w:w="689" w:type="dxa"/>
            <w:tcBorders>
              <w:top w:val="nil"/>
              <w:left w:val="nil"/>
              <w:bottom w:val="nil"/>
              <w:right w:val="nil"/>
            </w:tcBorders>
            <w:shd w:val="clear" w:color="000000" w:fill="FFFFFF"/>
            <w:noWrap/>
            <w:hideMark/>
          </w:tcPr>
          <w:p w14:paraId="14B7CB99"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Yes</w:t>
            </w:r>
          </w:p>
        </w:tc>
        <w:tc>
          <w:tcPr>
            <w:tcW w:w="689" w:type="dxa"/>
            <w:tcBorders>
              <w:top w:val="nil"/>
              <w:left w:val="nil"/>
              <w:bottom w:val="nil"/>
              <w:right w:val="nil"/>
            </w:tcBorders>
            <w:shd w:val="clear" w:color="000000" w:fill="FFFFFF"/>
            <w:noWrap/>
            <w:hideMark/>
          </w:tcPr>
          <w:p w14:paraId="6A0A6A65"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1</w:t>
            </w:r>
          </w:p>
        </w:tc>
        <w:tc>
          <w:tcPr>
            <w:tcW w:w="574" w:type="dxa"/>
            <w:tcBorders>
              <w:top w:val="nil"/>
              <w:left w:val="nil"/>
              <w:bottom w:val="nil"/>
              <w:right w:val="nil"/>
            </w:tcBorders>
            <w:shd w:val="clear" w:color="000000" w:fill="FFFFFF"/>
            <w:noWrap/>
            <w:hideMark/>
          </w:tcPr>
          <w:p w14:paraId="2CA09F47" w14:textId="47411759" w:rsidR="00415E27" w:rsidRPr="00415E27" w:rsidRDefault="00415E27" w:rsidP="00415E27">
            <w:pPr>
              <w:rPr>
                <w:color w:val="000000"/>
                <w:sz w:val="14"/>
                <w:szCs w:val="14"/>
                <w:lang w:val="en-US" w:eastAsia="en-US"/>
              </w:rPr>
            </w:pPr>
            <w:r w:rsidRPr="00415E27">
              <w:rPr>
                <w:color w:val="000000"/>
                <w:sz w:val="14"/>
                <w:szCs w:val="14"/>
                <w:lang w:val="en-US" w:eastAsia="en-US"/>
              </w:rPr>
              <w:t>J01A</w:t>
            </w:r>
          </w:p>
        </w:tc>
        <w:tc>
          <w:tcPr>
            <w:tcW w:w="5304" w:type="dxa"/>
            <w:tcBorders>
              <w:top w:val="nil"/>
              <w:left w:val="nil"/>
              <w:bottom w:val="nil"/>
              <w:right w:val="nil"/>
            </w:tcBorders>
            <w:shd w:val="clear" w:color="000000" w:fill="FFFFFF"/>
            <w:noWrap/>
            <w:hideMark/>
          </w:tcPr>
          <w:p w14:paraId="290B2090" w14:textId="2C27A980" w:rsidR="00415E27" w:rsidRPr="00415E27" w:rsidRDefault="00415E27" w:rsidP="00415E27">
            <w:pPr>
              <w:rPr>
                <w:color w:val="000000"/>
                <w:sz w:val="14"/>
                <w:szCs w:val="14"/>
                <w:lang w:val="en-US" w:eastAsia="en-US"/>
              </w:rPr>
            </w:pPr>
            <w:proofErr w:type="spellStart"/>
            <w:r w:rsidRPr="00415E27">
              <w:rPr>
                <w:color w:val="000000"/>
                <w:sz w:val="14"/>
                <w:szCs w:val="14"/>
                <w:lang w:val="en-US" w:eastAsia="en-US"/>
              </w:rPr>
              <w:t>Microvas</w:t>
            </w:r>
            <w:proofErr w:type="spellEnd"/>
            <w:r w:rsidRPr="00415E27">
              <w:rPr>
                <w:color w:val="000000"/>
                <w:sz w:val="14"/>
                <w:szCs w:val="14"/>
                <w:lang w:val="en-US" w:eastAsia="en-US"/>
              </w:rPr>
              <w:t xml:space="preserve"> </w:t>
            </w:r>
            <w:proofErr w:type="spellStart"/>
            <w:r w:rsidRPr="00415E27">
              <w:rPr>
                <w:color w:val="000000"/>
                <w:sz w:val="14"/>
                <w:szCs w:val="14"/>
                <w:lang w:val="en-US" w:eastAsia="en-US"/>
              </w:rPr>
              <w:t>Tiss</w:t>
            </w:r>
            <w:proofErr w:type="spellEnd"/>
            <w:r w:rsidRPr="00415E27">
              <w:rPr>
                <w:color w:val="000000"/>
                <w:sz w:val="14"/>
                <w:szCs w:val="14"/>
                <w:lang w:val="en-US" w:eastAsia="en-US"/>
              </w:rPr>
              <w:t xml:space="preserve"> </w:t>
            </w:r>
            <w:proofErr w:type="spellStart"/>
            <w:r w:rsidRPr="00415E27">
              <w:rPr>
                <w:color w:val="000000"/>
                <w:sz w:val="14"/>
                <w:szCs w:val="14"/>
                <w:lang w:val="en-US" w:eastAsia="en-US"/>
              </w:rPr>
              <w:t>Transf</w:t>
            </w:r>
            <w:proofErr w:type="spellEnd"/>
            <w:r w:rsidRPr="00415E27">
              <w:rPr>
                <w:color w:val="000000"/>
                <w:sz w:val="14"/>
                <w:szCs w:val="14"/>
                <w:lang w:val="en-US" w:eastAsia="en-US"/>
              </w:rPr>
              <w:t xml:space="preserve"> for Skin, </w:t>
            </w:r>
            <w:proofErr w:type="spellStart"/>
            <w:r w:rsidRPr="00415E27">
              <w:rPr>
                <w:color w:val="000000"/>
                <w:sz w:val="14"/>
                <w:szCs w:val="14"/>
                <w:lang w:val="en-US" w:eastAsia="en-US"/>
              </w:rPr>
              <w:t>Subcut</w:t>
            </w:r>
            <w:proofErr w:type="spellEnd"/>
            <w:r w:rsidRPr="00415E27">
              <w:rPr>
                <w:color w:val="000000"/>
                <w:sz w:val="14"/>
                <w:szCs w:val="14"/>
                <w:lang w:val="en-US" w:eastAsia="en-US"/>
              </w:rPr>
              <w:t xml:space="preserve"> </w:t>
            </w:r>
            <w:proofErr w:type="spellStart"/>
            <w:r w:rsidRPr="00415E27">
              <w:rPr>
                <w:color w:val="000000"/>
                <w:sz w:val="14"/>
                <w:szCs w:val="14"/>
                <w:lang w:val="en-US" w:eastAsia="en-US"/>
              </w:rPr>
              <w:t>Tiss</w:t>
            </w:r>
            <w:proofErr w:type="spellEnd"/>
            <w:r w:rsidRPr="00415E27">
              <w:rPr>
                <w:color w:val="000000"/>
                <w:sz w:val="14"/>
                <w:szCs w:val="14"/>
                <w:lang w:val="en-US" w:eastAsia="en-US"/>
              </w:rPr>
              <w:t xml:space="preserve"> &amp; Breast </w:t>
            </w:r>
            <w:proofErr w:type="spellStart"/>
            <w:r w:rsidRPr="00415E27">
              <w:rPr>
                <w:color w:val="000000"/>
                <w:sz w:val="14"/>
                <w:szCs w:val="14"/>
                <w:lang w:val="en-US" w:eastAsia="en-US"/>
              </w:rPr>
              <w:t>Dsrds</w:t>
            </w:r>
            <w:proofErr w:type="spellEnd"/>
            <w:r w:rsidRPr="00415E27">
              <w:rPr>
                <w:color w:val="000000"/>
                <w:sz w:val="14"/>
                <w:szCs w:val="14"/>
                <w:lang w:val="en-US" w:eastAsia="en-US"/>
              </w:rPr>
              <w:t>, Major Complexity</w:t>
            </w:r>
          </w:p>
        </w:tc>
        <w:tc>
          <w:tcPr>
            <w:tcW w:w="761" w:type="dxa"/>
            <w:tcBorders>
              <w:top w:val="nil"/>
              <w:left w:val="nil"/>
              <w:bottom w:val="nil"/>
              <w:right w:val="nil"/>
            </w:tcBorders>
            <w:shd w:val="clear" w:color="000000" w:fill="FFFFFF"/>
            <w:noWrap/>
            <w:hideMark/>
          </w:tcPr>
          <w:p w14:paraId="2AED0FE0" w14:textId="77777777" w:rsidR="00415E27" w:rsidRPr="00415E27" w:rsidRDefault="00415E27" w:rsidP="00415E27">
            <w:pPr>
              <w:jc w:val="right"/>
              <w:rPr>
                <w:b/>
                <w:bCs/>
                <w:color w:val="000000"/>
                <w:sz w:val="14"/>
                <w:szCs w:val="14"/>
                <w:lang w:val="en-US" w:eastAsia="en-US"/>
              </w:rPr>
            </w:pPr>
            <w:r w:rsidRPr="00415E27">
              <w:rPr>
                <w:b/>
                <w:bCs/>
                <w:color w:val="000000"/>
                <w:sz w:val="14"/>
                <w:szCs w:val="14"/>
                <w:lang w:val="en-US" w:eastAsia="en-US"/>
              </w:rPr>
              <w:t>3.20</w:t>
            </w:r>
          </w:p>
        </w:tc>
        <w:tc>
          <w:tcPr>
            <w:tcW w:w="968" w:type="dxa"/>
            <w:tcBorders>
              <w:top w:val="nil"/>
              <w:left w:val="nil"/>
              <w:bottom w:val="nil"/>
              <w:right w:val="nil"/>
            </w:tcBorders>
            <w:shd w:val="clear" w:color="000000" w:fill="FFFFFF"/>
            <w:noWrap/>
            <w:hideMark/>
          </w:tcPr>
          <w:p w14:paraId="6386DCDD"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64</w:t>
            </w:r>
          </w:p>
        </w:tc>
        <w:tc>
          <w:tcPr>
            <w:tcW w:w="797" w:type="dxa"/>
            <w:tcBorders>
              <w:top w:val="nil"/>
              <w:left w:val="nil"/>
              <w:bottom w:val="nil"/>
              <w:right w:val="nil"/>
            </w:tcBorders>
            <w:shd w:val="clear" w:color="000000" w:fill="FFFFFF"/>
            <w:noWrap/>
            <w:hideMark/>
          </w:tcPr>
          <w:p w14:paraId="47D3F7FB"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8.19</w:t>
            </w:r>
          </w:p>
        </w:tc>
        <w:tc>
          <w:tcPr>
            <w:tcW w:w="725" w:type="dxa"/>
            <w:tcBorders>
              <w:top w:val="nil"/>
              <w:left w:val="nil"/>
              <w:bottom w:val="nil"/>
              <w:right w:val="nil"/>
            </w:tcBorders>
            <w:shd w:val="clear" w:color="000000" w:fill="FFFFFF"/>
            <w:noWrap/>
            <w:hideMark/>
          </w:tcPr>
          <w:p w14:paraId="29DD2F07"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11.8</w:t>
            </w:r>
          </w:p>
        </w:tc>
        <w:tc>
          <w:tcPr>
            <w:tcW w:w="645" w:type="dxa"/>
            <w:tcBorders>
              <w:top w:val="nil"/>
              <w:left w:val="single" w:sz="4" w:space="0" w:color="000000"/>
              <w:bottom w:val="nil"/>
              <w:right w:val="nil"/>
            </w:tcBorders>
            <w:shd w:val="clear" w:color="000000" w:fill="FFFFFF"/>
            <w:noWrap/>
            <w:hideMark/>
          </w:tcPr>
          <w:p w14:paraId="2561E707"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39%</w:t>
            </w:r>
          </w:p>
        </w:tc>
        <w:tc>
          <w:tcPr>
            <w:tcW w:w="797" w:type="dxa"/>
            <w:tcBorders>
              <w:top w:val="nil"/>
              <w:left w:val="nil"/>
              <w:bottom w:val="nil"/>
              <w:right w:val="nil"/>
            </w:tcBorders>
            <w:shd w:val="clear" w:color="000000" w:fill="FFFFFF"/>
            <w:noWrap/>
            <w:hideMark/>
          </w:tcPr>
          <w:p w14:paraId="37E8B5F6"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15%</w:t>
            </w:r>
          </w:p>
        </w:tc>
        <w:tc>
          <w:tcPr>
            <w:tcW w:w="814" w:type="dxa"/>
            <w:tcBorders>
              <w:top w:val="nil"/>
              <w:left w:val="nil"/>
              <w:bottom w:val="nil"/>
              <w:right w:val="nil"/>
            </w:tcBorders>
            <w:shd w:val="clear" w:color="000000" w:fill="FFFFFF"/>
            <w:noWrap/>
            <w:hideMark/>
          </w:tcPr>
          <w:p w14:paraId="75995D9B"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7%</w:t>
            </w:r>
          </w:p>
        </w:tc>
        <w:tc>
          <w:tcPr>
            <w:tcW w:w="845" w:type="dxa"/>
            <w:tcBorders>
              <w:top w:val="nil"/>
              <w:left w:val="nil"/>
              <w:bottom w:val="nil"/>
              <w:right w:val="nil"/>
            </w:tcBorders>
            <w:shd w:val="clear" w:color="000000" w:fill="FFFFFF"/>
            <w:noWrap/>
            <w:hideMark/>
          </w:tcPr>
          <w:p w14:paraId="17A8E8D7"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39%</w:t>
            </w:r>
          </w:p>
        </w:tc>
        <w:tc>
          <w:tcPr>
            <w:tcW w:w="761" w:type="dxa"/>
            <w:tcBorders>
              <w:top w:val="nil"/>
              <w:left w:val="single" w:sz="4" w:space="0" w:color="auto"/>
              <w:bottom w:val="nil"/>
              <w:right w:val="nil"/>
            </w:tcBorders>
            <w:shd w:val="clear" w:color="000000" w:fill="FFFFFF"/>
            <w:noWrap/>
            <w:hideMark/>
          </w:tcPr>
          <w:p w14:paraId="45F93860"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3.39</w:t>
            </w:r>
          </w:p>
        </w:tc>
        <w:tc>
          <w:tcPr>
            <w:tcW w:w="761" w:type="dxa"/>
            <w:tcBorders>
              <w:top w:val="nil"/>
              <w:left w:val="nil"/>
              <w:bottom w:val="nil"/>
              <w:right w:val="nil"/>
            </w:tcBorders>
            <w:shd w:val="clear" w:color="000000" w:fill="FFFFFF"/>
            <w:noWrap/>
            <w:hideMark/>
          </w:tcPr>
          <w:p w14:paraId="04F4A487"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 xml:space="preserve">1 </w:t>
            </w:r>
          </w:p>
        </w:tc>
      </w:tr>
      <w:tr w:rsidR="00415E27" w:rsidRPr="00415E27" w14:paraId="7EB93728" w14:textId="77777777" w:rsidTr="008C0756">
        <w:trPr>
          <w:trHeight w:hRule="exact" w:val="284"/>
        </w:trPr>
        <w:tc>
          <w:tcPr>
            <w:tcW w:w="689" w:type="dxa"/>
            <w:tcBorders>
              <w:top w:val="nil"/>
              <w:left w:val="nil"/>
              <w:bottom w:val="nil"/>
              <w:right w:val="nil"/>
            </w:tcBorders>
            <w:shd w:val="clear" w:color="000000" w:fill="FFFFFF"/>
            <w:noWrap/>
            <w:hideMark/>
          </w:tcPr>
          <w:p w14:paraId="373AB27D"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Yes</w:t>
            </w:r>
          </w:p>
        </w:tc>
        <w:tc>
          <w:tcPr>
            <w:tcW w:w="689" w:type="dxa"/>
            <w:tcBorders>
              <w:top w:val="nil"/>
              <w:left w:val="nil"/>
              <w:bottom w:val="nil"/>
              <w:right w:val="nil"/>
            </w:tcBorders>
            <w:shd w:val="clear" w:color="000000" w:fill="FFFFFF"/>
            <w:noWrap/>
            <w:hideMark/>
          </w:tcPr>
          <w:p w14:paraId="61DE35F5"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2</w:t>
            </w:r>
          </w:p>
        </w:tc>
        <w:tc>
          <w:tcPr>
            <w:tcW w:w="574" w:type="dxa"/>
            <w:tcBorders>
              <w:top w:val="nil"/>
              <w:left w:val="nil"/>
              <w:bottom w:val="nil"/>
              <w:right w:val="nil"/>
            </w:tcBorders>
            <w:shd w:val="clear" w:color="000000" w:fill="FFFFFF"/>
            <w:noWrap/>
            <w:hideMark/>
          </w:tcPr>
          <w:p w14:paraId="24C8DBF6" w14:textId="79A27D20" w:rsidR="00415E27" w:rsidRPr="00415E27" w:rsidRDefault="00415E27" w:rsidP="00415E27">
            <w:pPr>
              <w:rPr>
                <w:color w:val="000000"/>
                <w:sz w:val="14"/>
                <w:szCs w:val="14"/>
                <w:lang w:val="en-US" w:eastAsia="en-US"/>
              </w:rPr>
            </w:pPr>
            <w:r w:rsidRPr="00415E27">
              <w:rPr>
                <w:color w:val="000000"/>
                <w:sz w:val="14"/>
                <w:szCs w:val="14"/>
                <w:lang w:val="en-US" w:eastAsia="en-US"/>
              </w:rPr>
              <w:t>J01B</w:t>
            </w:r>
          </w:p>
        </w:tc>
        <w:tc>
          <w:tcPr>
            <w:tcW w:w="5304" w:type="dxa"/>
            <w:tcBorders>
              <w:top w:val="nil"/>
              <w:left w:val="nil"/>
              <w:bottom w:val="nil"/>
              <w:right w:val="nil"/>
            </w:tcBorders>
            <w:shd w:val="clear" w:color="000000" w:fill="FFFFFF"/>
            <w:noWrap/>
            <w:hideMark/>
          </w:tcPr>
          <w:p w14:paraId="48AB2BAE" w14:textId="2AA2F9F1" w:rsidR="00415E27" w:rsidRPr="00415E27" w:rsidRDefault="00415E27" w:rsidP="00415E27">
            <w:pPr>
              <w:rPr>
                <w:color w:val="000000"/>
                <w:sz w:val="14"/>
                <w:szCs w:val="14"/>
                <w:lang w:val="en-US" w:eastAsia="en-US"/>
              </w:rPr>
            </w:pPr>
            <w:proofErr w:type="spellStart"/>
            <w:r w:rsidRPr="00415E27">
              <w:rPr>
                <w:color w:val="000000"/>
                <w:sz w:val="14"/>
                <w:szCs w:val="14"/>
                <w:lang w:val="en-US" w:eastAsia="en-US"/>
              </w:rPr>
              <w:t>Microvas</w:t>
            </w:r>
            <w:proofErr w:type="spellEnd"/>
            <w:r w:rsidRPr="00415E27">
              <w:rPr>
                <w:color w:val="000000"/>
                <w:sz w:val="14"/>
                <w:szCs w:val="14"/>
                <w:lang w:val="en-US" w:eastAsia="en-US"/>
              </w:rPr>
              <w:t xml:space="preserve"> </w:t>
            </w:r>
            <w:proofErr w:type="spellStart"/>
            <w:r w:rsidRPr="00415E27">
              <w:rPr>
                <w:color w:val="000000"/>
                <w:sz w:val="14"/>
                <w:szCs w:val="14"/>
                <w:lang w:val="en-US" w:eastAsia="en-US"/>
              </w:rPr>
              <w:t>Tiss</w:t>
            </w:r>
            <w:proofErr w:type="spellEnd"/>
            <w:r w:rsidRPr="00415E27">
              <w:rPr>
                <w:color w:val="000000"/>
                <w:sz w:val="14"/>
                <w:szCs w:val="14"/>
                <w:lang w:val="en-US" w:eastAsia="en-US"/>
              </w:rPr>
              <w:t xml:space="preserve"> </w:t>
            </w:r>
            <w:proofErr w:type="spellStart"/>
            <w:r w:rsidRPr="00415E27">
              <w:rPr>
                <w:color w:val="000000"/>
                <w:sz w:val="14"/>
                <w:szCs w:val="14"/>
                <w:lang w:val="en-US" w:eastAsia="en-US"/>
              </w:rPr>
              <w:t>Transf</w:t>
            </w:r>
            <w:proofErr w:type="spellEnd"/>
            <w:r w:rsidRPr="00415E27">
              <w:rPr>
                <w:color w:val="000000"/>
                <w:sz w:val="14"/>
                <w:szCs w:val="14"/>
                <w:lang w:val="en-US" w:eastAsia="en-US"/>
              </w:rPr>
              <w:t xml:space="preserve"> for Skin, </w:t>
            </w:r>
            <w:proofErr w:type="spellStart"/>
            <w:r w:rsidRPr="00415E27">
              <w:rPr>
                <w:color w:val="000000"/>
                <w:sz w:val="14"/>
                <w:szCs w:val="14"/>
                <w:lang w:val="en-US" w:eastAsia="en-US"/>
              </w:rPr>
              <w:t>Subcut</w:t>
            </w:r>
            <w:proofErr w:type="spellEnd"/>
            <w:r w:rsidRPr="00415E27">
              <w:rPr>
                <w:color w:val="000000"/>
                <w:sz w:val="14"/>
                <w:szCs w:val="14"/>
                <w:lang w:val="en-US" w:eastAsia="en-US"/>
              </w:rPr>
              <w:t xml:space="preserve"> </w:t>
            </w:r>
            <w:proofErr w:type="spellStart"/>
            <w:r w:rsidRPr="00415E27">
              <w:rPr>
                <w:color w:val="000000"/>
                <w:sz w:val="14"/>
                <w:szCs w:val="14"/>
                <w:lang w:val="en-US" w:eastAsia="en-US"/>
              </w:rPr>
              <w:t>Tiss</w:t>
            </w:r>
            <w:proofErr w:type="spellEnd"/>
            <w:r w:rsidRPr="00415E27">
              <w:rPr>
                <w:color w:val="000000"/>
                <w:sz w:val="14"/>
                <w:szCs w:val="14"/>
                <w:lang w:val="en-US" w:eastAsia="en-US"/>
              </w:rPr>
              <w:t xml:space="preserve"> &amp; Breast </w:t>
            </w:r>
            <w:proofErr w:type="spellStart"/>
            <w:r w:rsidRPr="00415E27">
              <w:rPr>
                <w:color w:val="000000"/>
                <w:sz w:val="14"/>
                <w:szCs w:val="14"/>
                <w:lang w:val="en-US" w:eastAsia="en-US"/>
              </w:rPr>
              <w:t>Dsrds</w:t>
            </w:r>
            <w:proofErr w:type="spellEnd"/>
            <w:r w:rsidRPr="00415E27">
              <w:rPr>
                <w:color w:val="000000"/>
                <w:sz w:val="14"/>
                <w:szCs w:val="14"/>
                <w:lang w:val="en-US" w:eastAsia="en-US"/>
              </w:rPr>
              <w:t>, Minor Complexity</w:t>
            </w:r>
          </w:p>
        </w:tc>
        <w:tc>
          <w:tcPr>
            <w:tcW w:w="761" w:type="dxa"/>
            <w:tcBorders>
              <w:top w:val="nil"/>
              <w:left w:val="nil"/>
              <w:bottom w:val="nil"/>
              <w:right w:val="nil"/>
            </w:tcBorders>
            <w:shd w:val="clear" w:color="000000" w:fill="FFFFFF"/>
            <w:noWrap/>
            <w:hideMark/>
          </w:tcPr>
          <w:p w14:paraId="69B79EB4" w14:textId="77777777" w:rsidR="00415E27" w:rsidRPr="00415E27" w:rsidRDefault="00415E27" w:rsidP="00415E27">
            <w:pPr>
              <w:jc w:val="right"/>
              <w:rPr>
                <w:b/>
                <w:bCs/>
                <w:color w:val="000000"/>
                <w:sz w:val="14"/>
                <w:szCs w:val="14"/>
                <w:lang w:val="en-US" w:eastAsia="en-US"/>
              </w:rPr>
            </w:pPr>
            <w:r w:rsidRPr="00415E27">
              <w:rPr>
                <w:b/>
                <w:bCs/>
                <w:color w:val="000000"/>
                <w:sz w:val="14"/>
                <w:szCs w:val="14"/>
                <w:lang w:val="en-US" w:eastAsia="en-US"/>
              </w:rPr>
              <w:t>2.84</w:t>
            </w:r>
          </w:p>
        </w:tc>
        <w:tc>
          <w:tcPr>
            <w:tcW w:w="968" w:type="dxa"/>
            <w:tcBorders>
              <w:top w:val="nil"/>
              <w:left w:val="nil"/>
              <w:bottom w:val="nil"/>
              <w:right w:val="nil"/>
            </w:tcBorders>
            <w:shd w:val="clear" w:color="000000" w:fill="FFFFFF"/>
            <w:noWrap/>
            <w:hideMark/>
          </w:tcPr>
          <w:p w14:paraId="44506031"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617</w:t>
            </w:r>
          </w:p>
        </w:tc>
        <w:tc>
          <w:tcPr>
            <w:tcW w:w="797" w:type="dxa"/>
            <w:tcBorders>
              <w:top w:val="nil"/>
              <w:left w:val="nil"/>
              <w:bottom w:val="nil"/>
              <w:right w:val="nil"/>
            </w:tcBorders>
            <w:shd w:val="clear" w:color="000000" w:fill="FFFFFF"/>
            <w:noWrap/>
            <w:hideMark/>
          </w:tcPr>
          <w:p w14:paraId="5A871ADB"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5.86</w:t>
            </w:r>
          </w:p>
        </w:tc>
        <w:tc>
          <w:tcPr>
            <w:tcW w:w="725" w:type="dxa"/>
            <w:tcBorders>
              <w:top w:val="nil"/>
              <w:left w:val="nil"/>
              <w:bottom w:val="nil"/>
              <w:right w:val="nil"/>
            </w:tcBorders>
            <w:shd w:val="clear" w:color="000000" w:fill="FFFFFF"/>
            <w:noWrap/>
            <w:hideMark/>
          </w:tcPr>
          <w:p w14:paraId="0C1E2259"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7.3</w:t>
            </w:r>
          </w:p>
        </w:tc>
        <w:tc>
          <w:tcPr>
            <w:tcW w:w="645" w:type="dxa"/>
            <w:tcBorders>
              <w:top w:val="nil"/>
              <w:left w:val="single" w:sz="4" w:space="0" w:color="000000"/>
              <w:bottom w:val="nil"/>
              <w:right w:val="nil"/>
            </w:tcBorders>
            <w:shd w:val="clear" w:color="000000" w:fill="FFFFFF"/>
            <w:noWrap/>
            <w:hideMark/>
          </w:tcPr>
          <w:p w14:paraId="7B185B30"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48%</w:t>
            </w:r>
          </w:p>
        </w:tc>
        <w:tc>
          <w:tcPr>
            <w:tcW w:w="797" w:type="dxa"/>
            <w:tcBorders>
              <w:top w:val="nil"/>
              <w:left w:val="nil"/>
              <w:bottom w:val="nil"/>
              <w:right w:val="nil"/>
            </w:tcBorders>
            <w:shd w:val="clear" w:color="000000" w:fill="FFFFFF"/>
            <w:noWrap/>
            <w:hideMark/>
          </w:tcPr>
          <w:p w14:paraId="706F3CBE"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5%</w:t>
            </w:r>
          </w:p>
        </w:tc>
        <w:tc>
          <w:tcPr>
            <w:tcW w:w="814" w:type="dxa"/>
            <w:tcBorders>
              <w:top w:val="nil"/>
              <w:left w:val="nil"/>
              <w:bottom w:val="nil"/>
              <w:right w:val="nil"/>
            </w:tcBorders>
            <w:shd w:val="clear" w:color="000000" w:fill="FFFFFF"/>
            <w:noWrap/>
            <w:hideMark/>
          </w:tcPr>
          <w:p w14:paraId="767A2C0C"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9%</w:t>
            </w:r>
          </w:p>
        </w:tc>
        <w:tc>
          <w:tcPr>
            <w:tcW w:w="845" w:type="dxa"/>
            <w:tcBorders>
              <w:top w:val="nil"/>
              <w:left w:val="nil"/>
              <w:bottom w:val="nil"/>
              <w:right w:val="nil"/>
            </w:tcBorders>
            <w:shd w:val="clear" w:color="000000" w:fill="FFFFFF"/>
            <w:noWrap/>
            <w:hideMark/>
          </w:tcPr>
          <w:p w14:paraId="47F8BF45"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37%</w:t>
            </w:r>
          </w:p>
        </w:tc>
        <w:tc>
          <w:tcPr>
            <w:tcW w:w="761" w:type="dxa"/>
            <w:tcBorders>
              <w:top w:val="nil"/>
              <w:left w:val="single" w:sz="4" w:space="0" w:color="auto"/>
              <w:bottom w:val="nil"/>
              <w:right w:val="nil"/>
            </w:tcBorders>
            <w:shd w:val="clear" w:color="000000" w:fill="FFFFFF"/>
            <w:noWrap/>
            <w:hideMark/>
          </w:tcPr>
          <w:p w14:paraId="2CCE9E19"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2.61</w:t>
            </w:r>
          </w:p>
        </w:tc>
        <w:tc>
          <w:tcPr>
            <w:tcW w:w="761" w:type="dxa"/>
            <w:tcBorders>
              <w:top w:val="nil"/>
              <w:left w:val="nil"/>
              <w:bottom w:val="nil"/>
              <w:right w:val="nil"/>
            </w:tcBorders>
            <w:shd w:val="clear" w:color="000000" w:fill="FFFFFF"/>
            <w:noWrap/>
            <w:hideMark/>
          </w:tcPr>
          <w:p w14:paraId="0D93EB5E"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 xml:space="preserve">2 </w:t>
            </w:r>
          </w:p>
        </w:tc>
      </w:tr>
      <w:tr w:rsidR="00415E27" w:rsidRPr="00415E27" w14:paraId="3BE8F86A" w14:textId="77777777" w:rsidTr="008C0756">
        <w:trPr>
          <w:trHeight w:hRule="exact" w:val="284"/>
        </w:trPr>
        <w:tc>
          <w:tcPr>
            <w:tcW w:w="689" w:type="dxa"/>
            <w:tcBorders>
              <w:top w:val="nil"/>
              <w:left w:val="nil"/>
              <w:bottom w:val="nil"/>
              <w:right w:val="nil"/>
            </w:tcBorders>
            <w:shd w:val="clear" w:color="000000" w:fill="FFFFFF"/>
            <w:noWrap/>
            <w:hideMark/>
          </w:tcPr>
          <w:p w14:paraId="2285FAB6" w14:textId="708CF150" w:rsidR="00415E27" w:rsidRPr="00415E27" w:rsidRDefault="00415E27" w:rsidP="00415E27">
            <w:pPr>
              <w:jc w:val="center"/>
              <w:rPr>
                <w:color w:val="000000"/>
                <w:sz w:val="14"/>
                <w:szCs w:val="14"/>
                <w:lang w:val="en-US" w:eastAsia="en-US"/>
              </w:rPr>
            </w:pPr>
            <w:r w:rsidRPr="00415E27">
              <w:rPr>
                <w:color w:val="000000"/>
                <w:sz w:val="14"/>
                <w:szCs w:val="14"/>
                <w:lang w:val="en-US" w:eastAsia="en-US"/>
              </w:rPr>
              <w:t>No</w:t>
            </w:r>
          </w:p>
        </w:tc>
        <w:tc>
          <w:tcPr>
            <w:tcW w:w="689" w:type="dxa"/>
            <w:tcBorders>
              <w:top w:val="nil"/>
              <w:left w:val="nil"/>
              <w:bottom w:val="nil"/>
              <w:right w:val="nil"/>
            </w:tcBorders>
            <w:shd w:val="clear" w:color="000000" w:fill="FFFFFF"/>
            <w:noWrap/>
            <w:hideMark/>
          </w:tcPr>
          <w:p w14:paraId="08EFD14B"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3</w:t>
            </w:r>
          </w:p>
        </w:tc>
        <w:tc>
          <w:tcPr>
            <w:tcW w:w="574" w:type="dxa"/>
            <w:tcBorders>
              <w:top w:val="nil"/>
              <w:left w:val="nil"/>
              <w:bottom w:val="nil"/>
              <w:right w:val="nil"/>
            </w:tcBorders>
            <w:shd w:val="clear" w:color="000000" w:fill="FFFFFF"/>
            <w:noWrap/>
            <w:hideMark/>
          </w:tcPr>
          <w:p w14:paraId="733CCE0F"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A40B</w:t>
            </w:r>
          </w:p>
        </w:tc>
        <w:tc>
          <w:tcPr>
            <w:tcW w:w="5304" w:type="dxa"/>
            <w:tcBorders>
              <w:top w:val="nil"/>
              <w:left w:val="nil"/>
              <w:bottom w:val="nil"/>
              <w:right w:val="nil"/>
            </w:tcBorders>
            <w:shd w:val="clear" w:color="000000" w:fill="FFFFFF"/>
            <w:noWrap/>
            <w:hideMark/>
          </w:tcPr>
          <w:p w14:paraId="7EBA0EE8" w14:textId="4F25B083" w:rsidR="00415E27" w:rsidRPr="00415E27" w:rsidRDefault="00415E27" w:rsidP="00415E27">
            <w:pPr>
              <w:rPr>
                <w:color w:val="000000"/>
                <w:sz w:val="14"/>
                <w:szCs w:val="14"/>
                <w:lang w:val="en-US" w:eastAsia="en-US"/>
              </w:rPr>
            </w:pPr>
            <w:r w:rsidRPr="00415E27">
              <w:rPr>
                <w:color w:val="000000"/>
                <w:sz w:val="14"/>
                <w:szCs w:val="14"/>
                <w:lang w:val="en-US" w:eastAsia="en-US"/>
              </w:rPr>
              <w:t>ECMO, Minor Complexity</w:t>
            </w:r>
          </w:p>
        </w:tc>
        <w:tc>
          <w:tcPr>
            <w:tcW w:w="761" w:type="dxa"/>
            <w:tcBorders>
              <w:top w:val="nil"/>
              <w:left w:val="nil"/>
              <w:bottom w:val="nil"/>
              <w:right w:val="nil"/>
            </w:tcBorders>
            <w:shd w:val="clear" w:color="000000" w:fill="FFFFFF"/>
            <w:noWrap/>
            <w:hideMark/>
          </w:tcPr>
          <w:p w14:paraId="42DAC50E" w14:textId="77777777" w:rsidR="00415E27" w:rsidRPr="00415E27" w:rsidRDefault="00415E27" w:rsidP="00415E27">
            <w:pPr>
              <w:jc w:val="right"/>
              <w:rPr>
                <w:b/>
                <w:bCs/>
                <w:color w:val="000000"/>
                <w:sz w:val="14"/>
                <w:szCs w:val="14"/>
                <w:lang w:val="en-US" w:eastAsia="en-US"/>
              </w:rPr>
            </w:pPr>
            <w:r w:rsidRPr="00415E27">
              <w:rPr>
                <w:b/>
                <w:bCs/>
                <w:color w:val="000000"/>
                <w:sz w:val="14"/>
                <w:szCs w:val="14"/>
                <w:lang w:val="en-US" w:eastAsia="en-US"/>
              </w:rPr>
              <w:t>2.84</w:t>
            </w:r>
          </w:p>
        </w:tc>
        <w:tc>
          <w:tcPr>
            <w:tcW w:w="968" w:type="dxa"/>
            <w:tcBorders>
              <w:top w:val="nil"/>
              <w:left w:val="nil"/>
              <w:bottom w:val="nil"/>
              <w:right w:val="nil"/>
            </w:tcBorders>
            <w:shd w:val="clear" w:color="000000" w:fill="FFFFFF"/>
            <w:noWrap/>
            <w:hideMark/>
          </w:tcPr>
          <w:p w14:paraId="5DC67DC8"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30</w:t>
            </w:r>
          </w:p>
        </w:tc>
        <w:tc>
          <w:tcPr>
            <w:tcW w:w="797" w:type="dxa"/>
            <w:tcBorders>
              <w:top w:val="nil"/>
              <w:left w:val="nil"/>
              <w:bottom w:val="nil"/>
              <w:right w:val="nil"/>
            </w:tcBorders>
            <w:shd w:val="clear" w:color="000000" w:fill="FFFFFF"/>
            <w:noWrap/>
            <w:hideMark/>
          </w:tcPr>
          <w:p w14:paraId="22D43760"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8.86</w:t>
            </w:r>
          </w:p>
        </w:tc>
        <w:tc>
          <w:tcPr>
            <w:tcW w:w="725" w:type="dxa"/>
            <w:tcBorders>
              <w:top w:val="nil"/>
              <w:left w:val="nil"/>
              <w:bottom w:val="nil"/>
              <w:right w:val="nil"/>
            </w:tcBorders>
            <w:shd w:val="clear" w:color="000000" w:fill="FFFFFF"/>
            <w:noWrap/>
            <w:hideMark/>
          </w:tcPr>
          <w:p w14:paraId="425D2FEC"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4.1</w:t>
            </w:r>
          </w:p>
        </w:tc>
        <w:tc>
          <w:tcPr>
            <w:tcW w:w="645" w:type="dxa"/>
            <w:tcBorders>
              <w:top w:val="nil"/>
              <w:left w:val="single" w:sz="4" w:space="0" w:color="000000"/>
              <w:bottom w:val="nil"/>
              <w:right w:val="nil"/>
            </w:tcBorders>
            <w:shd w:val="clear" w:color="000000" w:fill="FFFFFF"/>
            <w:noWrap/>
            <w:hideMark/>
          </w:tcPr>
          <w:p w14:paraId="0C04469B"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32%</w:t>
            </w:r>
          </w:p>
        </w:tc>
        <w:tc>
          <w:tcPr>
            <w:tcW w:w="797" w:type="dxa"/>
            <w:tcBorders>
              <w:top w:val="nil"/>
              <w:left w:val="nil"/>
              <w:bottom w:val="nil"/>
              <w:right w:val="nil"/>
            </w:tcBorders>
            <w:shd w:val="clear" w:color="000000" w:fill="FFFFFF"/>
            <w:noWrap/>
            <w:hideMark/>
          </w:tcPr>
          <w:p w14:paraId="1B1561EE"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26%</w:t>
            </w:r>
          </w:p>
        </w:tc>
        <w:tc>
          <w:tcPr>
            <w:tcW w:w="814" w:type="dxa"/>
            <w:tcBorders>
              <w:top w:val="nil"/>
              <w:left w:val="nil"/>
              <w:bottom w:val="nil"/>
              <w:right w:val="nil"/>
            </w:tcBorders>
            <w:shd w:val="clear" w:color="000000" w:fill="FFFFFF"/>
            <w:noWrap/>
            <w:hideMark/>
          </w:tcPr>
          <w:p w14:paraId="1E5AB517"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24%</w:t>
            </w:r>
          </w:p>
        </w:tc>
        <w:tc>
          <w:tcPr>
            <w:tcW w:w="845" w:type="dxa"/>
            <w:tcBorders>
              <w:top w:val="nil"/>
              <w:left w:val="nil"/>
              <w:bottom w:val="nil"/>
              <w:right w:val="nil"/>
            </w:tcBorders>
            <w:shd w:val="clear" w:color="000000" w:fill="FFFFFF"/>
            <w:noWrap/>
            <w:hideMark/>
          </w:tcPr>
          <w:p w14:paraId="18E1EDBA"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18%</w:t>
            </w:r>
          </w:p>
        </w:tc>
        <w:tc>
          <w:tcPr>
            <w:tcW w:w="761" w:type="dxa"/>
            <w:tcBorders>
              <w:top w:val="nil"/>
              <w:left w:val="single" w:sz="4" w:space="0" w:color="auto"/>
              <w:bottom w:val="nil"/>
              <w:right w:val="nil"/>
            </w:tcBorders>
            <w:shd w:val="clear" w:color="000000" w:fill="FFFFFF"/>
            <w:noWrap/>
            <w:hideMark/>
          </w:tcPr>
          <w:p w14:paraId="2E69BF27"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w:t>
            </w:r>
          </w:p>
        </w:tc>
        <w:tc>
          <w:tcPr>
            <w:tcW w:w="761" w:type="dxa"/>
            <w:tcBorders>
              <w:top w:val="nil"/>
              <w:left w:val="nil"/>
              <w:bottom w:val="nil"/>
              <w:right w:val="nil"/>
            </w:tcBorders>
            <w:shd w:val="clear" w:color="000000" w:fill="FFFFFF"/>
            <w:noWrap/>
            <w:hideMark/>
          </w:tcPr>
          <w:p w14:paraId="29D7190E"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w:t>
            </w:r>
          </w:p>
        </w:tc>
      </w:tr>
      <w:tr w:rsidR="00415E27" w:rsidRPr="00415E27" w14:paraId="334CE253" w14:textId="77777777" w:rsidTr="008C0756">
        <w:trPr>
          <w:trHeight w:hRule="exact" w:val="284"/>
        </w:trPr>
        <w:tc>
          <w:tcPr>
            <w:tcW w:w="689" w:type="dxa"/>
            <w:tcBorders>
              <w:top w:val="nil"/>
              <w:left w:val="nil"/>
              <w:bottom w:val="nil"/>
              <w:right w:val="nil"/>
            </w:tcBorders>
            <w:shd w:val="clear" w:color="000000" w:fill="FFFFFF"/>
            <w:noWrap/>
            <w:hideMark/>
          </w:tcPr>
          <w:p w14:paraId="738EDB8A" w14:textId="6A06FD8F" w:rsidR="00415E27" w:rsidRPr="00415E27" w:rsidRDefault="00415E27" w:rsidP="00415E27">
            <w:pPr>
              <w:jc w:val="center"/>
              <w:rPr>
                <w:color w:val="000000"/>
                <w:sz w:val="14"/>
                <w:szCs w:val="14"/>
                <w:lang w:val="en-US" w:eastAsia="en-US"/>
              </w:rPr>
            </w:pPr>
            <w:r w:rsidRPr="00415E27">
              <w:rPr>
                <w:color w:val="000000"/>
                <w:sz w:val="14"/>
                <w:szCs w:val="14"/>
                <w:lang w:val="en-US" w:eastAsia="en-US"/>
              </w:rPr>
              <w:t>Yes</w:t>
            </w:r>
          </w:p>
        </w:tc>
        <w:tc>
          <w:tcPr>
            <w:tcW w:w="689" w:type="dxa"/>
            <w:tcBorders>
              <w:top w:val="nil"/>
              <w:left w:val="nil"/>
              <w:bottom w:val="nil"/>
              <w:right w:val="nil"/>
            </w:tcBorders>
            <w:shd w:val="clear" w:color="000000" w:fill="FFFFFF"/>
            <w:noWrap/>
            <w:hideMark/>
          </w:tcPr>
          <w:p w14:paraId="4A891F97"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4</w:t>
            </w:r>
          </w:p>
        </w:tc>
        <w:tc>
          <w:tcPr>
            <w:tcW w:w="574" w:type="dxa"/>
            <w:tcBorders>
              <w:top w:val="nil"/>
              <w:left w:val="nil"/>
              <w:bottom w:val="nil"/>
              <w:right w:val="nil"/>
            </w:tcBorders>
            <w:shd w:val="clear" w:color="000000" w:fill="FFFFFF"/>
            <w:noWrap/>
            <w:hideMark/>
          </w:tcPr>
          <w:p w14:paraId="098DB169"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A06A</w:t>
            </w:r>
          </w:p>
        </w:tc>
        <w:tc>
          <w:tcPr>
            <w:tcW w:w="5304" w:type="dxa"/>
            <w:tcBorders>
              <w:top w:val="nil"/>
              <w:left w:val="nil"/>
              <w:bottom w:val="nil"/>
              <w:right w:val="nil"/>
            </w:tcBorders>
            <w:shd w:val="clear" w:color="000000" w:fill="FFFFFF"/>
            <w:noWrap/>
            <w:hideMark/>
          </w:tcPr>
          <w:p w14:paraId="1BDBBC8C" w14:textId="44D9462A" w:rsidR="00415E27" w:rsidRPr="00415E27" w:rsidRDefault="00415E27" w:rsidP="00415E27">
            <w:pPr>
              <w:rPr>
                <w:color w:val="000000"/>
                <w:sz w:val="14"/>
                <w:szCs w:val="14"/>
                <w:lang w:val="en-US" w:eastAsia="en-US"/>
              </w:rPr>
            </w:pPr>
            <w:r w:rsidRPr="00415E27">
              <w:rPr>
                <w:color w:val="000000"/>
                <w:sz w:val="14"/>
                <w:szCs w:val="14"/>
                <w:lang w:val="en-US" w:eastAsia="en-US"/>
              </w:rPr>
              <w:t>Tracheostomy and/or Ventilation &gt;=96hours, Major Complexity</w:t>
            </w:r>
          </w:p>
        </w:tc>
        <w:tc>
          <w:tcPr>
            <w:tcW w:w="761" w:type="dxa"/>
            <w:tcBorders>
              <w:top w:val="nil"/>
              <w:left w:val="nil"/>
              <w:bottom w:val="nil"/>
              <w:right w:val="nil"/>
            </w:tcBorders>
            <w:shd w:val="clear" w:color="000000" w:fill="FFFFFF"/>
            <w:noWrap/>
            <w:hideMark/>
          </w:tcPr>
          <w:p w14:paraId="57DD1190" w14:textId="77777777" w:rsidR="00415E27" w:rsidRPr="00415E27" w:rsidRDefault="00415E27" w:rsidP="00415E27">
            <w:pPr>
              <w:jc w:val="right"/>
              <w:rPr>
                <w:b/>
                <w:bCs/>
                <w:color w:val="000000"/>
                <w:sz w:val="14"/>
                <w:szCs w:val="14"/>
                <w:lang w:val="en-US" w:eastAsia="en-US"/>
              </w:rPr>
            </w:pPr>
            <w:r w:rsidRPr="00415E27">
              <w:rPr>
                <w:b/>
                <w:bCs/>
                <w:color w:val="000000"/>
                <w:sz w:val="14"/>
                <w:szCs w:val="14"/>
                <w:lang w:val="en-US" w:eastAsia="en-US"/>
              </w:rPr>
              <w:t>2.76</w:t>
            </w:r>
          </w:p>
        </w:tc>
        <w:tc>
          <w:tcPr>
            <w:tcW w:w="968" w:type="dxa"/>
            <w:tcBorders>
              <w:top w:val="nil"/>
              <w:left w:val="nil"/>
              <w:bottom w:val="nil"/>
              <w:right w:val="nil"/>
            </w:tcBorders>
            <w:shd w:val="clear" w:color="000000" w:fill="FFFFFF"/>
            <w:noWrap/>
            <w:hideMark/>
          </w:tcPr>
          <w:p w14:paraId="56F79ED2"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199</w:t>
            </w:r>
          </w:p>
        </w:tc>
        <w:tc>
          <w:tcPr>
            <w:tcW w:w="797" w:type="dxa"/>
            <w:tcBorders>
              <w:top w:val="nil"/>
              <w:left w:val="nil"/>
              <w:bottom w:val="nil"/>
              <w:right w:val="nil"/>
            </w:tcBorders>
            <w:shd w:val="clear" w:color="000000" w:fill="FFFFFF"/>
            <w:noWrap/>
            <w:hideMark/>
          </w:tcPr>
          <w:p w14:paraId="7494D280"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35.15</w:t>
            </w:r>
          </w:p>
        </w:tc>
        <w:tc>
          <w:tcPr>
            <w:tcW w:w="725" w:type="dxa"/>
            <w:tcBorders>
              <w:top w:val="nil"/>
              <w:left w:val="nil"/>
              <w:bottom w:val="nil"/>
              <w:right w:val="nil"/>
            </w:tcBorders>
            <w:shd w:val="clear" w:color="000000" w:fill="FFFFFF"/>
            <w:noWrap/>
            <w:hideMark/>
          </w:tcPr>
          <w:p w14:paraId="0C5C6E24"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49.8</w:t>
            </w:r>
          </w:p>
        </w:tc>
        <w:tc>
          <w:tcPr>
            <w:tcW w:w="645" w:type="dxa"/>
            <w:tcBorders>
              <w:top w:val="nil"/>
              <w:left w:val="single" w:sz="4" w:space="0" w:color="000000"/>
              <w:bottom w:val="nil"/>
              <w:right w:val="nil"/>
            </w:tcBorders>
            <w:shd w:val="clear" w:color="000000" w:fill="FFFFFF"/>
            <w:noWrap/>
            <w:hideMark/>
          </w:tcPr>
          <w:p w14:paraId="50FA1572"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8%</w:t>
            </w:r>
          </w:p>
        </w:tc>
        <w:tc>
          <w:tcPr>
            <w:tcW w:w="797" w:type="dxa"/>
            <w:tcBorders>
              <w:top w:val="nil"/>
              <w:left w:val="nil"/>
              <w:bottom w:val="nil"/>
              <w:right w:val="nil"/>
            </w:tcBorders>
            <w:shd w:val="clear" w:color="000000" w:fill="FFFFFF"/>
            <w:noWrap/>
            <w:hideMark/>
          </w:tcPr>
          <w:p w14:paraId="2515A35D"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59%</w:t>
            </w:r>
          </w:p>
        </w:tc>
        <w:tc>
          <w:tcPr>
            <w:tcW w:w="814" w:type="dxa"/>
            <w:tcBorders>
              <w:top w:val="nil"/>
              <w:left w:val="nil"/>
              <w:bottom w:val="nil"/>
              <w:right w:val="nil"/>
            </w:tcBorders>
            <w:shd w:val="clear" w:color="000000" w:fill="FFFFFF"/>
            <w:noWrap/>
            <w:hideMark/>
          </w:tcPr>
          <w:p w14:paraId="4A28DE4F"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5%</w:t>
            </w:r>
          </w:p>
        </w:tc>
        <w:tc>
          <w:tcPr>
            <w:tcW w:w="845" w:type="dxa"/>
            <w:tcBorders>
              <w:top w:val="nil"/>
              <w:left w:val="nil"/>
              <w:bottom w:val="nil"/>
              <w:right w:val="nil"/>
            </w:tcBorders>
            <w:shd w:val="clear" w:color="000000" w:fill="FFFFFF"/>
            <w:noWrap/>
            <w:hideMark/>
          </w:tcPr>
          <w:p w14:paraId="1CE54708"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28%</w:t>
            </w:r>
          </w:p>
        </w:tc>
        <w:tc>
          <w:tcPr>
            <w:tcW w:w="761" w:type="dxa"/>
            <w:tcBorders>
              <w:top w:val="nil"/>
              <w:left w:val="single" w:sz="4" w:space="0" w:color="auto"/>
              <w:bottom w:val="nil"/>
              <w:right w:val="nil"/>
            </w:tcBorders>
            <w:shd w:val="clear" w:color="000000" w:fill="FFFFFF"/>
            <w:noWrap/>
            <w:hideMark/>
          </w:tcPr>
          <w:p w14:paraId="22E2B894"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2.55</w:t>
            </w:r>
          </w:p>
        </w:tc>
        <w:tc>
          <w:tcPr>
            <w:tcW w:w="761" w:type="dxa"/>
            <w:tcBorders>
              <w:top w:val="nil"/>
              <w:left w:val="nil"/>
              <w:bottom w:val="nil"/>
              <w:right w:val="nil"/>
            </w:tcBorders>
            <w:shd w:val="clear" w:color="000000" w:fill="FFFFFF"/>
            <w:noWrap/>
            <w:hideMark/>
          </w:tcPr>
          <w:p w14:paraId="6ECFC1DB"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 xml:space="preserve">3 </w:t>
            </w:r>
          </w:p>
        </w:tc>
      </w:tr>
      <w:tr w:rsidR="00415E27" w:rsidRPr="00415E27" w14:paraId="0EAEED3F" w14:textId="77777777" w:rsidTr="008C0756">
        <w:trPr>
          <w:trHeight w:hRule="exact" w:val="284"/>
        </w:trPr>
        <w:tc>
          <w:tcPr>
            <w:tcW w:w="689" w:type="dxa"/>
            <w:tcBorders>
              <w:top w:val="nil"/>
              <w:left w:val="nil"/>
              <w:bottom w:val="nil"/>
              <w:right w:val="nil"/>
            </w:tcBorders>
            <w:shd w:val="clear" w:color="000000" w:fill="FFFFFF"/>
            <w:noWrap/>
            <w:hideMark/>
          </w:tcPr>
          <w:p w14:paraId="2793560E"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Yes</w:t>
            </w:r>
          </w:p>
        </w:tc>
        <w:tc>
          <w:tcPr>
            <w:tcW w:w="689" w:type="dxa"/>
            <w:tcBorders>
              <w:top w:val="nil"/>
              <w:left w:val="nil"/>
              <w:bottom w:val="nil"/>
              <w:right w:val="nil"/>
            </w:tcBorders>
            <w:shd w:val="clear" w:color="000000" w:fill="FFFFFF"/>
            <w:noWrap/>
            <w:hideMark/>
          </w:tcPr>
          <w:p w14:paraId="5A593100"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5</w:t>
            </w:r>
          </w:p>
        </w:tc>
        <w:tc>
          <w:tcPr>
            <w:tcW w:w="574" w:type="dxa"/>
            <w:tcBorders>
              <w:top w:val="nil"/>
              <w:left w:val="nil"/>
              <w:bottom w:val="nil"/>
              <w:right w:val="nil"/>
            </w:tcBorders>
            <w:shd w:val="clear" w:color="000000" w:fill="FFFFFF"/>
            <w:noWrap/>
            <w:hideMark/>
          </w:tcPr>
          <w:p w14:paraId="2AB9A5A4"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F07A</w:t>
            </w:r>
          </w:p>
        </w:tc>
        <w:tc>
          <w:tcPr>
            <w:tcW w:w="5304" w:type="dxa"/>
            <w:tcBorders>
              <w:top w:val="nil"/>
              <w:left w:val="nil"/>
              <w:bottom w:val="nil"/>
              <w:right w:val="nil"/>
            </w:tcBorders>
            <w:shd w:val="clear" w:color="000000" w:fill="FFFFFF"/>
            <w:noWrap/>
            <w:hideMark/>
          </w:tcPr>
          <w:p w14:paraId="2F1459D9" w14:textId="0A3982F9" w:rsidR="00415E27" w:rsidRPr="00415E27" w:rsidRDefault="00415E27" w:rsidP="00415E27">
            <w:pPr>
              <w:rPr>
                <w:color w:val="000000"/>
                <w:sz w:val="14"/>
                <w:szCs w:val="14"/>
                <w:lang w:val="en-US" w:eastAsia="en-US"/>
              </w:rPr>
            </w:pPr>
            <w:r w:rsidRPr="00415E27">
              <w:rPr>
                <w:color w:val="000000"/>
                <w:sz w:val="14"/>
                <w:szCs w:val="14"/>
                <w:lang w:val="en-US" w:eastAsia="en-US"/>
              </w:rPr>
              <w:t>Other Cardiothoracic/Vascular Procedures W CPB Pump, Major Complexity</w:t>
            </w:r>
          </w:p>
        </w:tc>
        <w:tc>
          <w:tcPr>
            <w:tcW w:w="761" w:type="dxa"/>
            <w:tcBorders>
              <w:top w:val="nil"/>
              <w:left w:val="nil"/>
              <w:bottom w:val="nil"/>
              <w:right w:val="nil"/>
            </w:tcBorders>
            <w:shd w:val="clear" w:color="000000" w:fill="FFFFFF"/>
            <w:noWrap/>
            <w:hideMark/>
          </w:tcPr>
          <w:p w14:paraId="3AC7A86F" w14:textId="77777777" w:rsidR="00415E27" w:rsidRPr="00415E27" w:rsidRDefault="00415E27" w:rsidP="00415E27">
            <w:pPr>
              <w:jc w:val="right"/>
              <w:rPr>
                <w:b/>
                <w:bCs/>
                <w:color w:val="000000"/>
                <w:sz w:val="14"/>
                <w:szCs w:val="14"/>
                <w:lang w:val="en-US" w:eastAsia="en-US"/>
              </w:rPr>
            </w:pPr>
            <w:r w:rsidRPr="00415E27">
              <w:rPr>
                <w:b/>
                <w:bCs/>
                <w:color w:val="000000"/>
                <w:sz w:val="14"/>
                <w:szCs w:val="14"/>
                <w:lang w:val="en-US" w:eastAsia="en-US"/>
              </w:rPr>
              <w:t>2.75</w:t>
            </w:r>
          </w:p>
        </w:tc>
        <w:tc>
          <w:tcPr>
            <w:tcW w:w="968" w:type="dxa"/>
            <w:tcBorders>
              <w:top w:val="nil"/>
              <w:left w:val="nil"/>
              <w:bottom w:val="nil"/>
              <w:right w:val="nil"/>
            </w:tcBorders>
            <w:shd w:val="clear" w:color="000000" w:fill="FFFFFF"/>
            <w:noWrap/>
            <w:hideMark/>
          </w:tcPr>
          <w:p w14:paraId="1895728F"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25</w:t>
            </w:r>
          </w:p>
        </w:tc>
        <w:tc>
          <w:tcPr>
            <w:tcW w:w="797" w:type="dxa"/>
            <w:tcBorders>
              <w:top w:val="nil"/>
              <w:left w:val="nil"/>
              <w:bottom w:val="nil"/>
              <w:right w:val="nil"/>
            </w:tcBorders>
            <w:shd w:val="clear" w:color="000000" w:fill="FFFFFF"/>
            <w:noWrap/>
            <w:hideMark/>
          </w:tcPr>
          <w:p w14:paraId="38588F52"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13.20</w:t>
            </w:r>
          </w:p>
        </w:tc>
        <w:tc>
          <w:tcPr>
            <w:tcW w:w="725" w:type="dxa"/>
            <w:tcBorders>
              <w:top w:val="nil"/>
              <w:left w:val="nil"/>
              <w:bottom w:val="nil"/>
              <w:right w:val="nil"/>
            </w:tcBorders>
            <w:shd w:val="clear" w:color="000000" w:fill="FFFFFF"/>
            <w:noWrap/>
            <w:hideMark/>
          </w:tcPr>
          <w:p w14:paraId="387F1F8C"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17.7</w:t>
            </w:r>
          </w:p>
        </w:tc>
        <w:tc>
          <w:tcPr>
            <w:tcW w:w="645" w:type="dxa"/>
            <w:tcBorders>
              <w:top w:val="nil"/>
              <w:left w:val="single" w:sz="4" w:space="0" w:color="000000"/>
              <w:bottom w:val="nil"/>
              <w:right w:val="nil"/>
            </w:tcBorders>
            <w:shd w:val="clear" w:color="000000" w:fill="FFFFFF"/>
            <w:noWrap/>
            <w:hideMark/>
          </w:tcPr>
          <w:p w14:paraId="7FEA00C4"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21%</w:t>
            </w:r>
          </w:p>
        </w:tc>
        <w:tc>
          <w:tcPr>
            <w:tcW w:w="797" w:type="dxa"/>
            <w:tcBorders>
              <w:top w:val="nil"/>
              <w:left w:val="nil"/>
              <w:bottom w:val="nil"/>
              <w:right w:val="nil"/>
            </w:tcBorders>
            <w:shd w:val="clear" w:color="000000" w:fill="FFFFFF"/>
            <w:noWrap/>
            <w:hideMark/>
          </w:tcPr>
          <w:p w14:paraId="4F2C6746"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38%</w:t>
            </w:r>
          </w:p>
        </w:tc>
        <w:tc>
          <w:tcPr>
            <w:tcW w:w="814" w:type="dxa"/>
            <w:tcBorders>
              <w:top w:val="nil"/>
              <w:left w:val="nil"/>
              <w:bottom w:val="nil"/>
              <w:right w:val="nil"/>
            </w:tcBorders>
            <w:shd w:val="clear" w:color="000000" w:fill="FFFFFF"/>
            <w:noWrap/>
            <w:hideMark/>
          </w:tcPr>
          <w:p w14:paraId="7582BCDF"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8%</w:t>
            </w:r>
          </w:p>
        </w:tc>
        <w:tc>
          <w:tcPr>
            <w:tcW w:w="845" w:type="dxa"/>
            <w:tcBorders>
              <w:top w:val="nil"/>
              <w:left w:val="nil"/>
              <w:bottom w:val="nil"/>
              <w:right w:val="nil"/>
            </w:tcBorders>
            <w:shd w:val="clear" w:color="000000" w:fill="FFFFFF"/>
            <w:noWrap/>
            <w:hideMark/>
          </w:tcPr>
          <w:p w14:paraId="3394AC0D"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33%</w:t>
            </w:r>
          </w:p>
        </w:tc>
        <w:tc>
          <w:tcPr>
            <w:tcW w:w="761" w:type="dxa"/>
            <w:tcBorders>
              <w:top w:val="nil"/>
              <w:left w:val="single" w:sz="4" w:space="0" w:color="auto"/>
              <w:bottom w:val="nil"/>
              <w:right w:val="nil"/>
            </w:tcBorders>
            <w:shd w:val="clear" w:color="000000" w:fill="FFFFFF"/>
            <w:noWrap/>
            <w:hideMark/>
          </w:tcPr>
          <w:p w14:paraId="69993E12"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1.79</w:t>
            </w:r>
          </w:p>
        </w:tc>
        <w:tc>
          <w:tcPr>
            <w:tcW w:w="761" w:type="dxa"/>
            <w:tcBorders>
              <w:top w:val="nil"/>
              <w:left w:val="nil"/>
              <w:bottom w:val="nil"/>
              <w:right w:val="nil"/>
            </w:tcBorders>
            <w:shd w:val="clear" w:color="000000" w:fill="FFFFFF"/>
            <w:noWrap/>
            <w:hideMark/>
          </w:tcPr>
          <w:p w14:paraId="36EF2017"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 xml:space="preserve">18 </w:t>
            </w:r>
          </w:p>
        </w:tc>
      </w:tr>
      <w:tr w:rsidR="00415E27" w:rsidRPr="00415E27" w14:paraId="318395B2" w14:textId="77777777" w:rsidTr="008C0756">
        <w:trPr>
          <w:trHeight w:hRule="exact" w:val="284"/>
        </w:trPr>
        <w:tc>
          <w:tcPr>
            <w:tcW w:w="689" w:type="dxa"/>
            <w:tcBorders>
              <w:top w:val="nil"/>
              <w:left w:val="nil"/>
              <w:bottom w:val="nil"/>
              <w:right w:val="nil"/>
            </w:tcBorders>
            <w:shd w:val="clear" w:color="000000" w:fill="FFFFFF"/>
            <w:noWrap/>
            <w:hideMark/>
          </w:tcPr>
          <w:p w14:paraId="67D04A06"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Yes</w:t>
            </w:r>
          </w:p>
        </w:tc>
        <w:tc>
          <w:tcPr>
            <w:tcW w:w="689" w:type="dxa"/>
            <w:tcBorders>
              <w:top w:val="nil"/>
              <w:left w:val="nil"/>
              <w:bottom w:val="nil"/>
              <w:right w:val="nil"/>
            </w:tcBorders>
            <w:shd w:val="clear" w:color="000000" w:fill="FFFFFF"/>
            <w:noWrap/>
            <w:hideMark/>
          </w:tcPr>
          <w:p w14:paraId="3CB4B49A"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6</w:t>
            </w:r>
          </w:p>
        </w:tc>
        <w:tc>
          <w:tcPr>
            <w:tcW w:w="574" w:type="dxa"/>
            <w:tcBorders>
              <w:top w:val="nil"/>
              <w:left w:val="nil"/>
              <w:bottom w:val="nil"/>
              <w:right w:val="nil"/>
            </w:tcBorders>
            <w:shd w:val="clear" w:color="000000" w:fill="FFFFFF"/>
            <w:noWrap/>
            <w:hideMark/>
          </w:tcPr>
          <w:p w14:paraId="7B814B6A"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F03A</w:t>
            </w:r>
          </w:p>
        </w:tc>
        <w:tc>
          <w:tcPr>
            <w:tcW w:w="5304" w:type="dxa"/>
            <w:tcBorders>
              <w:top w:val="nil"/>
              <w:left w:val="nil"/>
              <w:bottom w:val="nil"/>
              <w:right w:val="nil"/>
            </w:tcBorders>
            <w:shd w:val="clear" w:color="000000" w:fill="FFFFFF"/>
            <w:noWrap/>
            <w:hideMark/>
          </w:tcPr>
          <w:p w14:paraId="2A3708B0"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Cardiac Valve Procedures W CPB Pump W Invasive Cardiac Investigation, Major Comp</w:t>
            </w:r>
          </w:p>
        </w:tc>
        <w:tc>
          <w:tcPr>
            <w:tcW w:w="761" w:type="dxa"/>
            <w:tcBorders>
              <w:top w:val="nil"/>
              <w:left w:val="nil"/>
              <w:bottom w:val="nil"/>
              <w:right w:val="nil"/>
            </w:tcBorders>
            <w:shd w:val="clear" w:color="000000" w:fill="FFFFFF"/>
            <w:noWrap/>
            <w:hideMark/>
          </w:tcPr>
          <w:p w14:paraId="1C550010" w14:textId="77777777" w:rsidR="00415E27" w:rsidRPr="00415E27" w:rsidRDefault="00415E27" w:rsidP="00415E27">
            <w:pPr>
              <w:jc w:val="right"/>
              <w:rPr>
                <w:b/>
                <w:bCs/>
                <w:color w:val="000000"/>
                <w:sz w:val="14"/>
                <w:szCs w:val="14"/>
                <w:lang w:val="en-US" w:eastAsia="en-US"/>
              </w:rPr>
            </w:pPr>
            <w:r w:rsidRPr="00415E27">
              <w:rPr>
                <w:b/>
                <w:bCs/>
                <w:color w:val="000000"/>
                <w:sz w:val="14"/>
                <w:szCs w:val="14"/>
                <w:lang w:val="en-US" w:eastAsia="en-US"/>
              </w:rPr>
              <w:t>2.63</w:t>
            </w:r>
          </w:p>
        </w:tc>
        <w:tc>
          <w:tcPr>
            <w:tcW w:w="968" w:type="dxa"/>
            <w:tcBorders>
              <w:top w:val="nil"/>
              <w:left w:val="nil"/>
              <w:bottom w:val="nil"/>
              <w:right w:val="nil"/>
            </w:tcBorders>
            <w:shd w:val="clear" w:color="000000" w:fill="FFFFFF"/>
            <w:noWrap/>
            <w:hideMark/>
          </w:tcPr>
          <w:p w14:paraId="03F01B2A"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336</w:t>
            </w:r>
          </w:p>
        </w:tc>
        <w:tc>
          <w:tcPr>
            <w:tcW w:w="797" w:type="dxa"/>
            <w:tcBorders>
              <w:top w:val="nil"/>
              <w:left w:val="nil"/>
              <w:bottom w:val="nil"/>
              <w:right w:val="nil"/>
            </w:tcBorders>
            <w:shd w:val="clear" w:color="000000" w:fill="FFFFFF"/>
            <w:noWrap/>
            <w:hideMark/>
          </w:tcPr>
          <w:p w14:paraId="2D4EDA53"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13.83</w:t>
            </w:r>
          </w:p>
        </w:tc>
        <w:tc>
          <w:tcPr>
            <w:tcW w:w="725" w:type="dxa"/>
            <w:tcBorders>
              <w:top w:val="nil"/>
              <w:left w:val="nil"/>
              <w:bottom w:val="nil"/>
              <w:right w:val="nil"/>
            </w:tcBorders>
            <w:shd w:val="clear" w:color="000000" w:fill="FFFFFF"/>
            <w:noWrap/>
            <w:hideMark/>
          </w:tcPr>
          <w:p w14:paraId="451A613E"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20.0</w:t>
            </w:r>
          </w:p>
        </w:tc>
        <w:tc>
          <w:tcPr>
            <w:tcW w:w="645" w:type="dxa"/>
            <w:tcBorders>
              <w:top w:val="nil"/>
              <w:left w:val="single" w:sz="4" w:space="0" w:color="000000"/>
              <w:bottom w:val="nil"/>
              <w:right w:val="nil"/>
            </w:tcBorders>
            <w:shd w:val="clear" w:color="000000" w:fill="FFFFFF"/>
            <w:noWrap/>
            <w:hideMark/>
          </w:tcPr>
          <w:p w14:paraId="20115F1E"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19%</w:t>
            </w:r>
          </w:p>
        </w:tc>
        <w:tc>
          <w:tcPr>
            <w:tcW w:w="797" w:type="dxa"/>
            <w:tcBorders>
              <w:top w:val="nil"/>
              <w:left w:val="nil"/>
              <w:bottom w:val="nil"/>
              <w:right w:val="nil"/>
            </w:tcBorders>
            <w:shd w:val="clear" w:color="000000" w:fill="FFFFFF"/>
            <w:noWrap/>
            <w:hideMark/>
          </w:tcPr>
          <w:p w14:paraId="557AC256"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30%</w:t>
            </w:r>
          </w:p>
        </w:tc>
        <w:tc>
          <w:tcPr>
            <w:tcW w:w="814" w:type="dxa"/>
            <w:tcBorders>
              <w:top w:val="nil"/>
              <w:left w:val="nil"/>
              <w:bottom w:val="nil"/>
              <w:right w:val="nil"/>
            </w:tcBorders>
            <w:shd w:val="clear" w:color="000000" w:fill="FFFFFF"/>
            <w:noWrap/>
            <w:hideMark/>
          </w:tcPr>
          <w:p w14:paraId="617E3F2C"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20%</w:t>
            </w:r>
          </w:p>
        </w:tc>
        <w:tc>
          <w:tcPr>
            <w:tcW w:w="845" w:type="dxa"/>
            <w:tcBorders>
              <w:top w:val="nil"/>
              <w:left w:val="nil"/>
              <w:bottom w:val="nil"/>
              <w:right w:val="nil"/>
            </w:tcBorders>
            <w:shd w:val="clear" w:color="000000" w:fill="FFFFFF"/>
            <w:noWrap/>
            <w:hideMark/>
          </w:tcPr>
          <w:p w14:paraId="434A6455"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31%</w:t>
            </w:r>
          </w:p>
        </w:tc>
        <w:tc>
          <w:tcPr>
            <w:tcW w:w="761" w:type="dxa"/>
            <w:tcBorders>
              <w:top w:val="nil"/>
              <w:left w:val="single" w:sz="4" w:space="0" w:color="auto"/>
              <w:bottom w:val="nil"/>
              <w:right w:val="nil"/>
            </w:tcBorders>
            <w:shd w:val="clear" w:color="000000" w:fill="FFFFFF"/>
            <w:noWrap/>
            <w:hideMark/>
          </w:tcPr>
          <w:p w14:paraId="17F7F98E"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2.36</w:t>
            </w:r>
          </w:p>
        </w:tc>
        <w:tc>
          <w:tcPr>
            <w:tcW w:w="761" w:type="dxa"/>
            <w:tcBorders>
              <w:top w:val="nil"/>
              <w:left w:val="nil"/>
              <w:bottom w:val="nil"/>
              <w:right w:val="nil"/>
            </w:tcBorders>
            <w:shd w:val="clear" w:color="000000" w:fill="FFFFFF"/>
            <w:noWrap/>
            <w:hideMark/>
          </w:tcPr>
          <w:p w14:paraId="1F2D8CE9"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 xml:space="preserve">6 </w:t>
            </w:r>
          </w:p>
        </w:tc>
      </w:tr>
      <w:tr w:rsidR="00415E27" w:rsidRPr="00415E27" w14:paraId="78321D56" w14:textId="77777777" w:rsidTr="008C0756">
        <w:trPr>
          <w:trHeight w:hRule="exact" w:val="284"/>
        </w:trPr>
        <w:tc>
          <w:tcPr>
            <w:tcW w:w="689" w:type="dxa"/>
            <w:tcBorders>
              <w:top w:val="nil"/>
              <w:left w:val="nil"/>
              <w:bottom w:val="nil"/>
              <w:right w:val="nil"/>
            </w:tcBorders>
            <w:shd w:val="clear" w:color="000000" w:fill="FFFFFF"/>
            <w:noWrap/>
            <w:hideMark/>
          </w:tcPr>
          <w:p w14:paraId="20129958"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Yes</w:t>
            </w:r>
          </w:p>
        </w:tc>
        <w:tc>
          <w:tcPr>
            <w:tcW w:w="689" w:type="dxa"/>
            <w:tcBorders>
              <w:top w:val="nil"/>
              <w:left w:val="nil"/>
              <w:bottom w:val="nil"/>
              <w:right w:val="nil"/>
            </w:tcBorders>
            <w:shd w:val="clear" w:color="000000" w:fill="FFFFFF"/>
            <w:noWrap/>
            <w:hideMark/>
          </w:tcPr>
          <w:p w14:paraId="049189FB"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7</w:t>
            </w:r>
          </w:p>
        </w:tc>
        <w:tc>
          <w:tcPr>
            <w:tcW w:w="574" w:type="dxa"/>
            <w:tcBorders>
              <w:top w:val="nil"/>
              <w:left w:val="nil"/>
              <w:bottom w:val="nil"/>
              <w:right w:val="nil"/>
            </w:tcBorders>
            <w:shd w:val="clear" w:color="000000" w:fill="FFFFFF"/>
            <w:noWrap/>
            <w:hideMark/>
          </w:tcPr>
          <w:p w14:paraId="5E6720D2"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F05A</w:t>
            </w:r>
          </w:p>
        </w:tc>
        <w:tc>
          <w:tcPr>
            <w:tcW w:w="5304" w:type="dxa"/>
            <w:tcBorders>
              <w:top w:val="nil"/>
              <w:left w:val="nil"/>
              <w:bottom w:val="nil"/>
              <w:right w:val="nil"/>
            </w:tcBorders>
            <w:shd w:val="clear" w:color="000000" w:fill="FFFFFF"/>
            <w:noWrap/>
            <w:hideMark/>
          </w:tcPr>
          <w:p w14:paraId="356312CC"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Coronary Bypass W Invasive Cardiac Investigation, Major Complexity</w:t>
            </w:r>
          </w:p>
        </w:tc>
        <w:tc>
          <w:tcPr>
            <w:tcW w:w="761" w:type="dxa"/>
            <w:tcBorders>
              <w:top w:val="nil"/>
              <w:left w:val="nil"/>
              <w:bottom w:val="nil"/>
              <w:right w:val="nil"/>
            </w:tcBorders>
            <w:shd w:val="clear" w:color="000000" w:fill="FFFFFF"/>
            <w:noWrap/>
            <w:hideMark/>
          </w:tcPr>
          <w:p w14:paraId="34D4F546" w14:textId="77777777" w:rsidR="00415E27" w:rsidRPr="00415E27" w:rsidRDefault="00415E27" w:rsidP="00415E27">
            <w:pPr>
              <w:jc w:val="right"/>
              <w:rPr>
                <w:b/>
                <w:bCs/>
                <w:color w:val="000000"/>
                <w:sz w:val="14"/>
                <w:szCs w:val="14"/>
                <w:lang w:val="en-US" w:eastAsia="en-US"/>
              </w:rPr>
            </w:pPr>
            <w:r w:rsidRPr="00415E27">
              <w:rPr>
                <w:b/>
                <w:bCs/>
                <w:color w:val="000000"/>
                <w:sz w:val="14"/>
                <w:szCs w:val="14"/>
                <w:lang w:val="en-US" w:eastAsia="en-US"/>
              </w:rPr>
              <w:t>2.61</w:t>
            </w:r>
          </w:p>
        </w:tc>
        <w:tc>
          <w:tcPr>
            <w:tcW w:w="968" w:type="dxa"/>
            <w:tcBorders>
              <w:top w:val="nil"/>
              <w:left w:val="nil"/>
              <w:bottom w:val="nil"/>
              <w:right w:val="nil"/>
            </w:tcBorders>
            <w:shd w:val="clear" w:color="000000" w:fill="FFFFFF"/>
            <w:noWrap/>
            <w:hideMark/>
          </w:tcPr>
          <w:p w14:paraId="68D25E1C"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433</w:t>
            </w:r>
          </w:p>
        </w:tc>
        <w:tc>
          <w:tcPr>
            <w:tcW w:w="797" w:type="dxa"/>
            <w:tcBorders>
              <w:top w:val="nil"/>
              <w:left w:val="nil"/>
              <w:bottom w:val="nil"/>
              <w:right w:val="nil"/>
            </w:tcBorders>
            <w:shd w:val="clear" w:color="000000" w:fill="FFFFFF"/>
            <w:noWrap/>
            <w:hideMark/>
          </w:tcPr>
          <w:p w14:paraId="697156A6"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12.03</w:t>
            </w:r>
          </w:p>
        </w:tc>
        <w:tc>
          <w:tcPr>
            <w:tcW w:w="725" w:type="dxa"/>
            <w:tcBorders>
              <w:top w:val="nil"/>
              <w:left w:val="nil"/>
              <w:bottom w:val="nil"/>
              <w:right w:val="nil"/>
            </w:tcBorders>
            <w:shd w:val="clear" w:color="000000" w:fill="FFFFFF"/>
            <w:noWrap/>
            <w:hideMark/>
          </w:tcPr>
          <w:p w14:paraId="3C160F86"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17.2</w:t>
            </w:r>
          </w:p>
        </w:tc>
        <w:tc>
          <w:tcPr>
            <w:tcW w:w="645" w:type="dxa"/>
            <w:tcBorders>
              <w:top w:val="nil"/>
              <w:left w:val="single" w:sz="4" w:space="0" w:color="000000"/>
              <w:bottom w:val="nil"/>
              <w:right w:val="nil"/>
            </w:tcBorders>
            <w:shd w:val="clear" w:color="000000" w:fill="FFFFFF"/>
            <w:noWrap/>
            <w:hideMark/>
          </w:tcPr>
          <w:p w14:paraId="355E4CC4"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22%</w:t>
            </w:r>
          </w:p>
        </w:tc>
        <w:tc>
          <w:tcPr>
            <w:tcW w:w="797" w:type="dxa"/>
            <w:tcBorders>
              <w:top w:val="nil"/>
              <w:left w:val="nil"/>
              <w:bottom w:val="nil"/>
              <w:right w:val="nil"/>
            </w:tcBorders>
            <w:shd w:val="clear" w:color="000000" w:fill="FFFFFF"/>
            <w:noWrap/>
            <w:hideMark/>
          </w:tcPr>
          <w:p w14:paraId="7DB3C0CF"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40%</w:t>
            </w:r>
          </w:p>
        </w:tc>
        <w:tc>
          <w:tcPr>
            <w:tcW w:w="814" w:type="dxa"/>
            <w:tcBorders>
              <w:top w:val="nil"/>
              <w:left w:val="nil"/>
              <w:bottom w:val="nil"/>
              <w:right w:val="nil"/>
            </w:tcBorders>
            <w:shd w:val="clear" w:color="000000" w:fill="FFFFFF"/>
            <w:noWrap/>
            <w:hideMark/>
          </w:tcPr>
          <w:p w14:paraId="73F8BB95"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8%</w:t>
            </w:r>
          </w:p>
        </w:tc>
        <w:tc>
          <w:tcPr>
            <w:tcW w:w="845" w:type="dxa"/>
            <w:tcBorders>
              <w:top w:val="nil"/>
              <w:left w:val="nil"/>
              <w:bottom w:val="nil"/>
              <w:right w:val="nil"/>
            </w:tcBorders>
            <w:shd w:val="clear" w:color="000000" w:fill="FFFFFF"/>
            <w:noWrap/>
            <w:hideMark/>
          </w:tcPr>
          <w:p w14:paraId="28414309"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30%</w:t>
            </w:r>
          </w:p>
        </w:tc>
        <w:tc>
          <w:tcPr>
            <w:tcW w:w="761" w:type="dxa"/>
            <w:tcBorders>
              <w:top w:val="nil"/>
              <w:left w:val="single" w:sz="4" w:space="0" w:color="auto"/>
              <w:bottom w:val="nil"/>
              <w:right w:val="nil"/>
            </w:tcBorders>
            <w:shd w:val="clear" w:color="000000" w:fill="FFFFFF"/>
            <w:noWrap/>
            <w:hideMark/>
          </w:tcPr>
          <w:p w14:paraId="6AB56624"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2.14</w:t>
            </w:r>
          </w:p>
        </w:tc>
        <w:tc>
          <w:tcPr>
            <w:tcW w:w="761" w:type="dxa"/>
            <w:tcBorders>
              <w:top w:val="nil"/>
              <w:left w:val="nil"/>
              <w:bottom w:val="nil"/>
              <w:right w:val="nil"/>
            </w:tcBorders>
            <w:shd w:val="clear" w:color="000000" w:fill="FFFFFF"/>
            <w:noWrap/>
            <w:hideMark/>
          </w:tcPr>
          <w:p w14:paraId="4C1C63EB"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 xml:space="preserve">9 </w:t>
            </w:r>
          </w:p>
        </w:tc>
      </w:tr>
      <w:tr w:rsidR="00415E27" w:rsidRPr="00415E27" w14:paraId="24E0892D" w14:textId="77777777" w:rsidTr="008C0756">
        <w:trPr>
          <w:trHeight w:hRule="exact" w:val="284"/>
        </w:trPr>
        <w:tc>
          <w:tcPr>
            <w:tcW w:w="689" w:type="dxa"/>
            <w:tcBorders>
              <w:top w:val="nil"/>
              <w:left w:val="nil"/>
              <w:bottom w:val="nil"/>
              <w:right w:val="nil"/>
            </w:tcBorders>
            <w:shd w:val="clear" w:color="000000" w:fill="FFFFFF"/>
            <w:noWrap/>
            <w:hideMark/>
          </w:tcPr>
          <w:p w14:paraId="359C6CD2"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Yes</w:t>
            </w:r>
          </w:p>
        </w:tc>
        <w:tc>
          <w:tcPr>
            <w:tcW w:w="689" w:type="dxa"/>
            <w:tcBorders>
              <w:top w:val="nil"/>
              <w:left w:val="nil"/>
              <w:bottom w:val="nil"/>
              <w:right w:val="nil"/>
            </w:tcBorders>
            <w:shd w:val="clear" w:color="000000" w:fill="FFFFFF"/>
            <w:noWrap/>
            <w:hideMark/>
          </w:tcPr>
          <w:p w14:paraId="4D078270"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8</w:t>
            </w:r>
          </w:p>
        </w:tc>
        <w:tc>
          <w:tcPr>
            <w:tcW w:w="574" w:type="dxa"/>
            <w:tcBorders>
              <w:top w:val="nil"/>
              <w:left w:val="nil"/>
              <w:bottom w:val="nil"/>
              <w:right w:val="nil"/>
            </w:tcBorders>
            <w:shd w:val="clear" w:color="000000" w:fill="FFFFFF"/>
            <w:noWrap/>
            <w:hideMark/>
          </w:tcPr>
          <w:p w14:paraId="3423EDD6" w14:textId="46AE6B7E" w:rsidR="00415E27" w:rsidRPr="00415E27" w:rsidRDefault="00415E27" w:rsidP="00415E27">
            <w:pPr>
              <w:rPr>
                <w:color w:val="000000"/>
                <w:sz w:val="14"/>
                <w:szCs w:val="14"/>
                <w:lang w:val="en-US" w:eastAsia="en-US"/>
              </w:rPr>
            </w:pPr>
            <w:r w:rsidRPr="00415E27">
              <w:rPr>
                <w:color w:val="000000"/>
                <w:sz w:val="14"/>
                <w:szCs w:val="14"/>
                <w:lang w:val="en-US" w:eastAsia="en-US"/>
              </w:rPr>
              <w:t>F04A</w:t>
            </w:r>
          </w:p>
        </w:tc>
        <w:tc>
          <w:tcPr>
            <w:tcW w:w="5304" w:type="dxa"/>
            <w:tcBorders>
              <w:top w:val="nil"/>
              <w:left w:val="nil"/>
              <w:bottom w:val="nil"/>
              <w:right w:val="nil"/>
            </w:tcBorders>
            <w:shd w:val="clear" w:color="000000" w:fill="FFFFFF"/>
            <w:noWrap/>
            <w:hideMark/>
          </w:tcPr>
          <w:p w14:paraId="6167FAD7"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Cardiac Valve Procedures W CPB Pump W/O Invasive Cardiac Invest, Major Comp</w:t>
            </w:r>
          </w:p>
        </w:tc>
        <w:tc>
          <w:tcPr>
            <w:tcW w:w="761" w:type="dxa"/>
            <w:tcBorders>
              <w:top w:val="nil"/>
              <w:left w:val="nil"/>
              <w:bottom w:val="nil"/>
              <w:right w:val="nil"/>
            </w:tcBorders>
            <w:shd w:val="clear" w:color="000000" w:fill="FFFFFF"/>
            <w:noWrap/>
            <w:hideMark/>
          </w:tcPr>
          <w:p w14:paraId="6D0EEA9C" w14:textId="77777777" w:rsidR="00415E27" w:rsidRPr="00415E27" w:rsidRDefault="00415E27" w:rsidP="00415E27">
            <w:pPr>
              <w:jc w:val="right"/>
              <w:rPr>
                <w:b/>
                <w:bCs/>
                <w:color w:val="000000"/>
                <w:sz w:val="14"/>
                <w:szCs w:val="14"/>
                <w:lang w:val="en-US" w:eastAsia="en-US"/>
              </w:rPr>
            </w:pPr>
            <w:r w:rsidRPr="00415E27">
              <w:rPr>
                <w:b/>
                <w:bCs/>
                <w:color w:val="000000"/>
                <w:sz w:val="14"/>
                <w:szCs w:val="14"/>
                <w:lang w:val="en-US" w:eastAsia="en-US"/>
              </w:rPr>
              <w:t>2.34</w:t>
            </w:r>
          </w:p>
        </w:tc>
        <w:tc>
          <w:tcPr>
            <w:tcW w:w="968" w:type="dxa"/>
            <w:tcBorders>
              <w:top w:val="nil"/>
              <w:left w:val="nil"/>
              <w:bottom w:val="nil"/>
              <w:right w:val="nil"/>
            </w:tcBorders>
            <w:shd w:val="clear" w:color="000000" w:fill="FFFFFF"/>
            <w:noWrap/>
            <w:hideMark/>
          </w:tcPr>
          <w:p w14:paraId="704B6113"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291</w:t>
            </w:r>
          </w:p>
        </w:tc>
        <w:tc>
          <w:tcPr>
            <w:tcW w:w="797" w:type="dxa"/>
            <w:tcBorders>
              <w:top w:val="nil"/>
              <w:left w:val="nil"/>
              <w:bottom w:val="nil"/>
              <w:right w:val="nil"/>
            </w:tcBorders>
            <w:shd w:val="clear" w:color="000000" w:fill="FFFFFF"/>
            <w:noWrap/>
            <w:hideMark/>
          </w:tcPr>
          <w:p w14:paraId="16D8003A"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16.52</w:t>
            </w:r>
          </w:p>
        </w:tc>
        <w:tc>
          <w:tcPr>
            <w:tcW w:w="725" w:type="dxa"/>
            <w:tcBorders>
              <w:top w:val="nil"/>
              <w:left w:val="nil"/>
              <w:bottom w:val="nil"/>
              <w:right w:val="nil"/>
            </w:tcBorders>
            <w:shd w:val="clear" w:color="000000" w:fill="FFFFFF"/>
            <w:noWrap/>
            <w:hideMark/>
          </w:tcPr>
          <w:p w14:paraId="778D8151"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24.4</w:t>
            </w:r>
          </w:p>
        </w:tc>
        <w:tc>
          <w:tcPr>
            <w:tcW w:w="645" w:type="dxa"/>
            <w:tcBorders>
              <w:top w:val="nil"/>
              <w:left w:val="single" w:sz="4" w:space="0" w:color="000000"/>
              <w:bottom w:val="nil"/>
              <w:right w:val="nil"/>
            </w:tcBorders>
            <w:shd w:val="clear" w:color="000000" w:fill="FFFFFF"/>
            <w:noWrap/>
            <w:hideMark/>
          </w:tcPr>
          <w:p w14:paraId="0AA6EEE0"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14%</w:t>
            </w:r>
          </w:p>
        </w:tc>
        <w:tc>
          <w:tcPr>
            <w:tcW w:w="797" w:type="dxa"/>
            <w:tcBorders>
              <w:top w:val="nil"/>
              <w:left w:val="nil"/>
              <w:bottom w:val="nil"/>
              <w:right w:val="nil"/>
            </w:tcBorders>
            <w:shd w:val="clear" w:color="000000" w:fill="FFFFFF"/>
            <w:noWrap/>
            <w:hideMark/>
          </w:tcPr>
          <w:p w14:paraId="4126B0F6"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35%</w:t>
            </w:r>
          </w:p>
        </w:tc>
        <w:tc>
          <w:tcPr>
            <w:tcW w:w="814" w:type="dxa"/>
            <w:tcBorders>
              <w:top w:val="nil"/>
              <w:left w:val="nil"/>
              <w:bottom w:val="nil"/>
              <w:right w:val="nil"/>
            </w:tcBorders>
            <w:shd w:val="clear" w:color="000000" w:fill="FFFFFF"/>
            <w:noWrap/>
            <w:hideMark/>
          </w:tcPr>
          <w:p w14:paraId="045F9FF1"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19%</w:t>
            </w:r>
          </w:p>
        </w:tc>
        <w:tc>
          <w:tcPr>
            <w:tcW w:w="845" w:type="dxa"/>
            <w:tcBorders>
              <w:top w:val="nil"/>
              <w:left w:val="nil"/>
              <w:bottom w:val="nil"/>
              <w:right w:val="nil"/>
            </w:tcBorders>
            <w:shd w:val="clear" w:color="000000" w:fill="FFFFFF"/>
            <w:noWrap/>
            <w:hideMark/>
          </w:tcPr>
          <w:p w14:paraId="63879A78"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32%</w:t>
            </w:r>
          </w:p>
        </w:tc>
        <w:tc>
          <w:tcPr>
            <w:tcW w:w="761" w:type="dxa"/>
            <w:tcBorders>
              <w:top w:val="nil"/>
              <w:left w:val="single" w:sz="4" w:space="0" w:color="auto"/>
              <w:bottom w:val="nil"/>
              <w:right w:val="nil"/>
            </w:tcBorders>
            <w:shd w:val="clear" w:color="000000" w:fill="FFFFFF"/>
            <w:noWrap/>
            <w:hideMark/>
          </w:tcPr>
          <w:p w14:paraId="643DD717"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2.41</w:t>
            </w:r>
          </w:p>
        </w:tc>
        <w:tc>
          <w:tcPr>
            <w:tcW w:w="761" w:type="dxa"/>
            <w:tcBorders>
              <w:top w:val="nil"/>
              <w:left w:val="nil"/>
              <w:bottom w:val="nil"/>
              <w:right w:val="nil"/>
            </w:tcBorders>
            <w:shd w:val="clear" w:color="000000" w:fill="FFFFFF"/>
            <w:noWrap/>
            <w:hideMark/>
          </w:tcPr>
          <w:p w14:paraId="337183F8"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 xml:space="preserve">4 </w:t>
            </w:r>
          </w:p>
        </w:tc>
      </w:tr>
      <w:tr w:rsidR="00415E27" w:rsidRPr="00415E27" w14:paraId="53BE5771" w14:textId="77777777" w:rsidTr="008C0756">
        <w:trPr>
          <w:trHeight w:hRule="exact" w:val="284"/>
        </w:trPr>
        <w:tc>
          <w:tcPr>
            <w:tcW w:w="689" w:type="dxa"/>
            <w:tcBorders>
              <w:top w:val="nil"/>
              <w:left w:val="nil"/>
              <w:bottom w:val="nil"/>
              <w:right w:val="nil"/>
            </w:tcBorders>
            <w:shd w:val="clear" w:color="000000" w:fill="FFFFFF"/>
            <w:noWrap/>
            <w:hideMark/>
          </w:tcPr>
          <w:p w14:paraId="54FB5325"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Yes</w:t>
            </w:r>
          </w:p>
        </w:tc>
        <w:tc>
          <w:tcPr>
            <w:tcW w:w="689" w:type="dxa"/>
            <w:tcBorders>
              <w:top w:val="nil"/>
              <w:left w:val="nil"/>
              <w:bottom w:val="nil"/>
              <w:right w:val="nil"/>
            </w:tcBorders>
            <w:shd w:val="clear" w:color="000000" w:fill="FFFFFF"/>
            <w:noWrap/>
            <w:hideMark/>
          </w:tcPr>
          <w:p w14:paraId="48B19D70"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9</w:t>
            </w:r>
          </w:p>
        </w:tc>
        <w:tc>
          <w:tcPr>
            <w:tcW w:w="574" w:type="dxa"/>
            <w:tcBorders>
              <w:top w:val="nil"/>
              <w:left w:val="nil"/>
              <w:bottom w:val="nil"/>
              <w:right w:val="nil"/>
            </w:tcBorders>
            <w:shd w:val="clear" w:color="000000" w:fill="FFFFFF"/>
            <w:noWrap/>
            <w:hideMark/>
          </w:tcPr>
          <w:p w14:paraId="60F1BA36"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F03B</w:t>
            </w:r>
          </w:p>
        </w:tc>
        <w:tc>
          <w:tcPr>
            <w:tcW w:w="5304" w:type="dxa"/>
            <w:tcBorders>
              <w:top w:val="nil"/>
              <w:left w:val="nil"/>
              <w:bottom w:val="nil"/>
              <w:right w:val="nil"/>
            </w:tcBorders>
            <w:shd w:val="clear" w:color="000000" w:fill="FFFFFF"/>
            <w:noWrap/>
            <w:hideMark/>
          </w:tcPr>
          <w:p w14:paraId="3481925E"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Cardiac Valve Procedures W CPB Pump W Invasive Cardiac Investigation, Minor Comp</w:t>
            </w:r>
          </w:p>
        </w:tc>
        <w:tc>
          <w:tcPr>
            <w:tcW w:w="761" w:type="dxa"/>
            <w:tcBorders>
              <w:top w:val="nil"/>
              <w:left w:val="nil"/>
              <w:bottom w:val="nil"/>
              <w:right w:val="nil"/>
            </w:tcBorders>
            <w:shd w:val="clear" w:color="000000" w:fill="FFFFFF"/>
            <w:noWrap/>
            <w:hideMark/>
          </w:tcPr>
          <w:p w14:paraId="69D8F770" w14:textId="77777777" w:rsidR="00415E27" w:rsidRPr="00415E27" w:rsidRDefault="00415E27" w:rsidP="00415E27">
            <w:pPr>
              <w:jc w:val="right"/>
              <w:rPr>
                <w:b/>
                <w:bCs/>
                <w:color w:val="000000"/>
                <w:sz w:val="14"/>
                <w:szCs w:val="14"/>
                <w:lang w:val="en-US" w:eastAsia="en-US"/>
              </w:rPr>
            </w:pPr>
            <w:r w:rsidRPr="00415E27">
              <w:rPr>
                <w:b/>
                <w:bCs/>
                <w:color w:val="000000"/>
                <w:sz w:val="14"/>
                <w:szCs w:val="14"/>
                <w:lang w:val="en-US" w:eastAsia="en-US"/>
              </w:rPr>
              <w:t>2.31</w:t>
            </w:r>
          </w:p>
        </w:tc>
        <w:tc>
          <w:tcPr>
            <w:tcW w:w="968" w:type="dxa"/>
            <w:tcBorders>
              <w:top w:val="nil"/>
              <w:left w:val="nil"/>
              <w:bottom w:val="nil"/>
              <w:right w:val="nil"/>
            </w:tcBorders>
            <w:shd w:val="clear" w:color="000000" w:fill="FFFFFF"/>
            <w:noWrap/>
            <w:hideMark/>
          </w:tcPr>
          <w:p w14:paraId="439974FB"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357</w:t>
            </w:r>
          </w:p>
        </w:tc>
        <w:tc>
          <w:tcPr>
            <w:tcW w:w="797" w:type="dxa"/>
            <w:tcBorders>
              <w:top w:val="nil"/>
              <w:left w:val="nil"/>
              <w:bottom w:val="nil"/>
              <w:right w:val="nil"/>
            </w:tcBorders>
            <w:shd w:val="clear" w:color="000000" w:fill="FFFFFF"/>
            <w:noWrap/>
            <w:hideMark/>
          </w:tcPr>
          <w:p w14:paraId="71298D3C"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10.22</w:t>
            </w:r>
          </w:p>
        </w:tc>
        <w:tc>
          <w:tcPr>
            <w:tcW w:w="725" w:type="dxa"/>
            <w:tcBorders>
              <w:top w:val="nil"/>
              <w:left w:val="nil"/>
              <w:bottom w:val="nil"/>
              <w:right w:val="nil"/>
            </w:tcBorders>
            <w:shd w:val="clear" w:color="000000" w:fill="FFFFFF"/>
            <w:noWrap/>
            <w:hideMark/>
          </w:tcPr>
          <w:p w14:paraId="621C1EA5"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13.3</w:t>
            </w:r>
          </w:p>
        </w:tc>
        <w:tc>
          <w:tcPr>
            <w:tcW w:w="645" w:type="dxa"/>
            <w:tcBorders>
              <w:top w:val="nil"/>
              <w:left w:val="single" w:sz="4" w:space="0" w:color="000000"/>
              <w:bottom w:val="nil"/>
              <w:right w:val="nil"/>
            </w:tcBorders>
            <w:shd w:val="clear" w:color="000000" w:fill="FFFFFF"/>
            <w:noWrap/>
            <w:hideMark/>
          </w:tcPr>
          <w:p w14:paraId="6BD096DA"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23%</w:t>
            </w:r>
          </w:p>
        </w:tc>
        <w:tc>
          <w:tcPr>
            <w:tcW w:w="797" w:type="dxa"/>
            <w:tcBorders>
              <w:top w:val="nil"/>
              <w:left w:val="nil"/>
              <w:bottom w:val="nil"/>
              <w:right w:val="nil"/>
            </w:tcBorders>
            <w:shd w:val="clear" w:color="000000" w:fill="FFFFFF"/>
            <w:noWrap/>
            <w:hideMark/>
          </w:tcPr>
          <w:p w14:paraId="3C380D26"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25%</w:t>
            </w:r>
          </w:p>
        </w:tc>
        <w:tc>
          <w:tcPr>
            <w:tcW w:w="814" w:type="dxa"/>
            <w:tcBorders>
              <w:top w:val="nil"/>
              <w:left w:val="nil"/>
              <w:bottom w:val="nil"/>
              <w:right w:val="nil"/>
            </w:tcBorders>
            <w:shd w:val="clear" w:color="000000" w:fill="FFFFFF"/>
            <w:noWrap/>
            <w:hideMark/>
          </w:tcPr>
          <w:p w14:paraId="4D5D50A2"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22%</w:t>
            </w:r>
          </w:p>
        </w:tc>
        <w:tc>
          <w:tcPr>
            <w:tcW w:w="845" w:type="dxa"/>
            <w:tcBorders>
              <w:top w:val="nil"/>
              <w:left w:val="nil"/>
              <w:bottom w:val="nil"/>
              <w:right w:val="nil"/>
            </w:tcBorders>
            <w:shd w:val="clear" w:color="000000" w:fill="FFFFFF"/>
            <w:noWrap/>
            <w:hideMark/>
          </w:tcPr>
          <w:p w14:paraId="0FEB2AED"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30%</w:t>
            </w:r>
          </w:p>
        </w:tc>
        <w:tc>
          <w:tcPr>
            <w:tcW w:w="761" w:type="dxa"/>
            <w:tcBorders>
              <w:top w:val="nil"/>
              <w:left w:val="single" w:sz="4" w:space="0" w:color="auto"/>
              <w:bottom w:val="nil"/>
              <w:right w:val="nil"/>
            </w:tcBorders>
            <w:shd w:val="clear" w:color="000000" w:fill="FFFFFF"/>
            <w:noWrap/>
            <w:hideMark/>
          </w:tcPr>
          <w:p w14:paraId="4BDA71EE"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2.13</w:t>
            </w:r>
          </w:p>
        </w:tc>
        <w:tc>
          <w:tcPr>
            <w:tcW w:w="761" w:type="dxa"/>
            <w:tcBorders>
              <w:top w:val="nil"/>
              <w:left w:val="nil"/>
              <w:bottom w:val="nil"/>
              <w:right w:val="nil"/>
            </w:tcBorders>
            <w:shd w:val="clear" w:color="000000" w:fill="FFFFFF"/>
            <w:noWrap/>
            <w:hideMark/>
          </w:tcPr>
          <w:p w14:paraId="16519B45"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 xml:space="preserve">10 </w:t>
            </w:r>
          </w:p>
        </w:tc>
      </w:tr>
      <w:tr w:rsidR="00415E27" w:rsidRPr="00415E27" w14:paraId="2B9C2075" w14:textId="77777777" w:rsidTr="008C0756">
        <w:trPr>
          <w:trHeight w:hRule="exact" w:val="284"/>
        </w:trPr>
        <w:tc>
          <w:tcPr>
            <w:tcW w:w="689" w:type="dxa"/>
            <w:tcBorders>
              <w:top w:val="nil"/>
              <w:left w:val="nil"/>
              <w:bottom w:val="nil"/>
              <w:right w:val="nil"/>
            </w:tcBorders>
            <w:shd w:val="clear" w:color="000000" w:fill="FFFFFF"/>
            <w:noWrap/>
            <w:hideMark/>
          </w:tcPr>
          <w:p w14:paraId="482D7ECA"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Yes</w:t>
            </w:r>
          </w:p>
        </w:tc>
        <w:tc>
          <w:tcPr>
            <w:tcW w:w="689" w:type="dxa"/>
            <w:tcBorders>
              <w:top w:val="nil"/>
              <w:left w:val="nil"/>
              <w:bottom w:val="nil"/>
              <w:right w:val="nil"/>
            </w:tcBorders>
            <w:shd w:val="clear" w:color="000000" w:fill="FFFFFF"/>
            <w:noWrap/>
            <w:hideMark/>
          </w:tcPr>
          <w:p w14:paraId="1465E513"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10</w:t>
            </w:r>
          </w:p>
        </w:tc>
        <w:tc>
          <w:tcPr>
            <w:tcW w:w="574" w:type="dxa"/>
            <w:tcBorders>
              <w:top w:val="nil"/>
              <w:left w:val="nil"/>
              <w:bottom w:val="nil"/>
              <w:right w:val="nil"/>
            </w:tcBorders>
            <w:shd w:val="clear" w:color="000000" w:fill="FFFFFF"/>
            <w:noWrap/>
            <w:hideMark/>
          </w:tcPr>
          <w:p w14:paraId="2411CDA4"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F05B</w:t>
            </w:r>
          </w:p>
        </w:tc>
        <w:tc>
          <w:tcPr>
            <w:tcW w:w="5304" w:type="dxa"/>
            <w:tcBorders>
              <w:top w:val="nil"/>
              <w:left w:val="nil"/>
              <w:bottom w:val="nil"/>
              <w:right w:val="nil"/>
            </w:tcBorders>
            <w:shd w:val="clear" w:color="000000" w:fill="FFFFFF"/>
            <w:noWrap/>
            <w:hideMark/>
          </w:tcPr>
          <w:p w14:paraId="5A0AC7D8"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Coronary Bypass W Invasive Cardiac Investigation, Minor Complexity</w:t>
            </w:r>
          </w:p>
        </w:tc>
        <w:tc>
          <w:tcPr>
            <w:tcW w:w="761" w:type="dxa"/>
            <w:tcBorders>
              <w:top w:val="nil"/>
              <w:left w:val="nil"/>
              <w:bottom w:val="nil"/>
              <w:right w:val="nil"/>
            </w:tcBorders>
            <w:shd w:val="clear" w:color="000000" w:fill="FFFFFF"/>
            <w:noWrap/>
            <w:hideMark/>
          </w:tcPr>
          <w:p w14:paraId="6AA19D4E" w14:textId="77777777" w:rsidR="00415E27" w:rsidRPr="00415E27" w:rsidRDefault="00415E27" w:rsidP="00415E27">
            <w:pPr>
              <w:jc w:val="right"/>
              <w:rPr>
                <w:b/>
                <w:bCs/>
                <w:color w:val="000000"/>
                <w:sz w:val="14"/>
                <w:szCs w:val="14"/>
                <w:lang w:val="en-US" w:eastAsia="en-US"/>
              </w:rPr>
            </w:pPr>
            <w:r w:rsidRPr="00415E27">
              <w:rPr>
                <w:b/>
                <w:bCs/>
                <w:color w:val="000000"/>
                <w:sz w:val="14"/>
                <w:szCs w:val="14"/>
                <w:lang w:val="en-US" w:eastAsia="en-US"/>
              </w:rPr>
              <w:t>2.20</w:t>
            </w:r>
          </w:p>
        </w:tc>
        <w:tc>
          <w:tcPr>
            <w:tcW w:w="968" w:type="dxa"/>
            <w:tcBorders>
              <w:top w:val="nil"/>
              <w:left w:val="nil"/>
              <w:bottom w:val="nil"/>
              <w:right w:val="nil"/>
            </w:tcBorders>
            <w:shd w:val="clear" w:color="000000" w:fill="FFFFFF"/>
            <w:noWrap/>
            <w:hideMark/>
          </w:tcPr>
          <w:p w14:paraId="551CB27E"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1,157</w:t>
            </w:r>
          </w:p>
        </w:tc>
        <w:tc>
          <w:tcPr>
            <w:tcW w:w="797" w:type="dxa"/>
            <w:tcBorders>
              <w:top w:val="nil"/>
              <w:left w:val="nil"/>
              <w:bottom w:val="nil"/>
              <w:right w:val="nil"/>
            </w:tcBorders>
            <w:shd w:val="clear" w:color="000000" w:fill="FFFFFF"/>
            <w:noWrap/>
            <w:hideMark/>
          </w:tcPr>
          <w:p w14:paraId="48F880F6"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8.69</w:t>
            </w:r>
          </w:p>
        </w:tc>
        <w:tc>
          <w:tcPr>
            <w:tcW w:w="725" w:type="dxa"/>
            <w:tcBorders>
              <w:top w:val="nil"/>
              <w:left w:val="nil"/>
              <w:bottom w:val="nil"/>
              <w:right w:val="nil"/>
            </w:tcBorders>
            <w:shd w:val="clear" w:color="000000" w:fill="FFFFFF"/>
            <w:noWrap/>
            <w:hideMark/>
          </w:tcPr>
          <w:p w14:paraId="00783A82"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12.2</w:t>
            </w:r>
          </w:p>
        </w:tc>
        <w:tc>
          <w:tcPr>
            <w:tcW w:w="645" w:type="dxa"/>
            <w:tcBorders>
              <w:top w:val="nil"/>
              <w:left w:val="single" w:sz="4" w:space="0" w:color="000000"/>
              <w:bottom w:val="nil"/>
              <w:right w:val="nil"/>
            </w:tcBorders>
            <w:shd w:val="clear" w:color="000000" w:fill="FFFFFF"/>
            <w:noWrap/>
            <w:hideMark/>
          </w:tcPr>
          <w:p w14:paraId="1F69383D"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25%</w:t>
            </w:r>
          </w:p>
        </w:tc>
        <w:tc>
          <w:tcPr>
            <w:tcW w:w="797" w:type="dxa"/>
            <w:tcBorders>
              <w:top w:val="nil"/>
              <w:left w:val="nil"/>
              <w:bottom w:val="nil"/>
              <w:right w:val="nil"/>
            </w:tcBorders>
            <w:shd w:val="clear" w:color="000000" w:fill="FFFFFF"/>
            <w:noWrap/>
            <w:hideMark/>
          </w:tcPr>
          <w:p w14:paraId="229F39AE"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37%</w:t>
            </w:r>
          </w:p>
        </w:tc>
        <w:tc>
          <w:tcPr>
            <w:tcW w:w="814" w:type="dxa"/>
            <w:tcBorders>
              <w:top w:val="nil"/>
              <w:left w:val="nil"/>
              <w:bottom w:val="nil"/>
              <w:right w:val="nil"/>
            </w:tcBorders>
            <w:shd w:val="clear" w:color="000000" w:fill="FFFFFF"/>
            <w:noWrap/>
            <w:hideMark/>
          </w:tcPr>
          <w:p w14:paraId="51748C0F"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4%</w:t>
            </w:r>
          </w:p>
        </w:tc>
        <w:tc>
          <w:tcPr>
            <w:tcW w:w="845" w:type="dxa"/>
            <w:tcBorders>
              <w:top w:val="nil"/>
              <w:left w:val="nil"/>
              <w:bottom w:val="nil"/>
              <w:right w:val="nil"/>
            </w:tcBorders>
            <w:shd w:val="clear" w:color="000000" w:fill="FFFFFF"/>
            <w:noWrap/>
            <w:hideMark/>
          </w:tcPr>
          <w:p w14:paraId="7F2DF459"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33%</w:t>
            </w:r>
          </w:p>
        </w:tc>
        <w:tc>
          <w:tcPr>
            <w:tcW w:w="761" w:type="dxa"/>
            <w:tcBorders>
              <w:top w:val="nil"/>
              <w:left w:val="single" w:sz="4" w:space="0" w:color="auto"/>
              <w:bottom w:val="nil"/>
              <w:right w:val="nil"/>
            </w:tcBorders>
            <w:shd w:val="clear" w:color="000000" w:fill="FFFFFF"/>
            <w:noWrap/>
            <w:hideMark/>
          </w:tcPr>
          <w:p w14:paraId="2103FB36"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1.90</w:t>
            </w:r>
          </w:p>
        </w:tc>
        <w:tc>
          <w:tcPr>
            <w:tcW w:w="761" w:type="dxa"/>
            <w:tcBorders>
              <w:top w:val="nil"/>
              <w:left w:val="nil"/>
              <w:bottom w:val="nil"/>
              <w:right w:val="nil"/>
            </w:tcBorders>
            <w:shd w:val="clear" w:color="000000" w:fill="FFFFFF"/>
            <w:noWrap/>
            <w:hideMark/>
          </w:tcPr>
          <w:p w14:paraId="30C90A47"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 xml:space="preserve">13 </w:t>
            </w:r>
          </w:p>
        </w:tc>
      </w:tr>
      <w:tr w:rsidR="00415E27" w:rsidRPr="00415E27" w14:paraId="05E32081" w14:textId="77777777" w:rsidTr="008C0756">
        <w:trPr>
          <w:trHeight w:hRule="exact" w:val="284"/>
        </w:trPr>
        <w:tc>
          <w:tcPr>
            <w:tcW w:w="689" w:type="dxa"/>
            <w:tcBorders>
              <w:top w:val="nil"/>
              <w:left w:val="nil"/>
              <w:bottom w:val="nil"/>
              <w:right w:val="nil"/>
            </w:tcBorders>
            <w:shd w:val="clear" w:color="000000" w:fill="FFFFFF"/>
            <w:noWrap/>
            <w:hideMark/>
          </w:tcPr>
          <w:p w14:paraId="1F95FA1A"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Yes</w:t>
            </w:r>
          </w:p>
        </w:tc>
        <w:tc>
          <w:tcPr>
            <w:tcW w:w="689" w:type="dxa"/>
            <w:tcBorders>
              <w:top w:val="nil"/>
              <w:left w:val="nil"/>
              <w:bottom w:val="nil"/>
              <w:right w:val="nil"/>
            </w:tcBorders>
            <w:shd w:val="clear" w:color="000000" w:fill="FFFFFF"/>
            <w:noWrap/>
            <w:hideMark/>
          </w:tcPr>
          <w:p w14:paraId="57A889DE"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11</w:t>
            </w:r>
          </w:p>
        </w:tc>
        <w:tc>
          <w:tcPr>
            <w:tcW w:w="574" w:type="dxa"/>
            <w:tcBorders>
              <w:top w:val="nil"/>
              <w:left w:val="nil"/>
              <w:bottom w:val="nil"/>
              <w:right w:val="nil"/>
            </w:tcBorders>
            <w:shd w:val="clear" w:color="000000" w:fill="FFFFFF"/>
            <w:noWrap/>
            <w:hideMark/>
          </w:tcPr>
          <w:p w14:paraId="77BDDBFE"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I02A</w:t>
            </w:r>
          </w:p>
        </w:tc>
        <w:tc>
          <w:tcPr>
            <w:tcW w:w="5304" w:type="dxa"/>
            <w:tcBorders>
              <w:top w:val="nil"/>
              <w:left w:val="nil"/>
              <w:bottom w:val="nil"/>
              <w:right w:val="nil"/>
            </w:tcBorders>
            <w:shd w:val="clear" w:color="000000" w:fill="FFFFFF"/>
            <w:noWrap/>
            <w:hideMark/>
          </w:tcPr>
          <w:p w14:paraId="49AD9104"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Microvascular Tissue Transfers or Skin Grafts, Excluding Hand, Major Complexity</w:t>
            </w:r>
          </w:p>
        </w:tc>
        <w:tc>
          <w:tcPr>
            <w:tcW w:w="761" w:type="dxa"/>
            <w:tcBorders>
              <w:top w:val="nil"/>
              <w:left w:val="nil"/>
              <w:bottom w:val="nil"/>
              <w:right w:val="nil"/>
            </w:tcBorders>
            <w:shd w:val="clear" w:color="000000" w:fill="FFFFFF"/>
            <w:noWrap/>
            <w:hideMark/>
          </w:tcPr>
          <w:p w14:paraId="22A1161B" w14:textId="77777777" w:rsidR="00415E27" w:rsidRPr="00415E27" w:rsidRDefault="00415E27" w:rsidP="00415E27">
            <w:pPr>
              <w:jc w:val="right"/>
              <w:rPr>
                <w:b/>
                <w:bCs/>
                <w:color w:val="000000"/>
                <w:sz w:val="14"/>
                <w:szCs w:val="14"/>
                <w:lang w:val="en-US" w:eastAsia="en-US"/>
              </w:rPr>
            </w:pPr>
            <w:r w:rsidRPr="00415E27">
              <w:rPr>
                <w:b/>
                <w:bCs/>
                <w:color w:val="000000"/>
                <w:sz w:val="14"/>
                <w:szCs w:val="14"/>
                <w:lang w:val="en-US" w:eastAsia="en-US"/>
              </w:rPr>
              <w:t>2.20</w:t>
            </w:r>
          </w:p>
        </w:tc>
        <w:tc>
          <w:tcPr>
            <w:tcW w:w="968" w:type="dxa"/>
            <w:tcBorders>
              <w:top w:val="nil"/>
              <w:left w:val="nil"/>
              <w:bottom w:val="nil"/>
              <w:right w:val="nil"/>
            </w:tcBorders>
            <w:shd w:val="clear" w:color="000000" w:fill="FFFFFF"/>
            <w:noWrap/>
            <w:hideMark/>
          </w:tcPr>
          <w:p w14:paraId="18D9C082"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103</w:t>
            </w:r>
          </w:p>
        </w:tc>
        <w:tc>
          <w:tcPr>
            <w:tcW w:w="797" w:type="dxa"/>
            <w:tcBorders>
              <w:top w:val="nil"/>
              <w:left w:val="nil"/>
              <w:bottom w:val="nil"/>
              <w:right w:val="nil"/>
            </w:tcBorders>
            <w:shd w:val="clear" w:color="000000" w:fill="FFFFFF"/>
            <w:noWrap/>
            <w:hideMark/>
          </w:tcPr>
          <w:p w14:paraId="74BB05A1"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16.66</w:t>
            </w:r>
          </w:p>
        </w:tc>
        <w:tc>
          <w:tcPr>
            <w:tcW w:w="725" w:type="dxa"/>
            <w:tcBorders>
              <w:top w:val="nil"/>
              <w:left w:val="nil"/>
              <w:bottom w:val="nil"/>
              <w:right w:val="nil"/>
            </w:tcBorders>
            <w:shd w:val="clear" w:color="000000" w:fill="FFFFFF"/>
            <w:noWrap/>
            <w:hideMark/>
          </w:tcPr>
          <w:p w14:paraId="45D3D97D"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50.6</w:t>
            </w:r>
          </w:p>
        </w:tc>
        <w:tc>
          <w:tcPr>
            <w:tcW w:w="645" w:type="dxa"/>
            <w:tcBorders>
              <w:top w:val="nil"/>
              <w:left w:val="single" w:sz="4" w:space="0" w:color="000000"/>
              <w:bottom w:val="nil"/>
              <w:right w:val="nil"/>
            </w:tcBorders>
            <w:shd w:val="clear" w:color="000000" w:fill="FFFFFF"/>
            <w:noWrap/>
            <w:hideMark/>
          </w:tcPr>
          <w:p w14:paraId="6B4B6EBE"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13%</w:t>
            </w:r>
          </w:p>
        </w:tc>
        <w:tc>
          <w:tcPr>
            <w:tcW w:w="797" w:type="dxa"/>
            <w:tcBorders>
              <w:top w:val="nil"/>
              <w:left w:val="nil"/>
              <w:bottom w:val="nil"/>
              <w:right w:val="nil"/>
            </w:tcBorders>
            <w:shd w:val="clear" w:color="000000" w:fill="FFFFFF"/>
            <w:noWrap/>
            <w:hideMark/>
          </w:tcPr>
          <w:p w14:paraId="47E4632A"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6%</w:t>
            </w:r>
          </w:p>
        </w:tc>
        <w:tc>
          <w:tcPr>
            <w:tcW w:w="814" w:type="dxa"/>
            <w:tcBorders>
              <w:top w:val="nil"/>
              <w:left w:val="nil"/>
              <w:bottom w:val="nil"/>
              <w:right w:val="nil"/>
            </w:tcBorders>
            <w:shd w:val="clear" w:color="000000" w:fill="FFFFFF"/>
            <w:noWrap/>
            <w:hideMark/>
          </w:tcPr>
          <w:p w14:paraId="1FBD0AB7"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11%</w:t>
            </w:r>
          </w:p>
        </w:tc>
        <w:tc>
          <w:tcPr>
            <w:tcW w:w="845" w:type="dxa"/>
            <w:tcBorders>
              <w:top w:val="nil"/>
              <w:left w:val="nil"/>
              <w:bottom w:val="nil"/>
              <w:right w:val="nil"/>
            </w:tcBorders>
            <w:shd w:val="clear" w:color="000000" w:fill="FFFFFF"/>
            <w:noWrap/>
            <w:hideMark/>
          </w:tcPr>
          <w:p w14:paraId="3250DAC2"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70%</w:t>
            </w:r>
          </w:p>
        </w:tc>
        <w:tc>
          <w:tcPr>
            <w:tcW w:w="761" w:type="dxa"/>
            <w:tcBorders>
              <w:top w:val="nil"/>
              <w:left w:val="single" w:sz="4" w:space="0" w:color="auto"/>
              <w:bottom w:val="nil"/>
              <w:right w:val="nil"/>
            </w:tcBorders>
            <w:shd w:val="clear" w:color="000000" w:fill="FFFFFF"/>
            <w:noWrap/>
            <w:hideMark/>
          </w:tcPr>
          <w:p w14:paraId="62E51ADE"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2.38</w:t>
            </w:r>
          </w:p>
        </w:tc>
        <w:tc>
          <w:tcPr>
            <w:tcW w:w="761" w:type="dxa"/>
            <w:tcBorders>
              <w:top w:val="nil"/>
              <w:left w:val="nil"/>
              <w:bottom w:val="nil"/>
              <w:right w:val="nil"/>
            </w:tcBorders>
            <w:shd w:val="clear" w:color="000000" w:fill="FFFFFF"/>
            <w:noWrap/>
            <w:hideMark/>
          </w:tcPr>
          <w:p w14:paraId="0A44A10D"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 xml:space="preserve">5 </w:t>
            </w:r>
          </w:p>
        </w:tc>
      </w:tr>
      <w:tr w:rsidR="00415E27" w:rsidRPr="00415E27" w14:paraId="0528C60B" w14:textId="77777777" w:rsidTr="008C0756">
        <w:trPr>
          <w:trHeight w:hRule="exact" w:val="284"/>
        </w:trPr>
        <w:tc>
          <w:tcPr>
            <w:tcW w:w="689" w:type="dxa"/>
            <w:tcBorders>
              <w:top w:val="nil"/>
              <w:left w:val="nil"/>
              <w:bottom w:val="nil"/>
              <w:right w:val="nil"/>
            </w:tcBorders>
            <w:shd w:val="clear" w:color="000000" w:fill="FFFFFF"/>
            <w:noWrap/>
            <w:hideMark/>
          </w:tcPr>
          <w:p w14:paraId="7562B1DA"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Yes</w:t>
            </w:r>
          </w:p>
        </w:tc>
        <w:tc>
          <w:tcPr>
            <w:tcW w:w="689" w:type="dxa"/>
            <w:tcBorders>
              <w:top w:val="nil"/>
              <w:left w:val="nil"/>
              <w:bottom w:val="nil"/>
              <w:right w:val="nil"/>
            </w:tcBorders>
            <w:shd w:val="clear" w:color="000000" w:fill="FFFFFF"/>
            <w:noWrap/>
            <w:hideMark/>
          </w:tcPr>
          <w:p w14:paraId="664DF2DA"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12</w:t>
            </w:r>
          </w:p>
        </w:tc>
        <w:tc>
          <w:tcPr>
            <w:tcW w:w="574" w:type="dxa"/>
            <w:tcBorders>
              <w:top w:val="nil"/>
              <w:left w:val="nil"/>
              <w:bottom w:val="nil"/>
              <w:right w:val="nil"/>
            </w:tcBorders>
            <w:shd w:val="clear" w:color="000000" w:fill="FFFFFF"/>
            <w:noWrap/>
            <w:hideMark/>
          </w:tcPr>
          <w:p w14:paraId="576A7C5F"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F08A</w:t>
            </w:r>
          </w:p>
        </w:tc>
        <w:tc>
          <w:tcPr>
            <w:tcW w:w="5304" w:type="dxa"/>
            <w:tcBorders>
              <w:top w:val="nil"/>
              <w:left w:val="nil"/>
              <w:bottom w:val="nil"/>
              <w:right w:val="nil"/>
            </w:tcBorders>
            <w:shd w:val="clear" w:color="000000" w:fill="FFFFFF"/>
            <w:noWrap/>
            <w:hideMark/>
          </w:tcPr>
          <w:p w14:paraId="2B3226EC"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Major Reconstructive Vascular Procedures W/O CPB Pump, Major Complexity</w:t>
            </w:r>
          </w:p>
        </w:tc>
        <w:tc>
          <w:tcPr>
            <w:tcW w:w="761" w:type="dxa"/>
            <w:tcBorders>
              <w:top w:val="nil"/>
              <w:left w:val="nil"/>
              <w:bottom w:val="nil"/>
              <w:right w:val="nil"/>
            </w:tcBorders>
            <w:shd w:val="clear" w:color="000000" w:fill="FFFFFF"/>
            <w:noWrap/>
            <w:hideMark/>
          </w:tcPr>
          <w:p w14:paraId="3E0C007B" w14:textId="77777777" w:rsidR="00415E27" w:rsidRPr="00415E27" w:rsidRDefault="00415E27" w:rsidP="00415E27">
            <w:pPr>
              <w:jc w:val="right"/>
              <w:rPr>
                <w:b/>
                <w:bCs/>
                <w:color w:val="000000"/>
                <w:sz w:val="14"/>
                <w:szCs w:val="14"/>
                <w:lang w:val="en-US" w:eastAsia="en-US"/>
              </w:rPr>
            </w:pPr>
            <w:r w:rsidRPr="00415E27">
              <w:rPr>
                <w:b/>
                <w:bCs/>
                <w:color w:val="000000"/>
                <w:sz w:val="14"/>
                <w:szCs w:val="14"/>
                <w:lang w:val="en-US" w:eastAsia="en-US"/>
              </w:rPr>
              <w:t>2.19</w:t>
            </w:r>
          </w:p>
        </w:tc>
        <w:tc>
          <w:tcPr>
            <w:tcW w:w="968" w:type="dxa"/>
            <w:tcBorders>
              <w:top w:val="nil"/>
              <w:left w:val="nil"/>
              <w:bottom w:val="nil"/>
              <w:right w:val="nil"/>
            </w:tcBorders>
            <w:shd w:val="clear" w:color="000000" w:fill="FFFFFF"/>
            <w:noWrap/>
            <w:hideMark/>
          </w:tcPr>
          <w:p w14:paraId="6D7B32DE"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275</w:t>
            </w:r>
          </w:p>
        </w:tc>
        <w:tc>
          <w:tcPr>
            <w:tcW w:w="797" w:type="dxa"/>
            <w:tcBorders>
              <w:top w:val="nil"/>
              <w:left w:val="nil"/>
              <w:bottom w:val="nil"/>
              <w:right w:val="nil"/>
            </w:tcBorders>
            <w:shd w:val="clear" w:color="000000" w:fill="FFFFFF"/>
            <w:noWrap/>
            <w:hideMark/>
          </w:tcPr>
          <w:p w14:paraId="2A5B53BA"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11.95</w:t>
            </w:r>
          </w:p>
        </w:tc>
        <w:tc>
          <w:tcPr>
            <w:tcW w:w="725" w:type="dxa"/>
            <w:tcBorders>
              <w:top w:val="nil"/>
              <w:left w:val="nil"/>
              <w:bottom w:val="nil"/>
              <w:right w:val="nil"/>
            </w:tcBorders>
            <w:shd w:val="clear" w:color="000000" w:fill="FFFFFF"/>
            <w:noWrap/>
            <w:hideMark/>
          </w:tcPr>
          <w:p w14:paraId="0CA7E1C3"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23.3</w:t>
            </w:r>
          </w:p>
        </w:tc>
        <w:tc>
          <w:tcPr>
            <w:tcW w:w="645" w:type="dxa"/>
            <w:tcBorders>
              <w:top w:val="nil"/>
              <w:left w:val="single" w:sz="4" w:space="0" w:color="000000"/>
              <w:bottom w:val="nil"/>
              <w:right w:val="nil"/>
            </w:tcBorders>
            <w:shd w:val="clear" w:color="000000" w:fill="FFFFFF"/>
            <w:noWrap/>
            <w:hideMark/>
          </w:tcPr>
          <w:p w14:paraId="1F8CAB7E"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18%</w:t>
            </w:r>
          </w:p>
        </w:tc>
        <w:tc>
          <w:tcPr>
            <w:tcW w:w="797" w:type="dxa"/>
            <w:tcBorders>
              <w:top w:val="nil"/>
              <w:left w:val="nil"/>
              <w:bottom w:val="nil"/>
              <w:right w:val="nil"/>
            </w:tcBorders>
            <w:shd w:val="clear" w:color="000000" w:fill="FFFFFF"/>
            <w:noWrap/>
            <w:hideMark/>
          </w:tcPr>
          <w:p w14:paraId="729BB658"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24%</w:t>
            </w:r>
          </w:p>
        </w:tc>
        <w:tc>
          <w:tcPr>
            <w:tcW w:w="814" w:type="dxa"/>
            <w:tcBorders>
              <w:top w:val="nil"/>
              <w:left w:val="nil"/>
              <w:bottom w:val="nil"/>
              <w:right w:val="nil"/>
            </w:tcBorders>
            <w:shd w:val="clear" w:color="000000" w:fill="FFFFFF"/>
            <w:noWrap/>
            <w:hideMark/>
          </w:tcPr>
          <w:p w14:paraId="5AAF494D"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16%</w:t>
            </w:r>
          </w:p>
        </w:tc>
        <w:tc>
          <w:tcPr>
            <w:tcW w:w="845" w:type="dxa"/>
            <w:tcBorders>
              <w:top w:val="nil"/>
              <w:left w:val="nil"/>
              <w:bottom w:val="nil"/>
              <w:right w:val="nil"/>
            </w:tcBorders>
            <w:shd w:val="clear" w:color="000000" w:fill="FFFFFF"/>
            <w:noWrap/>
            <w:hideMark/>
          </w:tcPr>
          <w:p w14:paraId="119BE837"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42%</w:t>
            </w:r>
          </w:p>
        </w:tc>
        <w:tc>
          <w:tcPr>
            <w:tcW w:w="761" w:type="dxa"/>
            <w:tcBorders>
              <w:top w:val="nil"/>
              <w:left w:val="single" w:sz="4" w:space="0" w:color="auto"/>
              <w:bottom w:val="nil"/>
              <w:right w:val="nil"/>
            </w:tcBorders>
            <w:shd w:val="clear" w:color="000000" w:fill="FFFFFF"/>
            <w:noWrap/>
            <w:hideMark/>
          </w:tcPr>
          <w:p w14:paraId="25284645"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1.77</w:t>
            </w:r>
          </w:p>
        </w:tc>
        <w:tc>
          <w:tcPr>
            <w:tcW w:w="761" w:type="dxa"/>
            <w:tcBorders>
              <w:top w:val="nil"/>
              <w:left w:val="nil"/>
              <w:bottom w:val="nil"/>
              <w:right w:val="nil"/>
            </w:tcBorders>
            <w:shd w:val="clear" w:color="000000" w:fill="FFFFFF"/>
            <w:noWrap/>
            <w:hideMark/>
          </w:tcPr>
          <w:p w14:paraId="151C9910"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 xml:space="preserve">19 </w:t>
            </w:r>
          </w:p>
        </w:tc>
      </w:tr>
      <w:tr w:rsidR="00415E27" w:rsidRPr="00415E27" w14:paraId="1FC0B16E" w14:textId="77777777" w:rsidTr="008C0756">
        <w:trPr>
          <w:trHeight w:hRule="exact" w:val="284"/>
        </w:trPr>
        <w:tc>
          <w:tcPr>
            <w:tcW w:w="689" w:type="dxa"/>
            <w:tcBorders>
              <w:top w:val="nil"/>
              <w:left w:val="nil"/>
              <w:bottom w:val="nil"/>
              <w:right w:val="nil"/>
            </w:tcBorders>
            <w:shd w:val="clear" w:color="000000" w:fill="FFFFFF"/>
            <w:noWrap/>
            <w:hideMark/>
          </w:tcPr>
          <w:p w14:paraId="08425590"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Yes</w:t>
            </w:r>
          </w:p>
        </w:tc>
        <w:tc>
          <w:tcPr>
            <w:tcW w:w="689" w:type="dxa"/>
            <w:tcBorders>
              <w:top w:val="nil"/>
              <w:left w:val="nil"/>
              <w:bottom w:val="nil"/>
              <w:right w:val="nil"/>
            </w:tcBorders>
            <w:shd w:val="clear" w:color="000000" w:fill="FFFFFF"/>
            <w:noWrap/>
            <w:hideMark/>
          </w:tcPr>
          <w:p w14:paraId="73D92650"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13</w:t>
            </w:r>
          </w:p>
        </w:tc>
        <w:tc>
          <w:tcPr>
            <w:tcW w:w="574" w:type="dxa"/>
            <w:tcBorders>
              <w:top w:val="nil"/>
              <w:left w:val="nil"/>
              <w:bottom w:val="nil"/>
              <w:right w:val="nil"/>
            </w:tcBorders>
            <w:shd w:val="clear" w:color="000000" w:fill="FFFFFF"/>
            <w:noWrap/>
            <w:hideMark/>
          </w:tcPr>
          <w:p w14:paraId="6C9FC352"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F06A</w:t>
            </w:r>
          </w:p>
        </w:tc>
        <w:tc>
          <w:tcPr>
            <w:tcW w:w="5304" w:type="dxa"/>
            <w:tcBorders>
              <w:top w:val="nil"/>
              <w:left w:val="nil"/>
              <w:bottom w:val="nil"/>
              <w:right w:val="nil"/>
            </w:tcBorders>
            <w:shd w:val="clear" w:color="000000" w:fill="FFFFFF"/>
            <w:noWrap/>
            <w:hideMark/>
          </w:tcPr>
          <w:p w14:paraId="48150F29"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Coronary Bypass W/O Invasive Cardiac Investigation, Major Complexity</w:t>
            </w:r>
          </w:p>
        </w:tc>
        <w:tc>
          <w:tcPr>
            <w:tcW w:w="761" w:type="dxa"/>
            <w:tcBorders>
              <w:top w:val="nil"/>
              <w:left w:val="nil"/>
              <w:bottom w:val="nil"/>
              <w:right w:val="nil"/>
            </w:tcBorders>
            <w:shd w:val="clear" w:color="000000" w:fill="FFFFFF"/>
            <w:noWrap/>
            <w:hideMark/>
          </w:tcPr>
          <w:p w14:paraId="6AF360CC" w14:textId="77777777" w:rsidR="00415E27" w:rsidRPr="00415E27" w:rsidRDefault="00415E27" w:rsidP="00415E27">
            <w:pPr>
              <w:jc w:val="right"/>
              <w:rPr>
                <w:b/>
                <w:bCs/>
                <w:color w:val="000000"/>
                <w:sz w:val="14"/>
                <w:szCs w:val="14"/>
                <w:lang w:val="en-US" w:eastAsia="en-US"/>
              </w:rPr>
            </w:pPr>
            <w:r w:rsidRPr="00415E27">
              <w:rPr>
                <w:b/>
                <w:bCs/>
                <w:color w:val="000000"/>
                <w:sz w:val="14"/>
                <w:szCs w:val="14"/>
                <w:lang w:val="en-US" w:eastAsia="en-US"/>
              </w:rPr>
              <w:t>2.07</w:t>
            </w:r>
          </w:p>
        </w:tc>
        <w:tc>
          <w:tcPr>
            <w:tcW w:w="968" w:type="dxa"/>
            <w:tcBorders>
              <w:top w:val="nil"/>
              <w:left w:val="nil"/>
              <w:bottom w:val="nil"/>
              <w:right w:val="nil"/>
            </w:tcBorders>
            <w:shd w:val="clear" w:color="000000" w:fill="FFFFFF"/>
            <w:noWrap/>
            <w:hideMark/>
          </w:tcPr>
          <w:p w14:paraId="15D56833"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546</w:t>
            </w:r>
          </w:p>
        </w:tc>
        <w:tc>
          <w:tcPr>
            <w:tcW w:w="797" w:type="dxa"/>
            <w:tcBorders>
              <w:top w:val="nil"/>
              <w:left w:val="nil"/>
              <w:bottom w:val="nil"/>
              <w:right w:val="nil"/>
            </w:tcBorders>
            <w:shd w:val="clear" w:color="000000" w:fill="FFFFFF"/>
            <w:noWrap/>
            <w:hideMark/>
          </w:tcPr>
          <w:p w14:paraId="370B2A32"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11.16</w:t>
            </w:r>
          </w:p>
        </w:tc>
        <w:tc>
          <w:tcPr>
            <w:tcW w:w="725" w:type="dxa"/>
            <w:tcBorders>
              <w:top w:val="nil"/>
              <w:left w:val="nil"/>
              <w:bottom w:val="nil"/>
              <w:right w:val="nil"/>
            </w:tcBorders>
            <w:shd w:val="clear" w:color="000000" w:fill="FFFFFF"/>
            <w:noWrap/>
            <w:hideMark/>
          </w:tcPr>
          <w:p w14:paraId="425E8672"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15.9</w:t>
            </w:r>
          </w:p>
        </w:tc>
        <w:tc>
          <w:tcPr>
            <w:tcW w:w="645" w:type="dxa"/>
            <w:tcBorders>
              <w:top w:val="nil"/>
              <w:left w:val="single" w:sz="4" w:space="0" w:color="000000"/>
              <w:bottom w:val="nil"/>
              <w:right w:val="nil"/>
            </w:tcBorders>
            <w:shd w:val="clear" w:color="000000" w:fill="FFFFFF"/>
            <w:noWrap/>
            <w:hideMark/>
          </w:tcPr>
          <w:p w14:paraId="3F58ABCA"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19%</w:t>
            </w:r>
          </w:p>
        </w:tc>
        <w:tc>
          <w:tcPr>
            <w:tcW w:w="797" w:type="dxa"/>
            <w:tcBorders>
              <w:top w:val="nil"/>
              <w:left w:val="nil"/>
              <w:bottom w:val="nil"/>
              <w:right w:val="nil"/>
            </w:tcBorders>
            <w:shd w:val="clear" w:color="000000" w:fill="FFFFFF"/>
            <w:noWrap/>
            <w:hideMark/>
          </w:tcPr>
          <w:p w14:paraId="47C33F32"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45%</w:t>
            </w:r>
          </w:p>
        </w:tc>
        <w:tc>
          <w:tcPr>
            <w:tcW w:w="814" w:type="dxa"/>
            <w:tcBorders>
              <w:top w:val="nil"/>
              <w:left w:val="nil"/>
              <w:bottom w:val="nil"/>
              <w:right w:val="nil"/>
            </w:tcBorders>
            <w:shd w:val="clear" w:color="000000" w:fill="FFFFFF"/>
            <w:noWrap/>
            <w:hideMark/>
          </w:tcPr>
          <w:p w14:paraId="285C40B3"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8%</w:t>
            </w:r>
          </w:p>
        </w:tc>
        <w:tc>
          <w:tcPr>
            <w:tcW w:w="845" w:type="dxa"/>
            <w:tcBorders>
              <w:top w:val="nil"/>
              <w:left w:val="nil"/>
              <w:bottom w:val="nil"/>
              <w:right w:val="nil"/>
            </w:tcBorders>
            <w:shd w:val="clear" w:color="000000" w:fill="FFFFFF"/>
            <w:noWrap/>
            <w:hideMark/>
          </w:tcPr>
          <w:p w14:paraId="762ADD34"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29%</w:t>
            </w:r>
          </w:p>
        </w:tc>
        <w:tc>
          <w:tcPr>
            <w:tcW w:w="761" w:type="dxa"/>
            <w:tcBorders>
              <w:top w:val="nil"/>
              <w:left w:val="single" w:sz="4" w:space="0" w:color="auto"/>
              <w:bottom w:val="nil"/>
              <w:right w:val="nil"/>
            </w:tcBorders>
            <w:shd w:val="clear" w:color="000000" w:fill="FFFFFF"/>
            <w:noWrap/>
            <w:hideMark/>
          </w:tcPr>
          <w:p w14:paraId="65750D59"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1.75</w:t>
            </w:r>
          </w:p>
        </w:tc>
        <w:tc>
          <w:tcPr>
            <w:tcW w:w="761" w:type="dxa"/>
            <w:tcBorders>
              <w:top w:val="nil"/>
              <w:left w:val="nil"/>
              <w:bottom w:val="nil"/>
              <w:right w:val="nil"/>
            </w:tcBorders>
            <w:shd w:val="clear" w:color="000000" w:fill="FFFFFF"/>
            <w:noWrap/>
            <w:hideMark/>
          </w:tcPr>
          <w:p w14:paraId="568DFA1B"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 xml:space="preserve">20 </w:t>
            </w:r>
          </w:p>
        </w:tc>
      </w:tr>
      <w:tr w:rsidR="00415E27" w:rsidRPr="00415E27" w14:paraId="485777E8" w14:textId="77777777" w:rsidTr="008C0756">
        <w:trPr>
          <w:trHeight w:hRule="exact" w:val="284"/>
        </w:trPr>
        <w:tc>
          <w:tcPr>
            <w:tcW w:w="689" w:type="dxa"/>
            <w:tcBorders>
              <w:top w:val="nil"/>
              <w:left w:val="nil"/>
              <w:bottom w:val="nil"/>
              <w:right w:val="nil"/>
            </w:tcBorders>
            <w:shd w:val="clear" w:color="000000" w:fill="FFFFFF"/>
            <w:noWrap/>
            <w:hideMark/>
          </w:tcPr>
          <w:p w14:paraId="3E6397B6"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Yes</w:t>
            </w:r>
          </w:p>
        </w:tc>
        <w:tc>
          <w:tcPr>
            <w:tcW w:w="689" w:type="dxa"/>
            <w:tcBorders>
              <w:top w:val="nil"/>
              <w:left w:val="nil"/>
              <w:bottom w:val="nil"/>
              <w:right w:val="nil"/>
            </w:tcBorders>
            <w:shd w:val="clear" w:color="000000" w:fill="FFFFFF"/>
            <w:noWrap/>
            <w:hideMark/>
          </w:tcPr>
          <w:p w14:paraId="0DBFF74A"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14</w:t>
            </w:r>
          </w:p>
        </w:tc>
        <w:tc>
          <w:tcPr>
            <w:tcW w:w="574" w:type="dxa"/>
            <w:tcBorders>
              <w:top w:val="nil"/>
              <w:left w:val="nil"/>
              <w:bottom w:val="nil"/>
              <w:right w:val="nil"/>
            </w:tcBorders>
            <w:shd w:val="clear" w:color="000000" w:fill="FFFFFF"/>
            <w:noWrap/>
            <w:hideMark/>
          </w:tcPr>
          <w:p w14:paraId="187E8104"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F04B</w:t>
            </w:r>
          </w:p>
        </w:tc>
        <w:tc>
          <w:tcPr>
            <w:tcW w:w="5304" w:type="dxa"/>
            <w:tcBorders>
              <w:top w:val="nil"/>
              <w:left w:val="nil"/>
              <w:bottom w:val="nil"/>
              <w:right w:val="nil"/>
            </w:tcBorders>
            <w:shd w:val="clear" w:color="000000" w:fill="FFFFFF"/>
            <w:noWrap/>
            <w:hideMark/>
          </w:tcPr>
          <w:p w14:paraId="48283398"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 xml:space="preserve">Cardiac Valve Procedures W CPB Pump W/O Invasive Cardiac Invest, </w:t>
            </w:r>
            <w:proofErr w:type="spellStart"/>
            <w:r w:rsidRPr="00415E27">
              <w:rPr>
                <w:color w:val="000000"/>
                <w:sz w:val="14"/>
                <w:szCs w:val="14"/>
                <w:lang w:val="en-US" w:eastAsia="en-US"/>
              </w:rPr>
              <w:t>Interm</w:t>
            </w:r>
            <w:proofErr w:type="spellEnd"/>
            <w:r w:rsidRPr="00415E27">
              <w:rPr>
                <w:color w:val="000000"/>
                <w:sz w:val="14"/>
                <w:szCs w:val="14"/>
                <w:lang w:val="en-US" w:eastAsia="en-US"/>
              </w:rPr>
              <w:t xml:space="preserve"> Comp</w:t>
            </w:r>
          </w:p>
        </w:tc>
        <w:tc>
          <w:tcPr>
            <w:tcW w:w="761" w:type="dxa"/>
            <w:tcBorders>
              <w:top w:val="nil"/>
              <w:left w:val="nil"/>
              <w:bottom w:val="nil"/>
              <w:right w:val="nil"/>
            </w:tcBorders>
            <w:shd w:val="clear" w:color="000000" w:fill="FFFFFF"/>
            <w:noWrap/>
            <w:hideMark/>
          </w:tcPr>
          <w:p w14:paraId="49503073" w14:textId="77777777" w:rsidR="00415E27" w:rsidRPr="00415E27" w:rsidRDefault="00415E27" w:rsidP="00415E27">
            <w:pPr>
              <w:jc w:val="right"/>
              <w:rPr>
                <w:b/>
                <w:bCs/>
                <w:color w:val="000000"/>
                <w:sz w:val="14"/>
                <w:szCs w:val="14"/>
                <w:lang w:val="en-US" w:eastAsia="en-US"/>
              </w:rPr>
            </w:pPr>
            <w:r w:rsidRPr="00415E27">
              <w:rPr>
                <w:b/>
                <w:bCs/>
                <w:color w:val="000000"/>
                <w:sz w:val="14"/>
                <w:szCs w:val="14"/>
                <w:lang w:val="en-US" w:eastAsia="en-US"/>
              </w:rPr>
              <w:t>2.04</w:t>
            </w:r>
          </w:p>
        </w:tc>
        <w:tc>
          <w:tcPr>
            <w:tcW w:w="968" w:type="dxa"/>
            <w:tcBorders>
              <w:top w:val="nil"/>
              <w:left w:val="nil"/>
              <w:bottom w:val="nil"/>
              <w:right w:val="nil"/>
            </w:tcBorders>
            <w:shd w:val="clear" w:color="000000" w:fill="FFFFFF"/>
            <w:noWrap/>
            <w:hideMark/>
          </w:tcPr>
          <w:p w14:paraId="245F8AA3"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1,591</w:t>
            </w:r>
          </w:p>
        </w:tc>
        <w:tc>
          <w:tcPr>
            <w:tcW w:w="797" w:type="dxa"/>
            <w:tcBorders>
              <w:top w:val="nil"/>
              <w:left w:val="nil"/>
              <w:bottom w:val="nil"/>
              <w:right w:val="nil"/>
            </w:tcBorders>
            <w:shd w:val="clear" w:color="000000" w:fill="FFFFFF"/>
            <w:noWrap/>
            <w:hideMark/>
          </w:tcPr>
          <w:p w14:paraId="00566769"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10.76</w:t>
            </w:r>
          </w:p>
        </w:tc>
        <w:tc>
          <w:tcPr>
            <w:tcW w:w="725" w:type="dxa"/>
            <w:tcBorders>
              <w:top w:val="nil"/>
              <w:left w:val="nil"/>
              <w:bottom w:val="nil"/>
              <w:right w:val="nil"/>
            </w:tcBorders>
            <w:shd w:val="clear" w:color="000000" w:fill="FFFFFF"/>
            <w:noWrap/>
            <w:hideMark/>
          </w:tcPr>
          <w:p w14:paraId="0DC9D29B"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12.0</w:t>
            </w:r>
          </w:p>
        </w:tc>
        <w:tc>
          <w:tcPr>
            <w:tcW w:w="645" w:type="dxa"/>
            <w:tcBorders>
              <w:top w:val="nil"/>
              <w:left w:val="single" w:sz="4" w:space="0" w:color="000000"/>
              <w:bottom w:val="nil"/>
              <w:right w:val="nil"/>
            </w:tcBorders>
            <w:shd w:val="clear" w:color="000000" w:fill="FFFFFF"/>
            <w:noWrap/>
            <w:hideMark/>
          </w:tcPr>
          <w:p w14:paraId="12A14547"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19%</w:t>
            </w:r>
          </w:p>
        </w:tc>
        <w:tc>
          <w:tcPr>
            <w:tcW w:w="797" w:type="dxa"/>
            <w:tcBorders>
              <w:top w:val="nil"/>
              <w:left w:val="nil"/>
              <w:bottom w:val="nil"/>
              <w:right w:val="nil"/>
            </w:tcBorders>
            <w:shd w:val="clear" w:color="000000" w:fill="FFFFFF"/>
            <w:noWrap/>
            <w:hideMark/>
          </w:tcPr>
          <w:p w14:paraId="4FEB62C8"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33%</w:t>
            </w:r>
          </w:p>
        </w:tc>
        <w:tc>
          <w:tcPr>
            <w:tcW w:w="814" w:type="dxa"/>
            <w:tcBorders>
              <w:top w:val="nil"/>
              <w:left w:val="nil"/>
              <w:bottom w:val="nil"/>
              <w:right w:val="nil"/>
            </w:tcBorders>
            <w:shd w:val="clear" w:color="000000" w:fill="FFFFFF"/>
            <w:noWrap/>
            <w:hideMark/>
          </w:tcPr>
          <w:p w14:paraId="14396237"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22%</w:t>
            </w:r>
          </w:p>
        </w:tc>
        <w:tc>
          <w:tcPr>
            <w:tcW w:w="845" w:type="dxa"/>
            <w:tcBorders>
              <w:top w:val="nil"/>
              <w:left w:val="nil"/>
              <w:bottom w:val="nil"/>
              <w:right w:val="nil"/>
            </w:tcBorders>
            <w:shd w:val="clear" w:color="000000" w:fill="FFFFFF"/>
            <w:noWrap/>
            <w:hideMark/>
          </w:tcPr>
          <w:p w14:paraId="78798F93"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26%</w:t>
            </w:r>
          </w:p>
        </w:tc>
        <w:tc>
          <w:tcPr>
            <w:tcW w:w="761" w:type="dxa"/>
            <w:tcBorders>
              <w:top w:val="nil"/>
              <w:left w:val="single" w:sz="4" w:space="0" w:color="auto"/>
              <w:bottom w:val="nil"/>
              <w:right w:val="nil"/>
            </w:tcBorders>
            <w:shd w:val="clear" w:color="000000" w:fill="FFFFFF"/>
            <w:noWrap/>
            <w:hideMark/>
          </w:tcPr>
          <w:p w14:paraId="6A85F210"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1.87</w:t>
            </w:r>
          </w:p>
        </w:tc>
        <w:tc>
          <w:tcPr>
            <w:tcW w:w="761" w:type="dxa"/>
            <w:tcBorders>
              <w:top w:val="nil"/>
              <w:left w:val="nil"/>
              <w:bottom w:val="nil"/>
              <w:right w:val="nil"/>
            </w:tcBorders>
            <w:shd w:val="clear" w:color="000000" w:fill="FFFFFF"/>
            <w:noWrap/>
            <w:hideMark/>
          </w:tcPr>
          <w:p w14:paraId="2FA42CCD"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 xml:space="preserve">15 </w:t>
            </w:r>
          </w:p>
        </w:tc>
      </w:tr>
      <w:tr w:rsidR="00415E27" w:rsidRPr="00415E27" w14:paraId="7482C52F" w14:textId="77777777" w:rsidTr="008C0756">
        <w:trPr>
          <w:trHeight w:hRule="exact" w:val="284"/>
        </w:trPr>
        <w:tc>
          <w:tcPr>
            <w:tcW w:w="689" w:type="dxa"/>
            <w:tcBorders>
              <w:top w:val="nil"/>
              <w:left w:val="nil"/>
              <w:bottom w:val="nil"/>
              <w:right w:val="nil"/>
            </w:tcBorders>
            <w:shd w:val="clear" w:color="000000" w:fill="FFFFFF"/>
            <w:noWrap/>
            <w:hideMark/>
          </w:tcPr>
          <w:p w14:paraId="5E9FEB67"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Yes</w:t>
            </w:r>
          </w:p>
        </w:tc>
        <w:tc>
          <w:tcPr>
            <w:tcW w:w="689" w:type="dxa"/>
            <w:tcBorders>
              <w:top w:val="nil"/>
              <w:left w:val="nil"/>
              <w:bottom w:val="nil"/>
              <w:right w:val="nil"/>
            </w:tcBorders>
            <w:shd w:val="clear" w:color="000000" w:fill="FFFFFF"/>
            <w:noWrap/>
            <w:hideMark/>
          </w:tcPr>
          <w:p w14:paraId="3816AC61"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15</w:t>
            </w:r>
          </w:p>
        </w:tc>
        <w:tc>
          <w:tcPr>
            <w:tcW w:w="574" w:type="dxa"/>
            <w:tcBorders>
              <w:top w:val="nil"/>
              <w:left w:val="nil"/>
              <w:bottom w:val="nil"/>
              <w:right w:val="nil"/>
            </w:tcBorders>
            <w:shd w:val="clear" w:color="000000" w:fill="FFFFFF"/>
            <w:noWrap/>
            <w:hideMark/>
          </w:tcPr>
          <w:p w14:paraId="58DFD689"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H01A</w:t>
            </w:r>
          </w:p>
        </w:tc>
        <w:tc>
          <w:tcPr>
            <w:tcW w:w="5304" w:type="dxa"/>
            <w:tcBorders>
              <w:top w:val="nil"/>
              <w:left w:val="nil"/>
              <w:bottom w:val="nil"/>
              <w:right w:val="nil"/>
            </w:tcBorders>
            <w:shd w:val="clear" w:color="000000" w:fill="FFFFFF"/>
            <w:noWrap/>
            <w:hideMark/>
          </w:tcPr>
          <w:p w14:paraId="1E3622AF" w14:textId="6F0E00C2" w:rsidR="00415E27" w:rsidRPr="00415E27" w:rsidRDefault="00415E27" w:rsidP="00415E27">
            <w:pPr>
              <w:rPr>
                <w:color w:val="000000"/>
                <w:sz w:val="14"/>
                <w:szCs w:val="14"/>
                <w:lang w:val="en-US" w:eastAsia="en-US"/>
              </w:rPr>
            </w:pPr>
            <w:r w:rsidRPr="00415E27">
              <w:rPr>
                <w:color w:val="000000"/>
                <w:sz w:val="14"/>
                <w:szCs w:val="14"/>
                <w:lang w:val="en-US" w:eastAsia="en-US"/>
              </w:rPr>
              <w:t>Pancreas, Liver and Shunt Procedures, Major Complexity</w:t>
            </w:r>
          </w:p>
        </w:tc>
        <w:tc>
          <w:tcPr>
            <w:tcW w:w="761" w:type="dxa"/>
            <w:tcBorders>
              <w:top w:val="nil"/>
              <w:left w:val="nil"/>
              <w:bottom w:val="nil"/>
              <w:right w:val="nil"/>
            </w:tcBorders>
            <w:shd w:val="clear" w:color="000000" w:fill="FFFFFF"/>
            <w:noWrap/>
            <w:hideMark/>
          </w:tcPr>
          <w:p w14:paraId="1DDD500B" w14:textId="77777777" w:rsidR="00415E27" w:rsidRPr="00415E27" w:rsidRDefault="00415E27" w:rsidP="00415E27">
            <w:pPr>
              <w:jc w:val="right"/>
              <w:rPr>
                <w:b/>
                <w:bCs/>
                <w:color w:val="000000"/>
                <w:sz w:val="14"/>
                <w:szCs w:val="14"/>
                <w:lang w:val="en-US" w:eastAsia="en-US"/>
              </w:rPr>
            </w:pPr>
            <w:r w:rsidRPr="00415E27">
              <w:rPr>
                <w:b/>
                <w:bCs/>
                <w:color w:val="000000"/>
                <w:sz w:val="14"/>
                <w:szCs w:val="14"/>
                <w:lang w:val="en-US" w:eastAsia="en-US"/>
              </w:rPr>
              <w:t>2.03</w:t>
            </w:r>
          </w:p>
        </w:tc>
        <w:tc>
          <w:tcPr>
            <w:tcW w:w="968" w:type="dxa"/>
            <w:tcBorders>
              <w:top w:val="nil"/>
              <w:left w:val="nil"/>
              <w:bottom w:val="nil"/>
              <w:right w:val="nil"/>
            </w:tcBorders>
            <w:shd w:val="clear" w:color="000000" w:fill="FFFFFF"/>
            <w:noWrap/>
            <w:hideMark/>
          </w:tcPr>
          <w:p w14:paraId="4E547FE0"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355</w:t>
            </w:r>
          </w:p>
        </w:tc>
        <w:tc>
          <w:tcPr>
            <w:tcW w:w="797" w:type="dxa"/>
            <w:tcBorders>
              <w:top w:val="nil"/>
              <w:left w:val="nil"/>
              <w:bottom w:val="nil"/>
              <w:right w:val="nil"/>
            </w:tcBorders>
            <w:shd w:val="clear" w:color="000000" w:fill="FFFFFF"/>
            <w:noWrap/>
            <w:hideMark/>
          </w:tcPr>
          <w:p w14:paraId="1ABA91F7"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10.73</w:t>
            </w:r>
          </w:p>
        </w:tc>
        <w:tc>
          <w:tcPr>
            <w:tcW w:w="725" w:type="dxa"/>
            <w:tcBorders>
              <w:top w:val="nil"/>
              <w:left w:val="nil"/>
              <w:bottom w:val="nil"/>
              <w:right w:val="nil"/>
            </w:tcBorders>
            <w:shd w:val="clear" w:color="000000" w:fill="FFFFFF"/>
            <w:noWrap/>
            <w:hideMark/>
          </w:tcPr>
          <w:p w14:paraId="027E5F31"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19.9</w:t>
            </w:r>
          </w:p>
        </w:tc>
        <w:tc>
          <w:tcPr>
            <w:tcW w:w="645" w:type="dxa"/>
            <w:tcBorders>
              <w:top w:val="nil"/>
              <w:left w:val="single" w:sz="4" w:space="0" w:color="000000"/>
              <w:bottom w:val="nil"/>
              <w:right w:val="nil"/>
            </w:tcBorders>
            <w:shd w:val="clear" w:color="000000" w:fill="FFFFFF"/>
            <w:noWrap/>
            <w:hideMark/>
          </w:tcPr>
          <w:p w14:paraId="45167F97"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19%</w:t>
            </w:r>
          </w:p>
        </w:tc>
        <w:tc>
          <w:tcPr>
            <w:tcW w:w="797" w:type="dxa"/>
            <w:tcBorders>
              <w:top w:val="nil"/>
              <w:left w:val="nil"/>
              <w:bottom w:val="nil"/>
              <w:right w:val="nil"/>
            </w:tcBorders>
            <w:shd w:val="clear" w:color="000000" w:fill="FFFFFF"/>
            <w:noWrap/>
            <w:hideMark/>
          </w:tcPr>
          <w:p w14:paraId="0B29A4D2"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30%</w:t>
            </w:r>
          </w:p>
        </w:tc>
        <w:tc>
          <w:tcPr>
            <w:tcW w:w="814" w:type="dxa"/>
            <w:tcBorders>
              <w:top w:val="nil"/>
              <w:left w:val="nil"/>
              <w:bottom w:val="nil"/>
              <w:right w:val="nil"/>
            </w:tcBorders>
            <w:shd w:val="clear" w:color="000000" w:fill="FFFFFF"/>
            <w:noWrap/>
            <w:hideMark/>
          </w:tcPr>
          <w:p w14:paraId="57A4B20D"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9%</w:t>
            </w:r>
          </w:p>
        </w:tc>
        <w:tc>
          <w:tcPr>
            <w:tcW w:w="845" w:type="dxa"/>
            <w:tcBorders>
              <w:top w:val="nil"/>
              <w:left w:val="nil"/>
              <w:bottom w:val="nil"/>
              <w:right w:val="nil"/>
            </w:tcBorders>
            <w:shd w:val="clear" w:color="000000" w:fill="FFFFFF"/>
            <w:noWrap/>
            <w:hideMark/>
          </w:tcPr>
          <w:p w14:paraId="644F8B8A"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42%</w:t>
            </w:r>
          </w:p>
        </w:tc>
        <w:tc>
          <w:tcPr>
            <w:tcW w:w="761" w:type="dxa"/>
            <w:tcBorders>
              <w:top w:val="nil"/>
              <w:left w:val="single" w:sz="4" w:space="0" w:color="auto"/>
              <w:bottom w:val="nil"/>
              <w:right w:val="nil"/>
            </w:tcBorders>
            <w:shd w:val="clear" w:color="000000" w:fill="FFFFFF"/>
            <w:noWrap/>
            <w:hideMark/>
          </w:tcPr>
          <w:p w14:paraId="5AA91FC6"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1.93</w:t>
            </w:r>
          </w:p>
        </w:tc>
        <w:tc>
          <w:tcPr>
            <w:tcW w:w="761" w:type="dxa"/>
            <w:tcBorders>
              <w:top w:val="nil"/>
              <w:left w:val="nil"/>
              <w:bottom w:val="nil"/>
              <w:right w:val="nil"/>
            </w:tcBorders>
            <w:shd w:val="clear" w:color="000000" w:fill="FFFFFF"/>
            <w:noWrap/>
            <w:hideMark/>
          </w:tcPr>
          <w:p w14:paraId="2534C553"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 xml:space="preserve">12 </w:t>
            </w:r>
          </w:p>
        </w:tc>
      </w:tr>
      <w:tr w:rsidR="00415E27" w:rsidRPr="00415E27" w14:paraId="3A793E70" w14:textId="77777777" w:rsidTr="008C0756">
        <w:trPr>
          <w:trHeight w:hRule="exact" w:val="284"/>
        </w:trPr>
        <w:tc>
          <w:tcPr>
            <w:tcW w:w="689" w:type="dxa"/>
            <w:tcBorders>
              <w:top w:val="nil"/>
              <w:left w:val="nil"/>
              <w:bottom w:val="nil"/>
              <w:right w:val="nil"/>
            </w:tcBorders>
            <w:shd w:val="clear" w:color="000000" w:fill="FFFFFF"/>
            <w:noWrap/>
            <w:hideMark/>
          </w:tcPr>
          <w:p w14:paraId="57D39994"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No</w:t>
            </w:r>
          </w:p>
        </w:tc>
        <w:tc>
          <w:tcPr>
            <w:tcW w:w="689" w:type="dxa"/>
            <w:tcBorders>
              <w:top w:val="nil"/>
              <w:left w:val="nil"/>
              <w:bottom w:val="nil"/>
              <w:right w:val="nil"/>
            </w:tcBorders>
            <w:shd w:val="clear" w:color="000000" w:fill="FFFFFF"/>
            <w:noWrap/>
            <w:hideMark/>
          </w:tcPr>
          <w:p w14:paraId="6BB7A631"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16</w:t>
            </w:r>
          </w:p>
        </w:tc>
        <w:tc>
          <w:tcPr>
            <w:tcW w:w="574" w:type="dxa"/>
            <w:tcBorders>
              <w:top w:val="nil"/>
              <w:left w:val="nil"/>
              <w:bottom w:val="nil"/>
              <w:right w:val="nil"/>
            </w:tcBorders>
            <w:shd w:val="clear" w:color="000000" w:fill="FFFFFF"/>
            <w:noWrap/>
            <w:hideMark/>
          </w:tcPr>
          <w:p w14:paraId="7F6FA76C"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I09A</w:t>
            </w:r>
          </w:p>
        </w:tc>
        <w:tc>
          <w:tcPr>
            <w:tcW w:w="5304" w:type="dxa"/>
            <w:tcBorders>
              <w:top w:val="nil"/>
              <w:left w:val="nil"/>
              <w:bottom w:val="nil"/>
              <w:right w:val="nil"/>
            </w:tcBorders>
            <w:shd w:val="clear" w:color="000000" w:fill="FFFFFF"/>
            <w:noWrap/>
            <w:hideMark/>
          </w:tcPr>
          <w:p w14:paraId="7976E3BA"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Spinal Fusion, Major Complexity</w:t>
            </w:r>
          </w:p>
        </w:tc>
        <w:tc>
          <w:tcPr>
            <w:tcW w:w="761" w:type="dxa"/>
            <w:tcBorders>
              <w:top w:val="nil"/>
              <w:left w:val="nil"/>
              <w:bottom w:val="nil"/>
              <w:right w:val="nil"/>
            </w:tcBorders>
            <w:shd w:val="clear" w:color="000000" w:fill="FFFFFF"/>
            <w:noWrap/>
            <w:hideMark/>
          </w:tcPr>
          <w:p w14:paraId="610B3C65" w14:textId="77777777" w:rsidR="00415E27" w:rsidRPr="00415E27" w:rsidRDefault="00415E27" w:rsidP="00415E27">
            <w:pPr>
              <w:jc w:val="right"/>
              <w:rPr>
                <w:b/>
                <w:bCs/>
                <w:color w:val="000000"/>
                <w:sz w:val="14"/>
                <w:szCs w:val="14"/>
                <w:lang w:val="en-US" w:eastAsia="en-US"/>
              </w:rPr>
            </w:pPr>
            <w:r w:rsidRPr="00415E27">
              <w:rPr>
                <w:b/>
                <w:bCs/>
                <w:color w:val="000000"/>
                <w:sz w:val="14"/>
                <w:szCs w:val="14"/>
                <w:lang w:val="en-US" w:eastAsia="en-US"/>
              </w:rPr>
              <w:t>2.02</w:t>
            </w:r>
          </w:p>
        </w:tc>
        <w:tc>
          <w:tcPr>
            <w:tcW w:w="968" w:type="dxa"/>
            <w:tcBorders>
              <w:top w:val="nil"/>
              <w:left w:val="nil"/>
              <w:bottom w:val="nil"/>
              <w:right w:val="nil"/>
            </w:tcBorders>
            <w:shd w:val="clear" w:color="000000" w:fill="FFFFFF"/>
            <w:noWrap/>
            <w:hideMark/>
          </w:tcPr>
          <w:p w14:paraId="0718E934"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425</w:t>
            </w:r>
          </w:p>
        </w:tc>
        <w:tc>
          <w:tcPr>
            <w:tcW w:w="797" w:type="dxa"/>
            <w:tcBorders>
              <w:top w:val="nil"/>
              <w:left w:val="nil"/>
              <w:bottom w:val="nil"/>
              <w:right w:val="nil"/>
            </w:tcBorders>
            <w:shd w:val="clear" w:color="000000" w:fill="FFFFFF"/>
            <w:noWrap/>
            <w:hideMark/>
          </w:tcPr>
          <w:p w14:paraId="61B722B1"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14.72</w:t>
            </w:r>
          </w:p>
        </w:tc>
        <w:tc>
          <w:tcPr>
            <w:tcW w:w="725" w:type="dxa"/>
            <w:tcBorders>
              <w:top w:val="nil"/>
              <w:left w:val="nil"/>
              <w:bottom w:val="nil"/>
              <w:right w:val="nil"/>
            </w:tcBorders>
            <w:shd w:val="clear" w:color="000000" w:fill="FFFFFF"/>
            <w:noWrap/>
            <w:hideMark/>
          </w:tcPr>
          <w:p w14:paraId="49BABFFC"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20.0</w:t>
            </w:r>
          </w:p>
        </w:tc>
        <w:tc>
          <w:tcPr>
            <w:tcW w:w="645" w:type="dxa"/>
            <w:tcBorders>
              <w:top w:val="nil"/>
              <w:left w:val="single" w:sz="4" w:space="0" w:color="000000"/>
              <w:bottom w:val="nil"/>
              <w:right w:val="nil"/>
            </w:tcBorders>
            <w:shd w:val="clear" w:color="000000" w:fill="FFFFFF"/>
            <w:noWrap/>
            <w:hideMark/>
          </w:tcPr>
          <w:p w14:paraId="1C63FEAA"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14%</w:t>
            </w:r>
          </w:p>
        </w:tc>
        <w:tc>
          <w:tcPr>
            <w:tcW w:w="797" w:type="dxa"/>
            <w:tcBorders>
              <w:top w:val="nil"/>
              <w:left w:val="nil"/>
              <w:bottom w:val="nil"/>
              <w:right w:val="nil"/>
            </w:tcBorders>
            <w:shd w:val="clear" w:color="000000" w:fill="FFFFFF"/>
            <w:noWrap/>
            <w:hideMark/>
          </w:tcPr>
          <w:p w14:paraId="432D8A9C"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13%</w:t>
            </w:r>
          </w:p>
        </w:tc>
        <w:tc>
          <w:tcPr>
            <w:tcW w:w="814" w:type="dxa"/>
            <w:tcBorders>
              <w:top w:val="nil"/>
              <w:left w:val="nil"/>
              <w:bottom w:val="nil"/>
              <w:right w:val="nil"/>
            </w:tcBorders>
            <w:shd w:val="clear" w:color="000000" w:fill="FFFFFF"/>
            <w:noWrap/>
            <w:hideMark/>
          </w:tcPr>
          <w:p w14:paraId="452B6E1E"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43%</w:t>
            </w:r>
          </w:p>
        </w:tc>
        <w:tc>
          <w:tcPr>
            <w:tcW w:w="845" w:type="dxa"/>
            <w:tcBorders>
              <w:top w:val="nil"/>
              <w:left w:val="nil"/>
              <w:bottom w:val="nil"/>
              <w:right w:val="nil"/>
            </w:tcBorders>
            <w:shd w:val="clear" w:color="000000" w:fill="FFFFFF"/>
            <w:noWrap/>
            <w:hideMark/>
          </w:tcPr>
          <w:p w14:paraId="2E2C60DF"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31%</w:t>
            </w:r>
          </w:p>
        </w:tc>
        <w:tc>
          <w:tcPr>
            <w:tcW w:w="761" w:type="dxa"/>
            <w:tcBorders>
              <w:top w:val="nil"/>
              <w:left w:val="single" w:sz="4" w:space="0" w:color="auto"/>
              <w:bottom w:val="nil"/>
              <w:right w:val="nil"/>
            </w:tcBorders>
            <w:shd w:val="clear" w:color="000000" w:fill="FFFFFF"/>
            <w:noWrap/>
            <w:hideMark/>
          </w:tcPr>
          <w:p w14:paraId="778D1B08"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1.73</w:t>
            </w:r>
          </w:p>
        </w:tc>
        <w:tc>
          <w:tcPr>
            <w:tcW w:w="761" w:type="dxa"/>
            <w:tcBorders>
              <w:top w:val="nil"/>
              <w:left w:val="nil"/>
              <w:bottom w:val="nil"/>
              <w:right w:val="nil"/>
            </w:tcBorders>
            <w:shd w:val="clear" w:color="000000" w:fill="FFFFFF"/>
            <w:noWrap/>
            <w:hideMark/>
          </w:tcPr>
          <w:p w14:paraId="7B5301CE"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 xml:space="preserve">22 </w:t>
            </w:r>
          </w:p>
        </w:tc>
      </w:tr>
      <w:tr w:rsidR="00415E27" w:rsidRPr="00415E27" w14:paraId="4D8B85A7" w14:textId="77777777" w:rsidTr="008C0756">
        <w:trPr>
          <w:trHeight w:hRule="exact" w:val="284"/>
        </w:trPr>
        <w:tc>
          <w:tcPr>
            <w:tcW w:w="689" w:type="dxa"/>
            <w:tcBorders>
              <w:top w:val="nil"/>
              <w:left w:val="nil"/>
              <w:bottom w:val="nil"/>
              <w:right w:val="nil"/>
            </w:tcBorders>
            <w:shd w:val="clear" w:color="000000" w:fill="FFFFFF"/>
            <w:noWrap/>
            <w:hideMark/>
          </w:tcPr>
          <w:p w14:paraId="585D193D"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Yes</w:t>
            </w:r>
          </w:p>
        </w:tc>
        <w:tc>
          <w:tcPr>
            <w:tcW w:w="689" w:type="dxa"/>
            <w:tcBorders>
              <w:top w:val="nil"/>
              <w:left w:val="nil"/>
              <w:bottom w:val="nil"/>
              <w:right w:val="nil"/>
            </w:tcBorders>
            <w:shd w:val="clear" w:color="000000" w:fill="FFFFFF"/>
            <w:noWrap/>
            <w:hideMark/>
          </w:tcPr>
          <w:p w14:paraId="069E2F1A"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17</w:t>
            </w:r>
          </w:p>
        </w:tc>
        <w:tc>
          <w:tcPr>
            <w:tcW w:w="574" w:type="dxa"/>
            <w:tcBorders>
              <w:top w:val="nil"/>
              <w:left w:val="nil"/>
              <w:bottom w:val="nil"/>
              <w:right w:val="nil"/>
            </w:tcBorders>
            <w:shd w:val="clear" w:color="000000" w:fill="FFFFFF"/>
            <w:noWrap/>
            <w:hideMark/>
          </w:tcPr>
          <w:p w14:paraId="7D81A82C"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I06Z</w:t>
            </w:r>
          </w:p>
        </w:tc>
        <w:tc>
          <w:tcPr>
            <w:tcW w:w="5304" w:type="dxa"/>
            <w:tcBorders>
              <w:top w:val="nil"/>
              <w:left w:val="nil"/>
              <w:bottom w:val="nil"/>
              <w:right w:val="nil"/>
            </w:tcBorders>
            <w:shd w:val="clear" w:color="000000" w:fill="FFFFFF"/>
            <w:noWrap/>
            <w:hideMark/>
          </w:tcPr>
          <w:p w14:paraId="721D94DF"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Spinal Fusion for Deformity</w:t>
            </w:r>
          </w:p>
        </w:tc>
        <w:tc>
          <w:tcPr>
            <w:tcW w:w="761" w:type="dxa"/>
            <w:tcBorders>
              <w:top w:val="nil"/>
              <w:left w:val="nil"/>
              <w:bottom w:val="nil"/>
              <w:right w:val="nil"/>
            </w:tcBorders>
            <w:shd w:val="clear" w:color="000000" w:fill="FFFFFF"/>
            <w:noWrap/>
            <w:hideMark/>
          </w:tcPr>
          <w:p w14:paraId="73E516A2" w14:textId="77777777" w:rsidR="00415E27" w:rsidRPr="00415E27" w:rsidRDefault="00415E27" w:rsidP="00415E27">
            <w:pPr>
              <w:jc w:val="right"/>
              <w:rPr>
                <w:b/>
                <w:bCs/>
                <w:color w:val="000000"/>
                <w:sz w:val="14"/>
                <w:szCs w:val="14"/>
                <w:lang w:val="en-US" w:eastAsia="en-US"/>
              </w:rPr>
            </w:pPr>
            <w:r w:rsidRPr="00415E27">
              <w:rPr>
                <w:b/>
                <w:bCs/>
                <w:color w:val="000000"/>
                <w:sz w:val="14"/>
                <w:szCs w:val="14"/>
                <w:lang w:val="en-US" w:eastAsia="en-US"/>
              </w:rPr>
              <w:t>1.99</w:t>
            </w:r>
          </w:p>
        </w:tc>
        <w:tc>
          <w:tcPr>
            <w:tcW w:w="968" w:type="dxa"/>
            <w:tcBorders>
              <w:top w:val="nil"/>
              <w:left w:val="nil"/>
              <w:bottom w:val="nil"/>
              <w:right w:val="nil"/>
            </w:tcBorders>
            <w:shd w:val="clear" w:color="000000" w:fill="FFFFFF"/>
            <w:noWrap/>
            <w:hideMark/>
          </w:tcPr>
          <w:p w14:paraId="36A24D26"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1,209</w:t>
            </w:r>
          </w:p>
        </w:tc>
        <w:tc>
          <w:tcPr>
            <w:tcW w:w="797" w:type="dxa"/>
            <w:tcBorders>
              <w:top w:val="nil"/>
              <w:left w:val="nil"/>
              <w:bottom w:val="nil"/>
              <w:right w:val="nil"/>
            </w:tcBorders>
            <w:shd w:val="clear" w:color="000000" w:fill="FFFFFF"/>
            <w:noWrap/>
            <w:hideMark/>
          </w:tcPr>
          <w:p w14:paraId="0B766DDE"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14.11</w:t>
            </w:r>
          </w:p>
        </w:tc>
        <w:tc>
          <w:tcPr>
            <w:tcW w:w="725" w:type="dxa"/>
            <w:tcBorders>
              <w:top w:val="nil"/>
              <w:left w:val="nil"/>
              <w:bottom w:val="nil"/>
              <w:right w:val="nil"/>
            </w:tcBorders>
            <w:shd w:val="clear" w:color="000000" w:fill="FFFFFF"/>
            <w:noWrap/>
            <w:hideMark/>
          </w:tcPr>
          <w:p w14:paraId="5961A6ED"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9.8</w:t>
            </w:r>
          </w:p>
        </w:tc>
        <w:tc>
          <w:tcPr>
            <w:tcW w:w="645" w:type="dxa"/>
            <w:tcBorders>
              <w:top w:val="nil"/>
              <w:left w:val="single" w:sz="4" w:space="0" w:color="000000"/>
              <w:bottom w:val="nil"/>
              <w:right w:val="nil"/>
            </w:tcBorders>
            <w:shd w:val="clear" w:color="000000" w:fill="FFFFFF"/>
            <w:noWrap/>
            <w:hideMark/>
          </w:tcPr>
          <w:p w14:paraId="124DC4AB"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14%</w:t>
            </w:r>
          </w:p>
        </w:tc>
        <w:tc>
          <w:tcPr>
            <w:tcW w:w="797" w:type="dxa"/>
            <w:tcBorders>
              <w:top w:val="nil"/>
              <w:left w:val="nil"/>
              <w:bottom w:val="nil"/>
              <w:right w:val="nil"/>
            </w:tcBorders>
            <w:shd w:val="clear" w:color="000000" w:fill="FFFFFF"/>
            <w:noWrap/>
            <w:hideMark/>
          </w:tcPr>
          <w:p w14:paraId="4C7E7D2E"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7%</w:t>
            </w:r>
          </w:p>
        </w:tc>
        <w:tc>
          <w:tcPr>
            <w:tcW w:w="814" w:type="dxa"/>
            <w:tcBorders>
              <w:top w:val="nil"/>
              <w:left w:val="nil"/>
              <w:bottom w:val="nil"/>
              <w:right w:val="nil"/>
            </w:tcBorders>
            <w:shd w:val="clear" w:color="000000" w:fill="FFFFFF"/>
            <w:noWrap/>
            <w:hideMark/>
          </w:tcPr>
          <w:p w14:paraId="2B953C3B"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59%</w:t>
            </w:r>
          </w:p>
        </w:tc>
        <w:tc>
          <w:tcPr>
            <w:tcW w:w="845" w:type="dxa"/>
            <w:tcBorders>
              <w:top w:val="nil"/>
              <w:left w:val="nil"/>
              <w:bottom w:val="nil"/>
              <w:right w:val="nil"/>
            </w:tcBorders>
            <w:shd w:val="clear" w:color="000000" w:fill="FFFFFF"/>
            <w:noWrap/>
            <w:hideMark/>
          </w:tcPr>
          <w:p w14:paraId="17347A34"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19%</w:t>
            </w:r>
          </w:p>
        </w:tc>
        <w:tc>
          <w:tcPr>
            <w:tcW w:w="761" w:type="dxa"/>
            <w:tcBorders>
              <w:top w:val="nil"/>
              <w:left w:val="single" w:sz="4" w:space="0" w:color="auto"/>
              <w:bottom w:val="nil"/>
              <w:right w:val="nil"/>
            </w:tcBorders>
            <w:shd w:val="clear" w:color="000000" w:fill="FFFFFF"/>
            <w:noWrap/>
            <w:hideMark/>
          </w:tcPr>
          <w:p w14:paraId="5340DD67"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1.96</w:t>
            </w:r>
          </w:p>
        </w:tc>
        <w:tc>
          <w:tcPr>
            <w:tcW w:w="761" w:type="dxa"/>
            <w:tcBorders>
              <w:top w:val="nil"/>
              <w:left w:val="nil"/>
              <w:bottom w:val="nil"/>
              <w:right w:val="nil"/>
            </w:tcBorders>
            <w:shd w:val="clear" w:color="000000" w:fill="FFFFFF"/>
            <w:noWrap/>
            <w:hideMark/>
          </w:tcPr>
          <w:p w14:paraId="7A7AA150"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 xml:space="preserve">11 </w:t>
            </w:r>
          </w:p>
        </w:tc>
      </w:tr>
      <w:tr w:rsidR="00415E27" w:rsidRPr="00415E27" w14:paraId="02C3D8F5" w14:textId="77777777" w:rsidTr="008C0756">
        <w:trPr>
          <w:trHeight w:hRule="exact" w:val="284"/>
        </w:trPr>
        <w:tc>
          <w:tcPr>
            <w:tcW w:w="689" w:type="dxa"/>
            <w:tcBorders>
              <w:top w:val="nil"/>
              <w:left w:val="nil"/>
              <w:bottom w:val="nil"/>
              <w:right w:val="nil"/>
            </w:tcBorders>
            <w:shd w:val="clear" w:color="000000" w:fill="FFFFFF"/>
            <w:noWrap/>
            <w:hideMark/>
          </w:tcPr>
          <w:p w14:paraId="7C9340CA"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Yes</w:t>
            </w:r>
          </w:p>
        </w:tc>
        <w:tc>
          <w:tcPr>
            <w:tcW w:w="689" w:type="dxa"/>
            <w:tcBorders>
              <w:top w:val="nil"/>
              <w:left w:val="nil"/>
              <w:bottom w:val="nil"/>
              <w:right w:val="nil"/>
            </w:tcBorders>
            <w:shd w:val="clear" w:color="000000" w:fill="FFFFFF"/>
            <w:noWrap/>
            <w:hideMark/>
          </w:tcPr>
          <w:p w14:paraId="38297F84"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18</w:t>
            </w:r>
          </w:p>
        </w:tc>
        <w:tc>
          <w:tcPr>
            <w:tcW w:w="574" w:type="dxa"/>
            <w:tcBorders>
              <w:top w:val="nil"/>
              <w:left w:val="nil"/>
              <w:bottom w:val="nil"/>
              <w:right w:val="nil"/>
            </w:tcBorders>
            <w:shd w:val="clear" w:color="000000" w:fill="FFFFFF"/>
            <w:noWrap/>
            <w:hideMark/>
          </w:tcPr>
          <w:p w14:paraId="2B0DC7CA"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F07B</w:t>
            </w:r>
          </w:p>
        </w:tc>
        <w:tc>
          <w:tcPr>
            <w:tcW w:w="5304" w:type="dxa"/>
            <w:tcBorders>
              <w:top w:val="nil"/>
              <w:left w:val="nil"/>
              <w:bottom w:val="nil"/>
              <w:right w:val="nil"/>
            </w:tcBorders>
            <w:shd w:val="clear" w:color="000000" w:fill="FFFFFF"/>
            <w:noWrap/>
            <w:hideMark/>
          </w:tcPr>
          <w:p w14:paraId="4AB66C3F"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Other Cardiothoracic/Vascular Procedures W CPB Pump, Intermediate Complexity</w:t>
            </w:r>
          </w:p>
        </w:tc>
        <w:tc>
          <w:tcPr>
            <w:tcW w:w="761" w:type="dxa"/>
            <w:tcBorders>
              <w:top w:val="nil"/>
              <w:left w:val="nil"/>
              <w:bottom w:val="nil"/>
              <w:right w:val="nil"/>
            </w:tcBorders>
            <w:shd w:val="clear" w:color="000000" w:fill="FFFFFF"/>
            <w:noWrap/>
            <w:hideMark/>
          </w:tcPr>
          <w:p w14:paraId="53637AE3" w14:textId="77777777" w:rsidR="00415E27" w:rsidRPr="00415E27" w:rsidRDefault="00415E27" w:rsidP="00415E27">
            <w:pPr>
              <w:jc w:val="right"/>
              <w:rPr>
                <w:b/>
                <w:bCs/>
                <w:color w:val="000000"/>
                <w:sz w:val="14"/>
                <w:szCs w:val="14"/>
                <w:lang w:val="en-US" w:eastAsia="en-US"/>
              </w:rPr>
            </w:pPr>
            <w:r w:rsidRPr="00415E27">
              <w:rPr>
                <w:b/>
                <w:bCs/>
                <w:color w:val="000000"/>
                <w:sz w:val="14"/>
                <w:szCs w:val="14"/>
                <w:lang w:val="en-US" w:eastAsia="en-US"/>
              </w:rPr>
              <w:t>1.95</w:t>
            </w:r>
          </w:p>
        </w:tc>
        <w:tc>
          <w:tcPr>
            <w:tcW w:w="968" w:type="dxa"/>
            <w:tcBorders>
              <w:top w:val="nil"/>
              <w:left w:val="nil"/>
              <w:bottom w:val="nil"/>
              <w:right w:val="nil"/>
            </w:tcBorders>
            <w:shd w:val="clear" w:color="000000" w:fill="FFFFFF"/>
            <w:noWrap/>
            <w:hideMark/>
          </w:tcPr>
          <w:p w14:paraId="2A6E33AD"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104</w:t>
            </w:r>
          </w:p>
        </w:tc>
        <w:tc>
          <w:tcPr>
            <w:tcW w:w="797" w:type="dxa"/>
            <w:tcBorders>
              <w:top w:val="nil"/>
              <w:left w:val="nil"/>
              <w:bottom w:val="nil"/>
              <w:right w:val="nil"/>
            </w:tcBorders>
            <w:shd w:val="clear" w:color="000000" w:fill="FFFFFF"/>
            <w:noWrap/>
            <w:hideMark/>
          </w:tcPr>
          <w:p w14:paraId="60C14C30"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9.60</w:t>
            </w:r>
          </w:p>
        </w:tc>
        <w:tc>
          <w:tcPr>
            <w:tcW w:w="725" w:type="dxa"/>
            <w:tcBorders>
              <w:top w:val="nil"/>
              <w:left w:val="nil"/>
              <w:bottom w:val="nil"/>
              <w:right w:val="nil"/>
            </w:tcBorders>
            <w:shd w:val="clear" w:color="000000" w:fill="FFFFFF"/>
            <w:noWrap/>
            <w:hideMark/>
          </w:tcPr>
          <w:p w14:paraId="7294AD31"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11.8</w:t>
            </w:r>
          </w:p>
        </w:tc>
        <w:tc>
          <w:tcPr>
            <w:tcW w:w="645" w:type="dxa"/>
            <w:tcBorders>
              <w:top w:val="nil"/>
              <w:left w:val="single" w:sz="4" w:space="0" w:color="000000"/>
              <w:bottom w:val="nil"/>
              <w:right w:val="nil"/>
            </w:tcBorders>
            <w:shd w:val="clear" w:color="000000" w:fill="FFFFFF"/>
            <w:noWrap/>
            <w:hideMark/>
          </w:tcPr>
          <w:p w14:paraId="4CC5363F"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20%</w:t>
            </w:r>
          </w:p>
        </w:tc>
        <w:tc>
          <w:tcPr>
            <w:tcW w:w="797" w:type="dxa"/>
            <w:tcBorders>
              <w:top w:val="nil"/>
              <w:left w:val="nil"/>
              <w:bottom w:val="nil"/>
              <w:right w:val="nil"/>
            </w:tcBorders>
            <w:shd w:val="clear" w:color="000000" w:fill="FFFFFF"/>
            <w:noWrap/>
            <w:hideMark/>
          </w:tcPr>
          <w:p w14:paraId="44BEFC0F"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37%</w:t>
            </w:r>
          </w:p>
        </w:tc>
        <w:tc>
          <w:tcPr>
            <w:tcW w:w="814" w:type="dxa"/>
            <w:tcBorders>
              <w:top w:val="nil"/>
              <w:left w:val="nil"/>
              <w:bottom w:val="nil"/>
              <w:right w:val="nil"/>
            </w:tcBorders>
            <w:shd w:val="clear" w:color="000000" w:fill="FFFFFF"/>
            <w:noWrap/>
            <w:hideMark/>
          </w:tcPr>
          <w:p w14:paraId="6DD897E0"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14%</w:t>
            </w:r>
          </w:p>
        </w:tc>
        <w:tc>
          <w:tcPr>
            <w:tcW w:w="845" w:type="dxa"/>
            <w:tcBorders>
              <w:top w:val="nil"/>
              <w:left w:val="nil"/>
              <w:bottom w:val="nil"/>
              <w:right w:val="nil"/>
            </w:tcBorders>
            <w:shd w:val="clear" w:color="000000" w:fill="FFFFFF"/>
            <w:noWrap/>
            <w:hideMark/>
          </w:tcPr>
          <w:p w14:paraId="294750B5"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29%</w:t>
            </w:r>
          </w:p>
        </w:tc>
        <w:tc>
          <w:tcPr>
            <w:tcW w:w="761" w:type="dxa"/>
            <w:tcBorders>
              <w:top w:val="nil"/>
              <w:left w:val="single" w:sz="4" w:space="0" w:color="auto"/>
              <w:bottom w:val="nil"/>
              <w:right w:val="nil"/>
            </w:tcBorders>
            <w:shd w:val="clear" w:color="000000" w:fill="FFFFFF"/>
            <w:noWrap/>
            <w:hideMark/>
          </w:tcPr>
          <w:p w14:paraId="2FEFEB9F"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2.16</w:t>
            </w:r>
          </w:p>
        </w:tc>
        <w:tc>
          <w:tcPr>
            <w:tcW w:w="761" w:type="dxa"/>
            <w:tcBorders>
              <w:top w:val="nil"/>
              <w:left w:val="nil"/>
              <w:bottom w:val="nil"/>
              <w:right w:val="nil"/>
            </w:tcBorders>
            <w:shd w:val="clear" w:color="000000" w:fill="FFFFFF"/>
            <w:noWrap/>
            <w:hideMark/>
          </w:tcPr>
          <w:p w14:paraId="222F11A0"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 xml:space="preserve">8 </w:t>
            </w:r>
          </w:p>
        </w:tc>
      </w:tr>
      <w:tr w:rsidR="00415E27" w:rsidRPr="00415E27" w14:paraId="71652865" w14:textId="77777777" w:rsidTr="008C0756">
        <w:trPr>
          <w:trHeight w:hRule="exact" w:val="284"/>
        </w:trPr>
        <w:tc>
          <w:tcPr>
            <w:tcW w:w="689" w:type="dxa"/>
            <w:tcBorders>
              <w:top w:val="nil"/>
              <w:left w:val="nil"/>
              <w:bottom w:val="nil"/>
              <w:right w:val="nil"/>
            </w:tcBorders>
            <w:shd w:val="clear" w:color="000000" w:fill="FFFFFF"/>
            <w:noWrap/>
            <w:hideMark/>
          </w:tcPr>
          <w:p w14:paraId="2E66DA77"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No</w:t>
            </w:r>
          </w:p>
        </w:tc>
        <w:tc>
          <w:tcPr>
            <w:tcW w:w="689" w:type="dxa"/>
            <w:tcBorders>
              <w:top w:val="nil"/>
              <w:left w:val="nil"/>
              <w:bottom w:val="nil"/>
              <w:right w:val="nil"/>
            </w:tcBorders>
            <w:shd w:val="clear" w:color="000000" w:fill="FFFFFF"/>
            <w:noWrap/>
            <w:hideMark/>
          </w:tcPr>
          <w:p w14:paraId="3AD7C832"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19</w:t>
            </w:r>
          </w:p>
        </w:tc>
        <w:tc>
          <w:tcPr>
            <w:tcW w:w="574" w:type="dxa"/>
            <w:tcBorders>
              <w:top w:val="nil"/>
              <w:left w:val="nil"/>
              <w:bottom w:val="nil"/>
              <w:right w:val="nil"/>
            </w:tcBorders>
            <w:shd w:val="clear" w:color="000000" w:fill="FFFFFF"/>
            <w:noWrap/>
            <w:hideMark/>
          </w:tcPr>
          <w:p w14:paraId="03280327"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A06B</w:t>
            </w:r>
          </w:p>
        </w:tc>
        <w:tc>
          <w:tcPr>
            <w:tcW w:w="5304" w:type="dxa"/>
            <w:tcBorders>
              <w:top w:val="nil"/>
              <w:left w:val="nil"/>
              <w:bottom w:val="nil"/>
              <w:right w:val="nil"/>
            </w:tcBorders>
            <w:shd w:val="clear" w:color="000000" w:fill="FFFFFF"/>
            <w:noWrap/>
            <w:hideMark/>
          </w:tcPr>
          <w:p w14:paraId="310DB29B"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Tracheostomy and/or Ventilation &gt;=96hours, Intermediate Complexity</w:t>
            </w:r>
          </w:p>
        </w:tc>
        <w:tc>
          <w:tcPr>
            <w:tcW w:w="761" w:type="dxa"/>
            <w:tcBorders>
              <w:top w:val="nil"/>
              <w:left w:val="nil"/>
              <w:bottom w:val="nil"/>
              <w:right w:val="nil"/>
            </w:tcBorders>
            <w:shd w:val="clear" w:color="000000" w:fill="FFFFFF"/>
            <w:noWrap/>
            <w:hideMark/>
          </w:tcPr>
          <w:p w14:paraId="7589AA11" w14:textId="77777777" w:rsidR="00415E27" w:rsidRPr="00415E27" w:rsidRDefault="00415E27" w:rsidP="00415E27">
            <w:pPr>
              <w:jc w:val="right"/>
              <w:rPr>
                <w:b/>
                <w:bCs/>
                <w:color w:val="000000"/>
                <w:sz w:val="14"/>
                <w:szCs w:val="14"/>
                <w:lang w:val="en-US" w:eastAsia="en-US"/>
              </w:rPr>
            </w:pPr>
            <w:r w:rsidRPr="00415E27">
              <w:rPr>
                <w:b/>
                <w:bCs/>
                <w:color w:val="000000"/>
                <w:sz w:val="14"/>
                <w:szCs w:val="14"/>
                <w:lang w:val="en-US" w:eastAsia="en-US"/>
              </w:rPr>
              <w:t>1.94</w:t>
            </w:r>
          </w:p>
        </w:tc>
        <w:tc>
          <w:tcPr>
            <w:tcW w:w="968" w:type="dxa"/>
            <w:tcBorders>
              <w:top w:val="nil"/>
              <w:left w:val="nil"/>
              <w:bottom w:val="nil"/>
              <w:right w:val="nil"/>
            </w:tcBorders>
            <w:shd w:val="clear" w:color="000000" w:fill="FFFFFF"/>
            <w:noWrap/>
            <w:hideMark/>
          </w:tcPr>
          <w:p w14:paraId="3D4E4324"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532</w:t>
            </w:r>
          </w:p>
        </w:tc>
        <w:tc>
          <w:tcPr>
            <w:tcW w:w="797" w:type="dxa"/>
            <w:tcBorders>
              <w:top w:val="nil"/>
              <w:left w:val="nil"/>
              <w:bottom w:val="nil"/>
              <w:right w:val="nil"/>
            </w:tcBorders>
            <w:shd w:val="clear" w:color="000000" w:fill="FFFFFF"/>
            <w:noWrap/>
            <w:hideMark/>
          </w:tcPr>
          <w:p w14:paraId="7E728461"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24.44</w:t>
            </w:r>
          </w:p>
        </w:tc>
        <w:tc>
          <w:tcPr>
            <w:tcW w:w="725" w:type="dxa"/>
            <w:tcBorders>
              <w:top w:val="nil"/>
              <w:left w:val="nil"/>
              <w:bottom w:val="nil"/>
              <w:right w:val="nil"/>
            </w:tcBorders>
            <w:shd w:val="clear" w:color="000000" w:fill="FFFFFF"/>
            <w:noWrap/>
            <w:hideMark/>
          </w:tcPr>
          <w:p w14:paraId="0A4D884F"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31.4</w:t>
            </w:r>
          </w:p>
        </w:tc>
        <w:tc>
          <w:tcPr>
            <w:tcW w:w="645" w:type="dxa"/>
            <w:tcBorders>
              <w:top w:val="nil"/>
              <w:left w:val="single" w:sz="4" w:space="0" w:color="000000"/>
              <w:bottom w:val="nil"/>
              <w:right w:val="nil"/>
            </w:tcBorders>
            <w:shd w:val="clear" w:color="000000" w:fill="FFFFFF"/>
            <w:noWrap/>
            <w:hideMark/>
          </w:tcPr>
          <w:p w14:paraId="5B72F6F8"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8%</w:t>
            </w:r>
          </w:p>
        </w:tc>
        <w:tc>
          <w:tcPr>
            <w:tcW w:w="797" w:type="dxa"/>
            <w:tcBorders>
              <w:top w:val="nil"/>
              <w:left w:val="nil"/>
              <w:bottom w:val="nil"/>
              <w:right w:val="nil"/>
            </w:tcBorders>
            <w:shd w:val="clear" w:color="000000" w:fill="FFFFFF"/>
            <w:noWrap/>
            <w:hideMark/>
          </w:tcPr>
          <w:p w14:paraId="647971BE"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57%</w:t>
            </w:r>
          </w:p>
        </w:tc>
        <w:tc>
          <w:tcPr>
            <w:tcW w:w="814" w:type="dxa"/>
            <w:tcBorders>
              <w:top w:val="nil"/>
              <w:left w:val="nil"/>
              <w:bottom w:val="nil"/>
              <w:right w:val="nil"/>
            </w:tcBorders>
            <w:shd w:val="clear" w:color="000000" w:fill="FFFFFF"/>
            <w:noWrap/>
            <w:hideMark/>
          </w:tcPr>
          <w:p w14:paraId="220D6436"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6%</w:t>
            </w:r>
          </w:p>
        </w:tc>
        <w:tc>
          <w:tcPr>
            <w:tcW w:w="845" w:type="dxa"/>
            <w:tcBorders>
              <w:top w:val="nil"/>
              <w:left w:val="nil"/>
              <w:bottom w:val="nil"/>
              <w:right w:val="nil"/>
            </w:tcBorders>
            <w:shd w:val="clear" w:color="000000" w:fill="FFFFFF"/>
            <w:noWrap/>
            <w:hideMark/>
          </w:tcPr>
          <w:p w14:paraId="76CA2B74"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29%</w:t>
            </w:r>
          </w:p>
        </w:tc>
        <w:tc>
          <w:tcPr>
            <w:tcW w:w="761" w:type="dxa"/>
            <w:tcBorders>
              <w:top w:val="nil"/>
              <w:left w:val="single" w:sz="4" w:space="0" w:color="auto"/>
              <w:bottom w:val="nil"/>
              <w:right w:val="nil"/>
            </w:tcBorders>
            <w:shd w:val="clear" w:color="000000" w:fill="FFFFFF"/>
            <w:noWrap/>
            <w:hideMark/>
          </w:tcPr>
          <w:p w14:paraId="44F1F80D"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1.47</w:t>
            </w:r>
          </w:p>
        </w:tc>
        <w:tc>
          <w:tcPr>
            <w:tcW w:w="761" w:type="dxa"/>
            <w:tcBorders>
              <w:top w:val="nil"/>
              <w:left w:val="nil"/>
              <w:bottom w:val="nil"/>
              <w:right w:val="nil"/>
            </w:tcBorders>
            <w:shd w:val="clear" w:color="000000" w:fill="FFFFFF"/>
            <w:noWrap/>
            <w:hideMark/>
          </w:tcPr>
          <w:p w14:paraId="11C5EEC1"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 xml:space="preserve">32 </w:t>
            </w:r>
          </w:p>
        </w:tc>
      </w:tr>
      <w:tr w:rsidR="00415E27" w:rsidRPr="00415E27" w14:paraId="36BAC596" w14:textId="77777777" w:rsidTr="008C0756">
        <w:trPr>
          <w:trHeight w:hRule="exact" w:val="284"/>
        </w:trPr>
        <w:tc>
          <w:tcPr>
            <w:tcW w:w="689" w:type="dxa"/>
            <w:tcBorders>
              <w:top w:val="nil"/>
              <w:left w:val="nil"/>
              <w:bottom w:val="nil"/>
              <w:right w:val="nil"/>
            </w:tcBorders>
            <w:shd w:val="clear" w:color="000000" w:fill="FFFFFF"/>
            <w:noWrap/>
            <w:hideMark/>
          </w:tcPr>
          <w:p w14:paraId="50CB9311"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Yes</w:t>
            </w:r>
          </w:p>
        </w:tc>
        <w:tc>
          <w:tcPr>
            <w:tcW w:w="689" w:type="dxa"/>
            <w:tcBorders>
              <w:top w:val="nil"/>
              <w:left w:val="nil"/>
              <w:bottom w:val="single" w:sz="4" w:space="0" w:color="auto"/>
              <w:right w:val="nil"/>
            </w:tcBorders>
            <w:shd w:val="clear" w:color="000000" w:fill="FFFFFF"/>
            <w:noWrap/>
            <w:hideMark/>
          </w:tcPr>
          <w:p w14:paraId="2CD5CE11" w14:textId="77777777" w:rsidR="00415E27" w:rsidRPr="00415E27" w:rsidRDefault="00415E27" w:rsidP="00415E27">
            <w:pPr>
              <w:jc w:val="center"/>
              <w:rPr>
                <w:color w:val="000000"/>
                <w:sz w:val="14"/>
                <w:szCs w:val="14"/>
                <w:lang w:val="en-US" w:eastAsia="en-US"/>
              </w:rPr>
            </w:pPr>
            <w:r w:rsidRPr="00415E27">
              <w:rPr>
                <w:color w:val="000000"/>
                <w:sz w:val="14"/>
                <w:szCs w:val="14"/>
                <w:lang w:val="en-US" w:eastAsia="en-US"/>
              </w:rPr>
              <w:t>20</w:t>
            </w:r>
          </w:p>
        </w:tc>
        <w:tc>
          <w:tcPr>
            <w:tcW w:w="574" w:type="dxa"/>
            <w:tcBorders>
              <w:top w:val="nil"/>
              <w:left w:val="nil"/>
              <w:bottom w:val="single" w:sz="4" w:space="0" w:color="auto"/>
              <w:right w:val="nil"/>
            </w:tcBorders>
            <w:shd w:val="clear" w:color="000000" w:fill="FFFFFF"/>
            <w:noWrap/>
            <w:hideMark/>
          </w:tcPr>
          <w:p w14:paraId="214F2251"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G01A</w:t>
            </w:r>
          </w:p>
        </w:tc>
        <w:tc>
          <w:tcPr>
            <w:tcW w:w="5304" w:type="dxa"/>
            <w:tcBorders>
              <w:top w:val="nil"/>
              <w:left w:val="nil"/>
              <w:bottom w:val="single" w:sz="4" w:space="0" w:color="auto"/>
              <w:right w:val="nil"/>
            </w:tcBorders>
            <w:shd w:val="clear" w:color="000000" w:fill="FFFFFF"/>
            <w:noWrap/>
            <w:hideMark/>
          </w:tcPr>
          <w:p w14:paraId="73E4437B" w14:textId="77777777" w:rsidR="00415E27" w:rsidRPr="00415E27" w:rsidRDefault="00415E27" w:rsidP="00415E27">
            <w:pPr>
              <w:rPr>
                <w:color w:val="000000"/>
                <w:sz w:val="14"/>
                <w:szCs w:val="14"/>
                <w:lang w:val="en-US" w:eastAsia="en-US"/>
              </w:rPr>
            </w:pPr>
            <w:r w:rsidRPr="00415E27">
              <w:rPr>
                <w:color w:val="000000"/>
                <w:sz w:val="14"/>
                <w:szCs w:val="14"/>
                <w:lang w:val="en-US" w:eastAsia="en-US"/>
              </w:rPr>
              <w:t>Rectal Resection, Major Complexity</w:t>
            </w:r>
          </w:p>
        </w:tc>
        <w:tc>
          <w:tcPr>
            <w:tcW w:w="761" w:type="dxa"/>
            <w:tcBorders>
              <w:top w:val="nil"/>
              <w:left w:val="nil"/>
              <w:bottom w:val="single" w:sz="4" w:space="0" w:color="auto"/>
              <w:right w:val="nil"/>
            </w:tcBorders>
            <w:shd w:val="clear" w:color="000000" w:fill="FFFFFF"/>
            <w:noWrap/>
            <w:hideMark/>
          </w:tcPr>
          <w:p w14:paraId="16FDBF85" w14:textId="77777777" w:rsidR="00415E27" w:rsidRPr="00415E27" w:rsidRDefault="00415E27" w:rsidP="00415E27">
            <w:pPr>
              <w:jc w:val="right"/>
              <w:rPr>
                <w:b/>
                <w:bCs/>
                <w:color w:val="000000"/>
                <w:sz w:val="14"/>
                <w:szCs w:val="14"/>
                <w:lang w:val="en-US" w:eastAsia="en-US"/>
              </w:rPr>
            </w:pPr>
            <w:r w:rsidRPr="00415E27">
              <w:rPr>
                <w:b/>
                <w:bCs/>
                <w:color w:val="000000"/>
                <w:sz w:val="14"/>
                <w:szCs w:val="14"/>
                <w:lang w:val="en-US" w:eastAsia="en-US"/>
              </w:rPr>
              <w:t>1.88</w:t>
            </w:r>
          </w:p>
        </w:tc>
        <w:tc>
          <w:tcPr>
            <w:tcW w:w="968" w:type="dxa"/>
            <w:tcBorders>
              <w:top w:val="nil"/>
              <w:left w:val="nil"/>
              <w:bottom w:val="single" w:sz="4" w:space="0" w:color="auto"/>
              <w:right w:val="nil"/>
            </w:tcBorders>
            <w:shd w:val="clear" w:color="000000" w:fill="FFFFFF"/>
            <w:noWrap/>
            <w:hideMark/>
          </w:tcPr>
          <w:p w14:paraId="1FA91248"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300</w:t>
            </w:r>
          </w:p>
        </w:tc>
        <w:tc>
          <w:tcPr>
            <w:tcW w:w="797" w:type="dxa"/>
            <w:tcBorders>
              <w:top w:val="nil"/>
              <w:left w:val="nil"/>
              <w:bottom w:val="single" w:sz="4" w:space="0" w:color="auto"/>
              <w:right w:val="nil"/>
            </w:tcBorders>
            <w:shd w:val="clear" w:color="000000" w:fill="FFFFFF"/>
            <w:noWrap/>
            <w:hideMark/>
          </w:tcPr>
          <w:p w14:paraId="342F1A24"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11.45</w:t>
            </w:r>
          </w:p>
        </w:tc>
        <w:tc>
          <w:tcPr>
            <w:tcW w:w="725" w:type="dxa"/>
            <w:tcBorders>
              <w:top w:val="nil"/>
              <w:left w:val="nil"/>
              <w:bottom w:val="single" w:sz="4" w:space="0" w:color="auto"/>
              <w:right w:val="nil"/>
            </w:tcBorders>
            <w:shd w:val="clear" w:color="000000" w:fill="FFFFFF"/>
            <w:noWrap/>
            <w:hideMark/>
          </w:tcPr>
          <w:p w14:paraId="0E0AA395"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26.7</w:t>
            </w:r>
          </w:p>
        </w:tc>
        <w:tc>
          <w:tcPr>
            <w:tcW w:w="645" w:type="dxa"/>
            <w:tcBorders>
              <w:top w:val="nil"/>
              <w:left w:val="single" w:sz="4" w:space="0" w:color="000000"/>
              <w:bottom w:val="nil"/>
              <w:right w:val="nil"/>
            </w:tcBorders>
            <w:shd w:val="clear" w:color="000000" w:fill="FFFFFF"/>
            <w:noWrap/>
            <w:hideMark/>
          </w:tcPr>
          <w:p w14:paraId="49325010"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16%</w:t>
            </w:r>
          </w:p>
        </w:tc>
        <w:tc>
          <w:tcPr>
            <w:tcW w:w="797" w:type="dxa"/>
            <w:tcBorders>
              <w:top w:val="nil"/>
              <w:left w:val="nil"/>
              <w:bottom w:val="nil"/>
              <w:right w:val="nil"/>
            </w:tcBorders>
            <w:shd w:val="clear" w:color="000000" w:fill="FFFFFF"/>
            <w:noWrap/>
            <w:hideMark/>
          </w:tcPr>
          <w:p w14:paraId="2A3653D9"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28%</w:t>
            </w:r>
          </w:p>
        </w:tc>
        <w:tc>
          <w:tcPr>
            <w:tcW w:w="814" w:type="dxa"/>
            <w:tcBorders>
              <w:top w:val="nil"/>
              <w:left w:val="nil"/>
              <w:bottom w:val="nil"/>
              <w:right w:val="nil"/>
            </w:tcBorders>
            <w:shd w:val="clear" w:color="000000" w:fill="FFFFFF"/>
            <w:noWrap/>
            <w:hideMark/>
          </w:tcPr>
          <w:p w14:paraId="013B841A"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5%</w:t>
            </w:r>
          </w:p>
        </w:tc>
        <w:tc>
          <w:tcPr>
            <w:tcW w:w="845" w:type="dxa"/>
            <w:tcBorders>
              <w:top w:val="nil"/>
              <w:left w:val="nil"/>
              <w:bottom w:val="nil"/>
              <w:right w:val="nil"/>
            </w:tcBorders>
            <w:shd w:val="clear" w:color="000000" w:fill="FFFFFF"/>
            <w:noWrap/>
            <w:hideMark/>
          </w:tcPr>
          <w:p w14:paraId="63478BDF"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51%</w:t>
            </w:r>
          </w:p>
        </w:tc>
        <w:tc>
          <w:tcPr>
            <w:tcW w:w="761" w:type="dxa"/>
            <w:tcBorders>
              <w:top w:val="nil"/>
              <w:left w:val="single" w:sz="4" w:space="0" w:color="auto"/>
              <w:bottom w:val="nil"/>
              <w:right w:val="nil"/>
            </w:tcBorders>
            <w:shd w:val="clear" w:color="000000" w:fill="FFFFFF"/>
            <w:noWrap/>
            <w:hideMark/>
          </w:tcPr>
          <w:p w14:paraId="4ACDCD38"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1.83</w:t>
            </w:r>
          </w:p>
        </w:tc>
        <w:tc>
          <w:tcPr>
            <w:tcW w:w="761" w:type="dxa"/>
            <w:tcBorders>
              <w:top w:val="nil"/>
              <w:left w:val="nil"/>
              <w:bottom w:val="nil"/>
              <w:right w:val="nil"/>
            </w:tcBorders>
            <w:shd w:val="clear" w:color="000000" w:fill="FFFFFF"/>
            <w:noWrap/>
            <w:hideMark/>
          </w:tcPr>
          <w:p w14:paraId="5446AF2A" w14:textId="77777777" w:rsidR="00415E27" w:rsidRPr="00415E27" w:rsidRDefault="00415E27" w:rsidP="00415E27">
            <w:pPr>
              <w:jc w:val="right"/>
              <w:rPr>
                <w:color w:val="000000"/>
                <w:sz w:val="14"/>
                <w:szCs w:val="14"/>
                <w:lang w:val="en-US" w:eastAsia="en-US"/>
              </w:rPr>
            </w:pPr>
            <w:r w:rsidRPr="00415E27">
              <w:rPr>
                <w:color w:val="000000"/>
                <w:sz w:val="14"/>
                <w:szCs w:val="14"/>
                <w:lang w:val="en-US" w:eastAsia="en-US"/>
              </w:rPr>
              <w:t xml:space="preserve">16 </w:t>
            </w:r>
          </w:p>
        </w:tc>
      </w:tr>
      <w:tr w:rsidR="00415E27" w:rsidRPr="00415E27" w14:paraId="742EEB02" w14:textId="77777777" w:rsidTr="008C0756">
        <w:trPr>
          <w:trHeight w:val="232"/>
        </w:trPr>
        <w:tc>
          <w:tcPr>
            <w:tcW w:w="689" w:type="dxa"/>
            <w:tcBorders>
              <w:top w:val="single" w:sz="4" w:space="0" w:color="auto"/>
              <w:left w:val="nil"/>
              <w:bottom w:val="nil"/>
              <w:right w:val="nil"/>
            </w:tcBorders>
            <w:shd w:val="clear" w:color="000000" w:fill="FFFFFF"/>
            <w:noWrap/>
            <w:hideMark/>
          </w:tcPr>
          <w:p w14:paraId="363AD17A" w14:textId="77777777" w:rsidR="00415E27" w:rsidRPr="00415E27" w:rsidRDefault="00415E27" w:rsidP="00CD460D">
            <w:pPr>
              <w:spacing w:after="0"/>
              <w:jc w:val="center"/>
              <w:rPr>
                <w:color w:val="000000"/>
                <w:sz w:val="14"/>
                <w:szCs w:val="14"/>
                <w:lang w:val="en-US" w:eastAsia="en-US"/>
              </w:rPr>
            </w:pPr>
            <w:r w:rsidRPr="00415E27">
              <w:rPr>
                <w:color w:val="000000"/>
                <w:sz w:val="14"/>
                <w:szCs w:val="14"/>
                <w:lang w:val="en-US" w:eastAsia="en-US"/>
              </w:rPr>
              <w:t>17</w:t>
            </w:r>
          </w:p>
        </w:tc>
        <w:tc>
          <w:tcPr>
            <w:tcW w:w="6567" w:type="dxa"/>
            <w:gridSpan w:val="3"/>
            <w:tcBorders>
              <w:top w:val="single" w:sz="4" w:space="0" w:color="auto"/>
              <w:left w:val="nil"/>
              <w:bottom w:val="nil"/>
              <w:right w:val="nil"/>
            </w:tcBorders>
            <w:shd w:val="clear" w:color="000000" w:fill="FFFFFF"/>
            <w:noWrap/>
            <w:hideMark/>
          </w:tcPr>
          <w:p w14:paraId="098301D3" w14:textId="77777777" w:rsidR="00415E27" w:rsidRPr="00415E27" w:rsidRDefault="00415E27" w:rsidP="00CD460D">
            <w:pPr>
              <w:spacing w:after="0"/>
              <w:rPr>
                <w:b/>
                <w:bCs/>
                <w:color w:val="000000"/>
                <w:sz w:val="14"/>
                <w:szCs w:val="14"/>
                <w:lang w:val="en-US" w:eastAsia="en-US"/>
              </w:rPr>
            </w:pPr>
            <w:r w:rsidRPr="00415E27">
              <w:rPr>
                <w:b/>
                <w:bCs/>
                <w:color w:val="000000"/>
                <w:sz w:val="14"/>
                <w:szCs w:val="14"/>
                <w:lang w:val="en-US" w:eastAsia="en-US"/>
              </w:rPr>
              <w:t>Sub-total, top 20 highest ORSPS cost-weight DRGs</w:t>
            </w:r>
          </w:p>
        </w:tc>
        <w:tc>
          <w:tcPr>
            <w:tcW w:w="761" w:type="dxa"/>
            <w:tcBorders>
              <w:top w:val="nil"/>
              <w:left w:val="nil"/>
              <w:bottom w:val="nil"/>
              <w:right w:val="nil"/>
            </w:tcBorders>
            <w:shd w:val="clear" w:color="000000" w:fill="FFFFFF"/>
            <w:noWrap/>
            <w:hideMark/>
          </w:tcPr>
          <w:p w14:paraId="01E9C097" w14:textId="77777777" w:rsidR="00415E27" w:rsidRPr="00415E27" w:rsidRDefault="00415E27" w:rsidP="00CD460D">
            <w:pPr>
              <w:spacing w:after="0"/>
              <w:jc w:val="right"/>
              <w:rPr>
                <w:b/>
                <w:bCs/>
                <w:color w:val="000000"/>
                <w:sz w:val="14"/>
                <w:szCs w:val="14"/>
                <w:lang w:val="en-US" w:eastAsia="en-US"/>
              </w:rPr>
            </w:pPr>
            <w:r w:rsidRPr="00415E27">
              <w:rPr>
                <w:b/>
                <w:bCs/>
                <w:color w:val="000000"/>
                <w:sz w:val="14"/>
                <w:szCs w:val="14"/>
                <w:lang w:val="en-US" w:eastAsia="en-US"/>
              </w:rPr>
              <w:t>2.20</w:t>
            </w:r>
          </w:p>
        </w:tc>
        <w:tc>
          <w:tcPr>
            <w:tcW w:w="968" w:type="dxa"/>
            <w:tcBorders>
              <w:top w:val="nil"/>
              <w:left w:val="nil"/>
              <w:bottom w:val="nil"/>
              <w:right w:val="nil"/>
            </w:tcBorders>
            <w:shd w:val="clear" w:color="000000" w:fill="FFFFFF"/>
            <w:noWrap/>
            <w:hideMark/>
          </w:tcPr>
          <w:p w14:paraId="7F8E1886" w14:textId="77777777" w:rsidR="00415E27" w:rsidRPr="00415E27" w:rsidRDefault="00415E27" w:rsidP="00CD460D">
            <w:pPr>
              <w:spacing w:after="0"/>
              <w:jc w:val="right"/>
              <w:rPr>
                <w:b/>
                <w:bCs/>
                <w:color w:val="000000"/>
                <w:sz w:val="14"/>
                <w:szCs w:val="14"/>
                <w:lang w:val="en-US" w:eastAsia="en-US"/>
              </w:rPr>
            </w:pPr>
            <w:r w:rsidRPr="00415E27">
              <w:rPr>
                <w:b/>
                <w:bCs/>
                <w:color w:val="000000"/>
                <w:sz w:val="14"/>
                <w:szCs w:val="14"/>
                <w:lang w:val="en-US" w:eastAsia="en-US"/>
              </w:rPr>
              <w:t>8,948</w:t>
            </w:r>
          </w:p>
        </w:tc>
        <w:tc>
          <w:tcPr>
            <w:tcW w:w="797" w:type="dxa"/>
            <w:tcBorders>
              <w:top w:val="nil"/>
              <w:left w:val="nil"/>
              <w:bottom w:val="nil"/>
              <w:right w:val="nil"/>
            </w:tcBorders>
            <w:shd w:val="clear" w:color="000000" w:fill="FFFFFF"/>
            <w:noWrap/>
            <w:hideMark/>
          </w:tcPr>
          <w:p w14:paraId="094FCB51" w14:textId="77777777" w:rsidR="00415E27" w:rsidRPr="00415E27" w:rsidRDefault="00415E27" w:rsidP="00CD460D">
            <w:pPr>
              <w:spacing w:after="0"/>
              <w:jc w:val="right"/>
              <w:rPr>
                <w:b/>
                <w:bCs/>
                <w:color w:val="000000"/>
                <w:sz w:val="14"/>
                <w:szCs w:val="14"/>
                <w:lang w:val="en-US" w:eastAsia="en-US"/>
              </w:rPr>
            </w:pPr>
            <w:r w:rsidRPr="00415E27">
              <w:rPr>
                <w:b/>
                <w:bCs/>
                <w:color w:val="000000"/>
                <w:sz w:val="14"/>
                <w:szCs w:val="14"/>
                <w:lang w:val="en-US" w:eastAsia="en-US"/>
              </w:rPr>
              <w:t>12.61</w:t>
            </w:r>
          </w:p>
        </w:tc>
        <w:tc>
          <w:tcPr>
            <w:tcW w:w="725" w:type="dxa"/>
            <w:tcBorders>
              <w:top w:val="nil"/>
              <w:left w:val="nil"/>
              <w:bottom w:val="nil"/>
              <w:right w:val="nil"/>
            </w:tcBorders>
            <w:shd w:val="clear" w:color="000000" w:fill="FFFFFF"/>
            <w:noWrap/>
            <w:hideMark/>
          </w:tcPr>
          <w:p w14:paraId="55378591" w14:textId="77777777" w:rsidR="00415E27" w:rsidRPr="00415E27" w:rsidRDefault="00415E27" w:rsidP="00CD460D">
            <w:pPr>
              <w:spacing w:after="0"/>
              <w:jc w:val="right"/>
              <w:rPr>
                <w:b/>
                <w:bCs/>
                <w:color w:val="000000"/>
                <w:sz w:val="14"/>
                <w:szCs w:val="14"/>
                <w:lang w:val="en-US" w:eastAsia="en-US"/>
              </w:rPr>
            </w:pPr>
            <w:r w:rsidRPr="00415E27">
              <w:rPr>
                <w:b/>
                <w:bCs/>
                <w:color w:val="000000"/>
                <w:sz w:val="14"/>
                <w:szCs w:val="14"/>
                <w:lang w:val="en-US" w:eastAsia="en-US"/>
              </w:rPr>
              <w:t>16.6</w:t>
            </w:r>
          </w:p>
        </w:tc>
        <w:tc>
          <w:tcPr>
            <w:tcW w:w="645" w:type="dxa"/>
            <w:tcBorders>
              <w:top w:val="single" w:sz="4" w:space="0" w:color="auto"/>
              <w:left w:val="single" w:sz="4" w:space="0" w:color="000000"/>
              <w:bottom w:val="nil"/>
              <w:right w:val="nil"/>
            </w:tcBorders>
            <w:shd w:val="clear" w:color="000000" w:fill="FFFFFF"/>
            <w:noWrap/>
            <w:hideMark/>
          </w:tcPr>
          <w:p w14:paraId="4E0BECC8" w14:textId="77777777" w:rsidR="00415E27" w:rsidRPr="00415E27" w:rsidRDefault="00415E27" w:rsidP="00CD460D">
            <w:pPr>
              <w:spacing w:after="0"/>
              <w:jc w:val="right"/>
              <w:rPr>
                <w:color w:val="000000"/>
                <w:sz w:val="14"/>
                <w:szCs w:val="14"/>
                <w:lang w:val="en-US" w:eastAsia="en-US"/>
              </w:rPr>
            </w:pPr>
            <w:r w:rsidRPr="00415E27">
              <w:rPr>
                <w:color w:val="000000"/>
                <w:sz w:val="14"/>
                <w:szCs w:val="14"/>
                <w:lang w:val="en-US" w:eastAsia="en-US"/>
              </w:rPr>
              <w:t>17%</w:t>
            </w:r>
          </w:p>
        </w:tc>
        <w:tc>
          <w:tcPr>
            <w:tcW w:w="797" w:type="dxa"/>
            <w:tcBorders>
              <w:top w:val="single" w:sz="4" w:space="0" w:color="auto"/>
              <w:left w:val="nil"/>
              <w:bottom w:val="nil"/>
              <w:right w:val="nil"/>
            </w:tcBorders>
            <w:shd w:val="clear" w:color="000000" w:fill="FFFFFF"/>
            <w:noWrap/>
            <w:hideMark/>
          </w:tcPr>
          <w:p w14:paraId="3A879E15" w14:textId="77777777" w:rsidR="00415E27" w:rsidRPr="00415E27" w:rsidRDefault="00415E27" w:rsidP="00CD460D">
            <w:pPr>
              <w:spacing w:after="0"/>
              <w:jc w:val="right"/>
              <w:rPr>
                <w:color w:val="000000"/>
                <w:sz w:val="14"/>
                <w:szCs w:val="14"/>
                <w:lang w:val="en-US" w:eastAsia="en-US"/>
              </w:rPr>
            </w:pPr>
            <w:r w:rsidRPr="00415E27">
              <w:rPr>
                <w:color w:val="000000"/>
                <w:sz w:val="14"/>
                <w:szCs w:val="14"/>
                <w:lang w:val="en-US" w:eastAsia="en-US"/>
              </w:rPr>
              <w:t>32%</w:t>
            </w:r>
          </w:p>
        </w:tc>
        <w:tc>
          <w:tcPr>
            <w:tcW w:w="814" w:type="dxa"/>
            <w:tcBorders>
              <w:top w:val="single" w:sz="4" w:space="0" w:color="auto"/>
              <w:left w:val="nil"/>
              <w:bottom w:val="nil"/>
              <w:right w:val="nil"/>
            </w:tcBorders>
            <w:shd w:val="clear" w:color="000000" w:fill="FFFFFF"/>
            <w:noWrap/>
            <w:hideMark/>
          </w:tcPr>
          <w:p w14:paraId="7FC854E8" w14:textId="77777777" w:rsidR="00415E27" w:rsidRPr="00415E27" w:rsidRDefault="00415E27" w:rsidP="00CD460D">
            <w:pPr>
              <w:spacing w:after="0"/>
              <w:jc w:val="right"/>
              <w:rPr>
                <w:color w:val="000000"/>
                <w:sz w:val="14"/>
                <w:szCs w:val="14"/>
                <w:lang w:val="en-US" w:eastAsia="en-US"/>
              </w:rPr>
            </w:pPr>
            <w:r w:rsidRPr="00415E27">
              <w:rPr>
                <w:color w:val="000000"/>
                <w:sz w:val="14"/>
                <w:szCs w:val="14"/>
                <w:lang w:val="en-US" w:eastAsia="en-US"/>
              </w:rPr>
              <w:t>21%</w:t>
            </w:r>
          </w:p>
        </w:tc>
        <w:tc>
          <w:tcPr>
            <w:tcW w:w="845" w:type="dxa"/>
            <w:tcBorders>
              <w:top w:val="single" w:sz="4" w:space="0" w:color="auto"/>
              <w:left w:val="nil"/>
              <w:bottom w:val="nil"/>
              <w:right w:val="nil"/>
            </w:tcBorders>
            <w:shd w:val="clear" w:color="000000" w:fill="FFFFFF"/>
            <w:noWrap/>
            <w:hideMark/>
          </w:tcPr>
          <w:p w14:paraId="436E3AD9" w14:textId="77777777" w:rsidR="00415E27" w:rsidRPr="00415E27" w:rsidRDefault="00415E27" w:rsidP="00CD460D">
            <w:pPr>
              <w:spacing w:after="0"/>
              <w:jc w:val="right"/>
              <w:rPr>
                <w:color w:val="000000"/>
                <w:sz w:val="14"/>
                <w:szCs w:val="14"/>
                <w:lang w:val="en-US" w:eastAsia="en-US"/>
              </w:rPr>
            </w:pPr>
            <w:r w:rsidRPr="00415E27">
              <w:rPr>
                <w:color w:val="000000"/>
                <w:sz w:val="14"/>
                <w:szCs w:val="14"/>
                <w:lang w:val="en-US" w:eastAsia="en-US"/>
              </w:rPr>
              <w:t>30%</w:t>
            </w:r>
          </w:p>
        </w:tc>
        <w:tc>
          <w:tcPr>
            <w:tcW w:w="761" w:type="dxa"/>
            <w:tcBorders>
              <w:top w:val="single" w:sz="4" w:space="0" w:color="auto"/>
              <w:left w:val="single" w:sz="4" w:space="0" w:color="auto"/>
              <w:bottom w:val="nil"/>
              <w:right w:val="nil"/>
            </w:tcBorders>
            <w:shd w:val="clear" w:color="000000" w:fill="FFFFFF"/>
            <w:noWrap/>
            <w:hideMark/>
          </w:tcPr>
          <w:p w14:paraId="76D46654" w14:textId="77777777" w:rsidR="00415E27" w:rsidRPr="00415E27" w:rsidRDefault="00415E27" w:rsidP="00CD460D">
            <w:pPr>
              <w:spacing w:after="0"/>
              <w:rPr>
                <w:b/>
                <w:bCs/>
                <w:color w:val="000000"/>
                <w:sz w:val="14"/>
                <w:szCs w:val="14"/>
                <w:lang w:val="en-US" w:eastAsia="en-US"/>
              </w:rPr>
            </w:pPr>
            <w:r w:rsidRPr="00415E27">
              <w:rPr>
                <w:b/>
                <w:bCs/>
                <w:color w:val="000000"/>
                <w:sz w:val="14"/>
                <w:szCs w:val="14"/>
                <w:lang w:val="en-US" w:eastAsia="en-US"/>
              </w:rPr>
              <w:t> </w:t>
            </w:r>
          </w:p>
        </w:tc>
        <w:tc>
          <w:tcPr>
            <w:tcW w:w="761" w:type="dxa"/>
            <w:tcBorders>
              <w:top w:val="single" w:sz="4" w:space="0" w:color="auto"/>
              <w:left w:val="nil"/>
              <w:bottom w:val="nil"/>
              <w:right w:val="nil"/>
            </w:tcBorders>
            <w:shd w:val="clear" w:color="000000" w:fill="FFFFFF"/>
            <w:noWrap/>
            <w:hideMark/>
          </w:tcPr>
          <w:p w14:paraId="4D669A01" w14:textId="77777777" w:rsidR="00415E27" w:rsidRPr="00415E27" w:rsidRDefault="00415E27" w:rsidP="00CD460D">
            <w:pPr>
              <w:spacing w:after="0"/>
              <w:rPr>
                <w:b/>
                <w:bCs/>
                <w:color w:val="000000"/>
                <w:sz w:val="14"/>
                <w:szCs w:val="14"/>
                <w:lang w:val="en-US" w:eastAsia="en-US"/>
              </w:rPr>
            </w:pPr>
            <w:r w:rsidRPr="00415E27">
              <w:rPr>
                <w:b/>
                <w:bCs/>
                <w:color w:val="000000"/>
                <w:sz w:val="14"/>
                <w:szCs w:val="14"/>
                <w:lang w:val="en-US" w:eastAsia="en-US"/>
              </w:rPr>
              <w:t> </w:t>
            </w:r>
          </w:p>
        </w:tc>
      </w:tr>
      <w:tr w:rsidR="00CD460D" w:rsidRPr="00415E27" w14:paraId="4AD70865" w14:textId="77777777" w:rsidTr="008C0756">
        <w:trPr>
          <w:trHeight w:val="232"/>
        </w:trPr>
        <w:tc>
          <w:tcPr>
            <w:tcW w:w="689" w:type="dxa"/>
            <w:tcBorders>
              <w:top w:val="nil"/>
              <w:left w:val="nil"/>
              <w:bottom w:val="nil"/>
              <w:right w:val="nil"/>
            </w:tcBorders>
            <w:shd w:val="clear" w:color="000000" w:fill="FFFFFF"/>
            <w:noWrap/>
            <w:hideMark/>
          </w:tcPr>
          <w:p w14:paraId="46FA92FA" w14:textId="77777777" w:rsidR="00CD460D" w:rsidRPr="00415E27" w:rsidRDefault="00CD460D" w:rsidP="00CD460D">
            <w:pPr>
              <w:spacing w:after="0"/>
              <w:jc w:val="center"/>
              <w:rPr>
                <w:color w:val="000000"/>
                <w:sz w:val="14"/>
                <w:szCs w:val="14"/>
                <w:lang w:val="en-US" w:eastAsia="en-US"/>
              </w:rPr>
            </w:pPr>
            <w:r w:rsidRPr="00415E27">
              <w:rPr>
                <w:color w:val="000000"/>
                <w:sz w:val="14"/>
                <w:szCs w:val="14"/>
                <w:lang w:val="en-US" w:eastAsia="en-US"/>
              </w:rPr>
              <w:t xml:space="preserve">in </w:t>
            </w:r>
          </w:p>
        </w:tc>
        <w:tc>
          <w:tcPr>
            <w:tcW w:w="1263" w:type="dxa"/>
            <w:gridSpan w:val="2"/>
            <w:tcBorders>
              <w:top w:val="nil"/>
              <w:left w:val="nil"/>
              <w:bottom w:val="nil"/>
              <w:right w:val="nil"/>
            </w:tcBorders>
            <w:shd w:val="clear" w:color="000000" w:fill="FFFFFF"/>
            <w:noWrap/>
            <w:hideMark/>
          </w:tcPr>
          <w:p w14:paraId="2B34B3B1" w14:textId="77777777" w:rsidR="00CD460D" w:rsidRPr="00415E27" w:rsidRDefault="00CD460D" w:rsidP="00CD460D">
            <w:pPr>
              <w:spacing w:after="0"/>
              <w:rPr>
                <w:b/>
                <w:bCs/>
                <w:color w:val="000000"/>
                <w:sz w:val="14"/>
                <w:szCs w:val="14"/>
                <w:lang w:val="en-US" w:eastAsia="en-US"/>
              </w:rPr>
            </w:pPr>
            <w:r w:rsidRPr="00415E27">
              <w:rPr>
                <w:b/>
                <w:bCs/>
                <w:color w:val="000000"/>
                <w:sz w:val="14"/>
                <w:szCs w:val="14"/>
                <w:lang w:val="en-US" w:eastAsia="en-US"/>
              </w:rPr>
              <w:t>All DRGs</w:t>
            </w:r>
          </w:p>
          <w:p w14:paraId="1C9442E5" w14:textId="63CF852B" w:rsidR="00CD460D" w:rsidRPr="00415E27" w:rsidRDefault="00CD460D" w:rsidP="00CD460D">
            <w:pPr>
              <w:spacing w:after="0"/>
              <w:rPr>
                <w:b/>
                <w:bCs/>
                <w:color w:val="000000"/>
                <w:sz w:val="14"/>
                <w:szCs w:val="14"/>
                <w:lang w:val="en-US" w:eastAsia="en-US"/>
              </w:rPr>
            </w:pPr>
            <w:r w:rsidRPr="00415E27">
              <w:rPr>
                <w:b/>
                <w:bCs/>
                <w:color w:val="000000"/>
                <w:sz w:val="14"/>
                <w:szCs w:val="14"/>
                <w:lang w:val="en-US" w:eastAsia="en-US"/>
              </w:rPr>
              <w:t> </w:t>
            </w:r>
          </w:p>
        </w:tc>
        <w:tc>
          <w:tcPr>
            <w:tcW w:w="5304" w:type="dxa"/>
            <w:tcBorders>
              <w:top w:val="nil"/>
              <w:left w:val="nil"/>
              <w:bottom w:val="nil"/>
              <w:right w:val="nil"/>
            </w:tcBorders>
            <w:shd w:val="clear" w:color="000000" w:fill="FFFFFF"/>
            <w:noWrap/>
            <w:hideMark/>
          </w:tcPr>
          <w:p w14:paraId="7ED70781" w14:textId="77777777" w:rsidR="00CD460D" w:rsidRPr="00415E27" w:rsidRDefault="00CD460D" w:rsidP="00CD460D">
            <w:pPr>
              <w:spacing w:after="0"/>
              <w:rPr>
                <w:color w:val="000000"/>
                <w:sz w:val="14"/>
                <w:szCs w:val="14"/>
                <w:lang w:val="en-US" w:eastAsia="en-US"/>
              </w:rPr>
            </w:pPr>
            <w:r w:rsidRPr="00415E27">
              <w:rPr>
                <w:color w:val="000000"/>
                <w:sz w:val="14"/>
                <w:szCs w:val="14"/>
                <w:lang w:val="en-US" w:eastAsia="en-US"/>
              </w:rPr>
              <w:t> </w:t>
            </w:r>
          </w:p>
        </w:tc>
        <w:tc>
          <w:tcPr>
            <w:tcW w:w="761" w:type="dxa"/>
            <w:tcBorders>
              <w:top w:val="nil"/>
              <w:left w:val="nil"/>
              <w:bottom w:val="nil"/>
              <w:right w:val="nil"/>
            </w:tcBorders>
            <w:shd w:val="clear" w:color="000000" w:fill="FFFFFF"/>
            <w:noWrap/>
            <w:hideMark/>
          </w:tcPr>
          <w:p w14:paraId="1A47E889" w14:textId="77777777" w:rsidR="00CD460D" w:rsidRPr="00415E27" w:rsidRDefault="00CD460D" w:rsidP="00CD460D">
            <w:pPr>
              <w:spacing w:after="0"/>
              <w:jc w:val="right"/>
              <w:rPr>
                <w:b/>
                <w:bCs/>
                <w:color w:val="000000"/>
                <w:sz w:val="14"/>
                <w:szCs w:val="14"/>
                <w:lang w:val="en-US" w:eastAsia="en-US"/>
              </w:rPr>
            </w:pPr>
            <w:r w:rsidRPr="00415E27">
              <w:rPr>
                <w:b/>
                <w:bCs/>
                <w:color w:val="000000"/>
                <w:sz w:val="14"/>
                <w:szCs w:val="14"/>
                <w:lang w:val="en-US" w:eastAsia="en-US"/>
              </w:rPr>
              <w:t>0.26</w:t>
            </w:r>
          </w:p>
        </w:tc>
        <w:tc>
          <w:tcPr>
            <w:tcW w:w="968" w:type="dxa"/>
            <w:tcBorders>
              <w:top w:val="nil"/>
              <w:left w:val="nil"/>
              <w:bottom w:val="nil"/>
              <w:right w:val="nil"/>
            </w:tcBorders>
            <w:shd w:val="clear" w:color="000000" w:fill="FFFFFF"/>
            <w:noWrap/>
            <w:hideMark/>
          </w:tcPr>
          <w:p w14:paraId="53B08F3C" w14:textId="77777777" w:rsidR="00CD460D" w:rsidRPr="00415E27" w:rsidRDefault="00CD460D" w:rsidP="00CD460D">
            <w:pPr>
              <w:spacing w:after="0"/>
              <w:jc w:val="right"/>
              <w:rPr>
                <w:b/>
                <w:bCs/>
                <w:color w:val="000000"/>
                <w:sz w:val="14"/>
                <w:szCs w:val="14"/>
                <w:lang w:val="en-US" w:eastAsia="en-US"/>
              </w:rPr>
            </w:pPr>
            <w:r w:rsidRPr="00415E27">
              <w:rPr>
                <w:b/>
                <w:bCs/>
                <w:color w:val="000000"/>
                <w:sz w:val="14"/>
                <w:szCs w:val="14"/>
                <w:lang w:val="en-US" w:eastAsia="en-US"/>
              </w:rPr>
              <w:t>3,051,681</w:t>
            </w:r>
          </w:p>
        </w:tc>
        <w:tc>
          <w:tcPr>
            <w:tcW w:w="797" w:type="dxa"/>
            <w:tcBorders>
              <w:top w:val="nil"/>
              <w:left w:val="nil"/>
              <w:bottom w:val="nil"/>
              <w:right w:val="nil"/>
            </w:tcBorders>
            <w:shd w:val="clear" w:color="000000" w:fill="FFFFFF"/>
            <w:noWrap/>
            <w:hideMark/>
          </w:tcPr>
          <w:p w14:paraId="3773C4DE" w14:textId="77777777" w:rsidR="00CD460D" w:rsidRPr="00415E27" w:rsidRDefault="00CD460D" w:rsidP="00CD460D">
            <w:pPr>
              <w:spacing w:after="0"/>
              <w:jc w:val="right"/>
              <w:rPr>
                <w:b/>
                <w:bCs/>
                <w:color w:val="000000"/>
                <w:sz w:val="14"/>
                <w:szCs w:val="14"/>
                <w:lang w:val="en-US" w:eastAsia="en-US"/>
              </w:rPr>
            </w:pPr>
            <w:r w:rsidRPr="00415E27">
              <w:rPr>
                <w:b/>
                <w:bCs/>
                <w:color w:val="000000"/>
                <w:sz w:val="14"/>
                <w:szCs w:val="14"/>
                <w:lang w:val="en-US" w:eastAsia="en-US"/>
              </w:rPr>
              <w:t>1.00</w:t>
            </w:r>
          </w:p>
        </w:tc>
        <w:tc>
          <w:tcPr>
            <w:tcW w:w="725" w:type="dxa"/>
            <w:tcBorders>
              <w:top w:val="nil"/>
              <w:left w:val="nil"/>
              <w:bottom w:val="nil"/>
              <w:right w:val="nil"/>
            </w:tcBorders>
            <w:shd w:val="clear" w:color="000000" w:fill="FFFFFF"/>
            <w:noWrap/>
            <w:hideMark/>
          </w:tcPr>
          <w:p w14:paraId="6F544AD8" w14:textId="77777777" w:rsidR="00CD460D" w:rsidRPr="00415E27" w:rsidRDefault="00CD460D" w:rsidP="00CD460D">
            <w:pPr>
              <w:spacing w:after="0"/>
              <w:jc w:val="right"/>
              <w:rPr>
                <w:b/>
                <w:bCs/>
                <w:color w:val="000000"/>
                <w:sz w:val="14"/>
                <w:szCs w:val="14"/>
                <w:lang w:val="en-US" w:eastAsia="en-US"/>
              </w:rPr>
            </w:pPr>
            <w:r w:rsidRPr="00415E27">
              <w:rPr>
                <w:b/>
                <w:bCs/>
                <w:color w:val="000000"/>
                <w:sz w:val="14"/>
                <w:szCs w:val="14"/>
                <w:lang w:val="en-US" w:eastAsia="en-US"/>
              </w:rPr>
              <w:t>2.3</w:t>
            </w:r>
          </w:p>
        </w:tc>
        <w:tc>
          <w:tcPr>
            <w:tcW w:w="645" w:type="dxa"/>
            <w:tcBorders>
              <w:top w:val="nil"/>
              <w:left w:val="single" w:sz="4" w:space="0" w:color="000000"/>
              <w:bottom w:val="nil"/>
              <w:right w:val="nil"/>
            </w:tcBorders>
            <w:shd w:val="clear" w:color="000000" w:fill="FFFFFF"/>
            <w:noWrap/>
            <w:hideMark/>
          </w:tcPr>
          <w:p w14:paraId="0FC82447" w14:textId="77777777" w:rsidR="00CD460D" w:rsidRPr="00415E27" w:rsidRDefault="00CD460D" w:rsidP="00CD460D">
            <w:pPr>
              <w:spacing w:after="0"/>
              <w:jc w:val="right"/>
              <w:rPr>
                <w:color w:val="000000"/>
                <w:sz w:val="14"/>
                <w:szCs w:val="14"/>
                <w:lang w:val="en-US" w:eastAsia="en-US"/>
              </w:rPr>
            </w:pPr>
            <w:r w:rsidRPr="00415E27">
              <w:rPr>
                <w:color w:val="000000"/>
                <w:sz w:val="14"/>
                <w:szCs w:val="14"/>
                <w:lang w:val="en-US" w:eastAsia="en-US"/>
              </w:rPr>
              <w:t>26%</w:t>
            </w:r>
          </w:p>
        </w:tc>
        <w:tc>
          <w:tcPr>
            <w:tcW w:w="797" w:type="dxa"/>
            <w:tcBorders>
              <w:top w:val="nil"/>
              <w:left w:val="nil"/>
              <w:bottom w:val="nil"/>
              <w:right w:val="nil"/>
            </w:tcBorders>
            <w:shd w:val="clear" w:color="000000" w:fill="FFFFFF"/>
            <w:noWrap/>
            <w:hideMark/>
          </w:tcPr>
          <w:p w14:paraId="0C24692D" w14:textId="77777777" w:rsidR="00CD460D" w:rsidRPr="00415E27" w:rsidRDefault="00CD460D" w:rsidP="00CD460D">
            <w:pPr>
              <w:spacing w:after="0"/>
              <w:jc w:val="right"/>
              <w:rPr>
                <w:color w:val="000000"/>
                <w:sz w:val="14"/>
                <w:szCs w:val="14"/>
                <w:lang w:val="en-US" w:eastAsia="en-US"/>
              </w:rPr>
            </w:pPr>
            <w:r w:rsidRPr="00415E27">
              <w:rPr>
                <w:color w:val="000000"/>
                <w:sz w:val="14"/>
                <w:szCs w:val="14"/>
                <w:lang w:val="en-US" w:eastAsia="en-US"/>
              </w:rPr>
              <w:t>6%</w:t>
            </w:r>
          </w:p>
        </w:tc>
        <w:tc>
          <w:tcPr>
            <w:tcW w:w="814" w:type="dxa"/>
            <w:tcBorders>
              <w:top w:val="nil"/>
              <w:left w:val="nil"/>
              <w:bottom w:val="nil"/>
              <w:right w:val="nil"/>
            </w:tcBorders>
            <w:shd w:val="clear" w:color="000000" w:fill="FFFFFF"/>
            <w:noWrap/>
            <w:hideMark/>
          </w:tcPr>
          <w:p w14:paraId="6BE38B5B" w14:textId="77777777" w:rsidR="00CD460D" w:rsidRPr="00415E27" w:rsidRDefault="00CD460D" w:rsidP="00CD460D">
            <w:pPr>
              <w:spacing w:after="0"/>
              <w:jc w:val="right"/>
              <w:rPr>
                <w:color w:val="000000"/>
                <w:sz w:val="14"/>
                <w:szCs w:val="14"/>
                <w:lang w:val="en-US" w:eastAsia="en-US"/>
              </w:rPr>
            </w:pPr>
            <w:r w:rsidRPr="00415E27">
              <w:rPr>
                <w:color w:val="000000"/>
                <w:sz w:val="14"/>
                <w:szCs w:val="14"/>
                <w:lang w:val="en-US" w:eastAsia="en-US"/>
              </w:rPr>
              <w:t>19%</w:t>
            </w:r>
          </w:p>
        </w:tc>
        <w:tc>
          <w:tcPr>
            <w:tcW w:w="845" w:type="dxa"/>
            <w:tcBorders>
              <w:top w:val="nil"/>
              <w:left w:val="nil"/>
              <w:bottom w:val="nil"/>
              <w:right w:val="nil"/>
            </w:tcBorders>
            <w:shd w:val="clear" w:color="000000" w:fill="FFFFFF"/>
            <w:noWrap/>
            <w:hideMark/>
          </w:tcPr>
          <w:p w14:paraId="1366221D" w14:textId="77777777" w:rsidR="00CD460D" w:rsidRPr="00415E27" w:rsidRDefault="00CD460D" w:rsidP="00CD460D">
            <w:pPr>
              <w:spacing w:after="0"/>
              <w:jc w:val="right"/>
              <w:rPr>
                <w:color w:val="000000"/>
                <w:sz w:val="14"/>
                <w:szCs w:val="14"/>
                <w:lang w:val="en-US" w:eastAsia="en-US"/>
              </w:rPr>
            </w:pPr>
            <w:r w:rsidRPr="00415E27">
              <w:rPr>
                <w:color w:val="000000"/>
                <w:sz w:val="14"/>
                <w:szCs w:val="14"/>
                <w:lang w:val="en-US" w:eastAsia="en-US"/>
              </w:rPr>
              <w:t>48%</w:t>
            </w:r>
          </w:p>
        </w:tc>
        <w:tc>
          <w:tcPr>
            <w:tcW w:w="761" w:type="dxa"/>
            <w:tcBorders>
              <w:top w:val="nil"/>
              <w:left w:val="single" w:sz="4" w:space="0" w:color="auto"/>
              <w:bottom w:val="nil"/>
              <w:right w:val="nil"/>
            </w:tcBorders>
            <w:shd w:val="clear" w:color="000000" w:fill="FFFFFF"/>
            <w:noWrap/>
            <w:hideMark/>
          </w:tcPr>
          <w:p w14:paraId="50377658" w14:textId="77777777" w:rsidR="00CD460D" w:rsidRPr="00415E27" w:rsidRDefault="00CD460D" w:rsidP="00CD460D">
            <w:pPr>
              <w:spacing w:after="0"/>
              <w:rPr>
                <w:b/>
                <w:bCs/>
                <w:color w:val="000000"/>
                <w:sz w:val="14"/>
                <w:szCs w:val="14"/>
                <w:lang w:val="en-US" w:eastAsia="en-US"/>
              </w:rPr>
            </w:pPr>
            <w:r w:rsidRPr="00415E27">
              <w:rPr>
                <w:b/>
                <w:bCs/>
                <w:color w:val="000000"/>
                <w:sz w:val="14"/>
                <w:szCs w:val="14"/>
                <w:lang w:val="en-US" w:eastAsia="en-US"/>
              </w:rPr>
              <w:t> </w:t>
            </w:r>
          </w:p>
        </w:tc>
        <w:tc>
          <w:tcPr>
            <w:tcW w:w="761" w:type="dxa"/>
            <w:tcBorders>
              <w:top w:val="nil"/>
              <w:left w:val="nil"/>
              <w:bottom w:val="nil"/>
              <w:right w:val="nil"/>
            </w:tcBorders>
            <w:shd w:val="clear" w:color="000000" w:fill="FFFFFF"/>
            <w:noWrap/>
            <w:hideMark/>
          </w:tcPr>
          <w:p w14:paraId="7AC3F691" w14:textId="77777777" w:rsidR="00CD460D" w:rsidRPr="00415E27" w:rsidRDefault="00CD460D" w:rsidP="00CD460D">
            <w:pPr>
              <w:spacing w:after="0"/>
              <w:rPr>
                <w:b/>
                <w:bCs/>
                <w:color w:val="000000"/>
                <w:sz w:val="14"/>
                <w:szCs w:val="14"/>
                <w:lang w:val="en-US" w:eastAsia="en-US"/>
              </w:rPr>
            </w:pPr>
            <w:r w:rsidRPr="00415E27">
              <w:rPr>
                <w:b/>
                <w:bCs/>
                <w:color w:val="000000"/>
                <w:sz w:val="14"/>
                <w:szCs w:val="14"/>
                <w:lang w:val="en-US" w:eastAsia="en-US"/>
              </w:rPr>
              <w:t> </w:t>
            </w:r>
          </w:p>
        </w:tc>
      </w:tr>
      <w:tr w:rsidR="00415E27" w:rsidRPr="00415E27" w14:paraId="18941989" w14:textId="77777777" w:rsidTr="008C0756">
        <w:trPr>
          <w:trHeight w:val="232"/>
        </w:trPr>
        <w:tc>
          <w:tcPr>
            <w:tcW w:w="689" w:type="dxa"/>
            <w:tcBorders>
              <w:top w:val="nil"/>
              <w:left w:val="nil"/>
              <w:bottom w:val="single" w:sz="4" w:space="0" w:color="auto"/>
              <w:right w:val="nil"/>
            </w:tcBorders>
            <w:shd w:val="clear" w:color="000000" w:fill="FFFFFF"/>
            <w:noWrap/>
            <w:hideMark/>
          </w:tcPr>
          <w:p w14:paraId="3669DDF0" w14:textId="77777777" w:rsidR="00415E27" w:rsidRPr="00415E27" w:rsidRDefault="00415E27" w:rsidP="00CD460D">
            <w:pPr>
              <w:spacing w:after="0"/>
              <w:jc w:val="center"/>
              <w:rPr>
                <w:color w:val="000000"/>
                <w:sz w:val="14"/>
                <w:szCs w:val="14"/>
                <w:lang w:val="en-US" w:eastAsia="en-US"/>
              </w:rPr>
            </w:pPr>
            <w:r w:rsidRPr="00415E27">
              <w:rPr>
                <w:color w:val="000000"/>
                <w:sz w:val="14"/>
                <w:szCs w:val="14"/>
                <w:lang w:val="en-US" w:eastAsia="en-US"/>
              </w:rPr>
              <w:t>Top 20</w:t>
            </w:r>
          </w:p>
        </w:tc>
        <w:tc>
          <w:tcPr>
            <w:tcW w:w="6567" w:type="dxa"/>
            <w:gridSpan w:val="3"/>
            <w:tcBorders>
              <w:top w:val="nil"/>
              <w:left w:val="nil"/>
              <w:bottom w:val="single" w:sz="4" w:space="0" w:color="auto"/>
              <w:right w:val="nil"/>
            </w:tcBorders>
            <w:shd w:val="clear" w:color="000000" w:fill="FFFFFF"/>
            <w:noWrap/>
            <w:hideMark/>
          </w:tcPr>
          <w:p w14:paraId="16741276" w14:textId="77777777" w:rsidR="00415E27" w:rsidRPr="00415E27" w:rsidRDefault="00415E27" w:rsidP="00CD460D">
            <w:pPr>
              <w:spacing w:after="0"/>
              <w:rPr>
                <w:b/>
                <w:bCs/>
                <w:color w:val="000000"/>
                <w:sz w:val="14"/>
                <w:szCs w:val="14"/>
                <w:lang w:val="en-US" w:eastAsia="en-US"/>
              </w:rPr>
            </w:pPr>
            <w:r w:rsidRPr="00415E27">
              <w:rPr>
                <w:b/>
                <w:bCs/>
                <w:color w:val="000000"/>
                <w:sz w:val="14"/>
                <w:szCs w:val="14"/>
                <w:lang w:val="en-US" w:eastAsia="en-US"/>
              </w:rPr>
              <w:t>Top 20 OR and SPS cost-weight DRGs, % of all DRGs</w:t>
            </w:r>
          </w:p>
        </w:tc>
        <w:tc>
          <w:tcPr>
            <w:tcW w:w="761" w:type="dxa"/>
            <w:tcBorders>
              <w:top w:val="nil"/>
              <w:left w:val="nil"/>
              <w:bottom w:val="single" w:sz="4" w:space="0" w:color="auto"/>
              <w:right w:val="nil"/>
            </w:tcBorders>
            <w:shd w:val="clear" w:color="000000" w:fill="FFFFFF"/>
            <w:noWrap/>
            <w:hideMark/>
          </w:tcPr>
          <w:p w14:paraId="7DF4FD46" w14:textId="77777777" w:rsidR="00415E27" w:rsidRPr="00415E27" w:rsidRDefault="00415E27" w:rsidP="00CD460D">
            <w:pPr>
              <w:spacing w:after="0"/>
              <w:rPr>
                <w:b/>
                <w:bCs/>
                <w:color w:val="000000"/>
                <w:sz w:val="14"/>
                <w:szCs w:val="14"/>
                <w:lang w:val="en-US" w:eastAsia="en-US"/>
              </w:rPr>
            </w:pPr>
            <w:r w:rsidRPr="00415E27">
              <w:rPr>
                <w:b/>
                <w:bCs/>
                <w:color w:val="000000"/>
                <w:sz w:val="14"/>
                <w:szCs w:val="14"/>
                <w:lang w:val="en-US" w:eastAsia="en-US"/>
              </w:rPr>
              <w:t> </w:t>
            </w:r>
          </w:p>
        </w:tc>
        <w:tc>
          <w:tcPr>
            <w:tcW w:w="968" w:type="dxa"/>
            <w:tcBorders>
              <w:top w:val="nil"/>
              <w:left w:val="nil"/>
              <w:bottom w:val="single" w:sz="4" w:space="0" w:color="auto"/>
              <w:right w:val="nil"/>
            </w:tcBorders>
            <w:shd w:val="clear" w:color="000000" w:fill="FFFFFF"/>
            <w:noWrap/>
            <w:hideMark/>
          </w:tcPr>
          <w:p w14:paraId="3AA5606A" w14:textId="77777777" w:rsidR="00415E27" w:rsidRPr="00415E27" w:rsidRDefault="00415E27" w:rsidP="00CD460D">
            <w:pPr>
              <w:spacing w:after="0"/>
              <w:jc w:val="right"/>
              <w:rPr>
                <w:b/>
                <w:bCs/>
                <w:color w:val="000000"/>
                <w:sz w:val="14"/>
                <w:szCs w:val="14"/>
                <w:lang w:val="en-US" w:eastAsia="en-US"/>
              </w:rPr>
            </w:pPr>
            <w:r w:rsidRPr="00415E27">
              <w:rPr>
                <w:b/>
                <w:bCs/>
                <w:color w:val="000000"/>
                <w:sz w:val="14"/>
                <w:szCs w:val="14"/>
                <w:lang w:val="en-US" w:eastAsia="en-US"/>
              </w:rPr>
              <w:t>0.3%</w:t>
            </w:r>
          </w:p>
        </w:tc>
        <w:tc>
          <w:tcPr>
            <w:tcW w:w="797" w:type="dxa"/>
            <w:tcBorders>
              <w:top w:val="nil"/>
              <w:left w:val="nil"/>
              <w:bottom w:val="single" w:sz="4" w:space="0" w:color="auto"/>
              <w:right w:val="nil"/>
            </w:tcBorders>
            <w:shd w:val="clear" w:color="000000" w:fill="FFFFFF"/>
            <w:noWrap/>
            <w:hideMark/>
          </w:tcPr>
          <w:p w14:paraId="75709141" w14:textId="77777777" w:rsidR="00415E27" w:rsidRPr="00415E27" w:rsidRDefault="00415E27" w:rsidP="00CD460D">
            <w:pPr>
              <w:spacing w:after="0"/>
              <w:rPr>
                <w:color w:val="000000"/>
                <w:sz w:val="14"/>
                <w:szCs w:val="14"/>
                <w:lang w:val="en-US" w:eastAsia="en-US"/>
              </w:rPr>
            </w:pPr>
            <w:r w:rsidRPr="00415E27">
              <w:rPr>
                <w:color w:val="000000"/>
                <w:sz w:val="14"/>
                <w:szCs w:val="14"/>
                <w:lang w:val="en-US" w:eastAsia="en-US"/>
              </w:rPr>
              <w:t> </w:t>
            </w:r>
          </w:p>
        </w:tc>
        <w:tc>
          <w:tcPr>
            <w:tcW w:w="725" w:type="dxa"/>
            <w:tcBorders>
              <w:top w:val="nil"/>
              <w:left w:val="nil"/>
              <w:bottom w:val="single" w:sz="4" w:space="0" w:color="auto"/>
              <w:right w:val="nil"/>
            </w:tcBorders>
            <w:shd w:val="clear" w:color="000000" w:fill="FFFFFF"/>
            <w:noWrap/>
            <w:hideMark/>
          </w:tcPr>
          <w:p w14:paraId="7A816724" w14:textId="77777777" w:rsidR="00415E27" w:rsidRPr="00415E27" w:rsidRDefault="00415E27" w:rsidP="00CD460D">
            <w:pPr>
              <w:spacing w:after="0"/>
              <w:rPr>
                <w:color w:val="000000"/>
                <w:sz w:val="14"/>
                <w:szCs w:val="14"/>
                <w:lang w:val="en-US" w:eastAsia="en-US"/>
              </w:rPr>
            </w:pPr>
            <w:r w:rsidRPr="00415E27">
              <w:rPr>
                <w:color w:val="000000"/>
                <w:sz w:val="14"/>
                <w:szCs w:val="14"/>
                <w:lang w:val="en-US" w:eastAsia="en-US"/>
              </w:rPr>
              <w:t> </w:t>
            </w:r>
          </w:p>
        </w:tc>
        <w:tc>
          <w:tcPr>
            <w:tcW w:w="645" w:type="dxa"/>
            <w:tcBorders>
              <w:top w:val="nil"/>
              <w:left w:val="single" w:sz="4" w:space="0" w:color="000000"/>
              <w:bottom w:val="single" w:sz="4" w:space="0" w:color="000000"/>
              <w:right w:val="nil"/>
            </w:tcBorders>
            <w:shd w:val="clear" w:color="000000" w:fill="FFFFFF"/>
            <w:noWrap/>
            <w:hideMark/>
          </w:tcPr>
          <w:p w14:paraId="515ECC15" w14:textId="77777777" w:rsidR="00415E27" w:rsidRPr="00415E27" w:rsidRDefault="00415E27" w:rsidP="00CD460D">
            <w:pPr>
              <w:spacing w:after="0"/>
              <w:rPr>
                <w:color w:val="000000"/>
                <w:sz w:val="14"/>
                <w:szCs w:val="14"/>
                <w:lang w:val="en-US" w:eastAsia="en-US"/>
              </w:rPr>
            </w:pPr>
            <w:r w:rsidRPr="00415E27">
              <w:rPr>
                <w:color w:val="000000"/>
                <w:sz w:val="14"/>
                <w:szCs w:val="14"/>
                <w:lang w:val="en-US" w:eastAsia="en-US"/>
              </w:rPr>
              <w:t> </w:t>
            </w:r>
          </w:p>
        </w:tc>
        <w:tc>
          <w:tcPr>
            <w:tcW w:w="797" w:type="dxa"/>
            <w:tcBorders>
              <w:top w:val="nil"/>
              <w:left w:val="nil"/>
              <w:bottom w:val="single" w:sz="4" w:space="0" w:color="000000"/>
              <w:right w:val="nil"/>
            </w:tcBorders>
            <w:shd w:val="clear" w:color="000000" w:fill="FFFFFF"/>
            <w:noWrap/>
            <w:hideMark/>
          </w:tcPr>
          <w:p w14:paraId="3CC83325" w14:textId="77777777" w:rsidR="00415E27" w:rsidRPr="00415E27" w:rsidRDefault="00415E27" w:rsidP="00CD460D">
            <w:pPr>
              <w:spacing w:after="0"/>
              <w:rPr>
                <w:color w:val="000000"/>
                <w:sz w:val="14"/>
                <w:szCs w:val="14"/>
                <w:lang w:val="en-US" w:eastAsia="en-US"/>
              </w:rPr>
            </w:pPr>
            <w:r w:rsidRPr="00415E27">
              <w:rPr>
                <w:color w:val="000000"/>
                <w:sz w:val="14"/>
                <w:szCs w:val="14"/>
                <w:lang w:val="en-US" w:eastAsia="en-US"/>
              </w:rPr>
              <w:t> </w:t>
            </w:r>
          </w:p>
        </w:tc>
        <w:tc>
          <w:tcPr>
            <w:tcW w:w="814" w:type="dxa"/>
            <w:tcBorders>
              <w:top w:val="nil"/>
              <w:left w:val="nil"/>
              <w:bottom w:val="single" w:sz="4" w:space="0" w:color="000000"/>
              <w:right w:val="nil"/>
            </w:tcBorders>
            <w:shd w:val="clear" w:color="000000" w:fill="FFFFFF"/>
            <w:noWrap/>
            <w:hideMark/>
          </w:tcPr>
          <w:p w14:paraId="675EF366" w14:textId="77777777" w:rsidR="00415E27" w:rsidRPr="00415E27" w:rsidRDefault="00415E27" w:rsidP="00CD460D">
            <w:pPr>
              <w:spacing w:after="0"/>
              <w:rPr>
                <w:color w:val="000000"/>
                <w:sz w:val="14"/>
                <w:szCs w:val="14"/>
                <w:lang w:val="en-US" w:eastAsia="en-US"/>
              </w:rPr>
            </w:pPr>
            <w:r w:rsidRPr="00415E27">
              <w:rPr>
                <w:color w:val="000000"/>
                <w:sz w:val="14"/>
                <w:szCs w:val="14"/>
                <w:lang w:val="en-US" w:eastAsia="en-US"/>
              </w:rPr>
              <w:t> </w:t>
            </w:r>
          </w:p>
        </w:tc>
        <w:tc>
          <w:tcPr>
            <w:tcW w:w="845" w:type="dxa"/>
            <w:tcBorders>
              <w:top w:val="nil"/>
              <w:left w:val="nil"/>
              <w:bottom w:val="single" w:sz="4" w:space="0" w:color="000000"/>
              <w:right w:val="nil"/>
            </w:tcBorders>
            <w:shd w:val="clear" w:color="000000" w:fill="FFFFFF"/>
            <w:noWrap/>
            <w:hideMark/>
          </w:tcPr>
          <w:p w14:paraId="40AC6B8B" w14:textId="77777777" w:rsidR="00415E27" w:rsidRPr="00415E27" w:rsidRDefault="00415E27" w:rsidP="00CD460D">
            <w:pPr>
              <w:spacing w:after="0"/>
              <w:rPr>
                <w:color w:val="000000"/>
                <w:sz w:val="14"/>
                <w:szCs w:val="14"/>
                <w:lang w:val="en-US" w:eastAsia="en-US"/>
              </w:rPr>
            </w:pPr>
            <w:r w:rsidRPr="00415E27">
              <w:rPr>
                <w:color w:val="000000"/>
                <w:sz w:val="14"/>
                <w:szCs w:val="14"/>
                <w:lang w:val="en-US" w:eastAsia="en-US"/>
              </w:rPr>
              <w:t> </w:t>
            </w:r>
          </w:p>
        </w:tc>
        <w:tc>
          <w:tcPr>
            <w:tcW w:w="761" w:type="dxa"/>
            <w:tcBorders>
              <w:top w:val="nil"/>
              <w:left w:val="single" w:sz="4" w:space="0" w:color="auto"/>
              <w:bottom w:val="single" w:sz="4" w:space="0" w:color="auto"/>
              <w:right w:val="nil"/>
            </w:tcBorders>
            <w:shd w:val="clear" w:color="000000" w:fill="FFFFFF"/>
            <w:noWrap/>
            <w:hideMark/>
          </w:tcPr>
          <w:p w14:paraId="31A68505" w14:textId="77777777" w:rsidR="00415E27" w:rsidRPr="00415E27" w:rsidRDefault="00415E27" w:rsidP="00CD460D">
            <w:pPr>
              <w:spacing w:after="0"/>
              <w:rPr>
                <w:color w:val="000000"/>
                <w:sz w:val="14"/>
                <w:szCs w:val="14"/>
                <w:lang w:val="en-US" w:eastAsia="en-US"/>
              </w:rPr>
            </w:pPr>
            <w:r w:rsidRPr="00415E27">
              <w:rPr>
                <w:color w:val="000000"/>
                <w:sz w:val="14"/>
                <w:szCs w:val="14"/>
                <w:lang w:val="en-US" w:eastAsia="en-US"/>
              </w:rPr>
              <w:t> </w:t>
            </w:r>
          </w:p>
        </w:tc>
        <w:tc>
          <w:tcPr>
            <w:tcW w:w="761" w:type="dxa"/>
            <w:tcBorders>
              <w:top w:val="nil"/>
              <w:left w:val="nil"/>
              <w:bottom w:val="single" w:sz="4" w:space="0" w:color="auto"/>
              <w:right w:val="nil"/>
            </w:tcBorders>
            <w:shd w:val="clear" w:color="000000" w:fill="FFFFFF"/>
            <w:noWrap/>
            <w:hideMark/>
          </w:tcPr>
          <w:p w14:paraId="5C49DC45" w14:textId="77777777" w:rsidR="00415E27" w:rsidRPr="00415E27" w:rsidRDefault="00415E27" w:rsidP="00CD460D">
            <w:pPr>
              <w:spacing w:after="0"/>
              <w:rPr>
                <w:color w:val="000000"/>
                <w:sz w:val="14"/>
                <w:szCs w:val="14"/>
                <w:lang w:val="en-US" w:eastAsia="en-US"/>
              </w:rPr>
            </w:pPr>
            <w:r w:rsidRPr="00415E27">
              <w:rPr>
                <w:color w:val="000000"/>
                <w:sz w:val="14"/>
                <w:szCs w:val="14"/>
                <w:lang w:val="en-US" w:eastAsia="en-US"/>
              </w:rPr>
              <w:t> </w:t>
            </w:r>
          </w:p>
        </w:tc>
      </w:tr>
    </w:tbl>
    <w:p w14:paraId="4D293D48" w14:textId="7066501D" w:rsidR="00415E27" w:rsidRPr="00272A9E" w:rsidRDefault="00415E27" w:rsidP="00415E27">
      <w:pPr>
        <w:rPr>
          <w:rFonts w:asciiTheme="minorHAnsi" w:hAnsiTheme="minorHAnsi" w:cstheme="minorHAnsi"/>
          <w:color w:val="008A00" w:themeColor="accent2"/>
          <w:sz w:val="16"/>
        </w:rPr>
      </w:pPr>
      <w:r w:rsidRPr="00272A9E">
        <w:rPr>
          <w:rFonts w:asciiTheme="minorHAnsi" w:hAnsiTheme="minorHAnsi" w:cstheme="minorHAnsi"/>
          <w:color w:val="008A00" w:themeColor="accent2"/>
          <w:sz w:val="16"/>
        </w:rPr>
        <w:t>Notes</w:t>
      </w:r>
      <w:r w:rsidRPr="00272A9E">
        <w:rPr>
          <w:rFonts w:asciiTheme="minorHAnsi" w:hAnsiTheme="minorHAnsi" w:cstheme="minorHAnsi"/>
          <w:color w:val="008A00" w:themeColor="accent2"/>
          <w:sz w:val="16"/>
        </w:rPr>
        <w:tab/>
      </w:r>
      <w:r w:rsidRPr="00272A9E">
        <w:rPr>
          <w:rFonts w:asciiTheme="minorHAnsi" w:hAnsiTheme="minorHAnsi" w:cstheme="minorHAnsi"/>
          <w:color w:val="008A00" w:themeColor="accent2"/>
          <w:sz w:val="16"/>
        </w:rPr>
        <w:tab/>
      </w:r>
    </w:p>
    <w:p w14:paraId="4220CDE5" w14:textId="051CE6D7" w:rsidR="00415E27" w:rsidRPr="00544B40" w:rsidRDefault="00415E27" w:rsidP="00544B40">
      <w:pPr>
        <w:spacing w:after="0"/>
        <w:rPr>
          <w:rFonts w:asciiTheme="minorHAnsi" w:hAnsiTheme="minorHAnsi" w:cstheme="minorHAnsi"/>
          <w:sz w:val="16"/>
        </w:rPr>
      </w:pPr>
      <w:r w:rsidRPr="00272A9E">
        <w:rPr>
          <w:rFonts w:asciiTheme="minorHAnsi" w:hAnsiTheme="minorHAnsi" w:cstheme="minorHAnsi"/>
          <w:sz w:val="16"/>
        </w:rPr>
        <w:t xml:space="preserve">(a) For cost weight (cost bucket specific) calculations please refer to </w:t>
      </w:r>
      <w:r w:rsidR="00544B40">
        <w:rPr>
          <w:rFonts w:asciiTheme="minorHAnsi" w:hAnsiTheme="minorHAnsi" w:cstheme="minorHAnsi"/>
          <w:sz w:val="16"/>
        </w:rPr>
        <w:fldChar w:fldCharType="begin"/>
      </w:r>
      <w:r w:rsidR="00544B40">
        <w:rPr>
          <w:rFonts w:asciiTheme="minorHAnsi" w:hAnsiTheme="minorHAnsi" w:cstheme="minorHAnsi"/>
          <w:sz w:val="16"/>
        </w:rPr>
        <w:instrText xml:space="preserve"> REF _Ref497335615 \h  \* MERGEFORMAT </w:instrText>
      </w:r>
      <w:r w:rsidR="00544B40">
        <w:rPr>
          <w:rFonts w:asciiTheme="minorHAnsi" w:hAnsiTheme="minorHAnsi" w:cstheme="minorHAnsi"/>
          <w:sz w:val="16"/>
        </w:rPr>
      </w:r>
      <w:r w:rsidR="00544B40">
        <w:rPr>
          <w:rFonts w:asciiTheme="minorHAnsi" w:hAnsiTheme="minorHAnsi" w:cstheme="minorHAnsi"/>
          <w:sz w:val="16"/>
        </w:rPr>
        <w:fldChar w:fldCharType="separate"/>
      </w:r>
      <w:r w:rsidR="00681CD9" w:rsidRPr="00681CD9">
        <w:rPr>
          <w:rFonts w:asciiTheme="minorHAnsi" w:hAnsiTheme="minorHAnsi" w:cstheme="minorHAnsi"/>
          <w:sz w:val="16"/>
        </w:rPr>
        <w:t>Appendix D: Cost weight tables by AR-DRG Version 8.0</w:t>
      </w:r>
      <w:r w:rsidR="00544B40">
        <w:rPr>
          <w:rFonts w:asciiTheme="minorHAnsi" w:hAnsiTheme="minorHAnsi" w:cstheme="minorHAnsi"/>
          <w:sz w:val="16"/>
        </w:rPr>
        <w:fldChar w:fldCharType="end"/>
      </w:r>
      <w:r w:rsidR="00544B40">
        <w:rPr>
          <w:rFonts w:asciiTheme="minorHAnsi" w:hAnsiTheme="minorHAnsi" w:cstheme="minorHAnsi"/>
          <w:sz w:val="16"/>
        </w:rPr>
        <w:tab/>
      </w:r>
    </w:p>
    <w:p w14:paraId="7F87A2C1" w14:textId="305054EA" w:rsidR="00415E27" w:rsidRPr="00272A9E" w:rsidRDefault="00415E27" w:rsidP="00544B40">
      <w:pPr>
        <w:pStyle w:val="Tablesheadings"/>
        <w:rPr>
          <w:rFonts w:asciiTheme="minorHAnsi" w:hAnsiTheme="minorHAnsi" w:cstheme="minorHAnsi"/>
          <w:b w:val="0"/>
          <w:color w:val="auto"/>
          <w:sz w:val="16"/>
        </w:rPr>
      </w:pPr>
      <w:bookmarkStart w:id="212" w:name="_Toc497332778"/>
      <w:bookmarkStart w:id="213" w:name="_Toc497332917"/>
      <w:bookmarkStart w:id="214" w:name="_Toc497486122"/>
      <w:bookmarkStart w:id="215" w:name="_Toc497488041"/>
      <w:r w:rsidRPr="00272A9E">
        <w:rPr>
          <w:rFonts w:asciiTheme="minorHAnsi" w:hAnsiTheme="minorHAnsi" w:cstheme="minorHAnsi"/>
          <w:b w:val="0"/>
          <w:color w:val="auto"/>
          <w:sz w:val="16"/>
        </w:rPr>
        <w:t>(b) Separations shown are strata weighted</w:t>
      </w:r>
      <w:bookmarkEnd w:id="212"/>
      <w:bookmarkEnd w:id="213"/>
      <w:bookmarkEnd w:id="214"/>
      <w:bookmarkEnd w:id="215"/>
      <w:r w:rsidRPr="00272A9E">
        <w:rPr>
          <w:rFonts w:asciiTheme="minorHAnsi" w:hAnsiTheme="minorHAnsi" w:cstheme="minorHAnsi"/>
          <w:b w:val="0"/>
          <w:color w:val="auto"/>
          <w:sz w:val="16"/>
        </w:rPr>
        <w:tab/>
      </w:r>
    </w:p>
    <w:p w14:paraId="117BBAC8" w14:textId="5423916F" w:rsidR="00415E27" w:rsidRPr="00272A9E" w:rsidRDefault="00415E27" w:rsidP="00415E27">
      <w:pPr>
        <w:pStyle w:val="Tablesheadings"/>
        <w:rPr>
          <w:rFonts w:asciiTheme="minorHAnsi" w:hAnsiTheme="minorHAnsi" w:cstheme="minorHAnsi"/>
          <w:b w:val="0"/>
          <w:color w:val="auto"/>
          <w:sz w:val="16"/>
        </w:rPr>
      </w:pPr>
      <w:bookmarkStart w:id="216" w:name="_Toc497332779"/>
      <w:bookmarkStart w:id="217" w:name="_Toc497332918"/>
      <w:bookmarkStart w:id="218" w:name="_Toc497486123"/>
      <w:bookmarkStart w:id="219" w:name="_Toc497488042"/>
      <w:r w:rsidRPr="00272A9E">
        <w:rPr>
          <w:rFonts w:asciiTheme="minorHAnsi" w:hAnsiTheme="minorHAnsi" w:cstheme="minorHAnsi"/>
          <w:b w:val="0"/>
          <w:color w:val="auto"/>
          <w:sz w:val="16"/>
        </w:rPr>
        <w:t xml:space="preserve">(c) DRG-rank for cost weight across all cost buckets. </w:t>
      </w:r>
      <w:proofErr w:type="gramStart"/>
      <w:r w:rsidRPr="00272A9E">
        <w:rPr>
          <w:rFonts w:asciiTheme="minorHAnsi" w:hAnsiTheme="minorHAnsi" w:cstheme="minorHAnsi"/>
          <w:b w:val="0"/>
          <w:color w:val="auto"/>
          <w:sz w:val="16"/>
        </w:rPr>
        <w:t>A rank of 1 means that the DRG has the highest cost weight.</w:t>
      </w:r>
      <w:bookmarkEnd w:id="216"/>
      <w:bookmarkEnd w:id="217"/>
      <w:bookmarkEnd w:id="218"/>
      <w:bookmarkEnd w:id="219"/>
      <w:proofErr w:type="gramEnd"/>
      <w:r w:rsidRPr="00272A9E">
        <w:rPr>
          <w:rFonts w:asciiTheme="minorHAnsi" w:hAnsiTheme="minorHAnsi" w:cstheme="minorHAnsi"/>
          <w:b w:val="0"/>
          <w:color w:val="auto"/>
          <w:sz w:val="16"/>
        </w:rPr>
        <w:t xml:space="preserve"> </w:t>
      </w:r>
      <w:r w:rsidRPr="00272A9E">
        <w:rPr>
          <w:rFonts w:asciiTheme="minorHAnsi" w:hAnsiTheme="minorHAnsi" w:cstheme="minorHAnsi"/>
          <w:b w:val="0"/>
          <w:color w:val="auto"/>
          <w:sz w:val="16"/>
        </w:rPr>
        <w:tab/>
      </w:r>
    </w:p>
    <w:p w14:paraId="2D9030CC" w14:textId="728536BB" w:rsidR="005D7320" w:rsidRDefault="00415E27" w:rsidP="00415E27">
      <w:pPr>
        <w:pStyle w:val="Tablesheadings"/>
      </w:pPr>
      <w:bookmarkStart w:id="220" w:name="_Toc497332780"/>
      <w:bookmarkStart w:id="221" w:name="_Toc497332919"/>
      <w:bookmarkStart w:id="222" w:name="_Toc497486124"/>
      <w:bookmarkStart w:id="223" w:name="_Toc497488043"/>
      <w:r w:rsidRPr="00272A9E">
        <w:rPr>
          <w:rFonts w:asciiTheme="minorHAnsi" w:hAnsiTheme="minorHAnsi" w:cstheme="minorHAnsi"/>
          <w:b w:val="0"/>
          <w:color w:val="auto"/>
          <w:sz w:val="16"/>
        </w:rPr>
        <w:t xml:space="preserve">(d) </w:t>
      </w:r>
      <w:proofErr w:type="spellStart"/>
      <w:r w:rsidRPr="00272A9E">
        <w:rPr>
          <w:rFonts w:asciiTheme="minorHAnsi" w:hAnsiTheme="minorHAnsi" w:cstheme="minorHAnsi"/>
          <w:b w:val="0"/>
          <w:color w:val="auto"/>
          <w:sz w:val="16"/>
        </w:rPr>
        <w:t>ALoS</w:t>
      </w:r>
      <w:proofErr w:type="spellEnd"/>
      <w:r w:rsidRPr="00272A9E">
        <w:rPr>
          <w:rFonts w:asciiTheme="minorHAnsi" w:hAnsiTheme="minorHAnsi" w:cstheme="minorHAnsi"/>
          <w:b w:val="0"/>
          <w:color w:val="auto"/>
          <w:sz w:val="16"/>
        </w:rPr>
        <w:t xml:space="preserve"> means average length of stay</w:t>
      </w:r>
      <w:bookmarkEnd w:id="220"/>
      <w:bookmarkEnd w:id="221"/>
      <w:bookmarkEnd w:id="222"/>
      <w:bookmarkEnd w:id="223"/>
      <w:r w:rsidRPr="00272A9E">
        <w:rPr>
          <w:rFonts w:asciiTheme="minorHAnsi" w:hAnsiTheme="minorHAnsi" w:cstheme="minorHAnsi"/>
          <w:color w:val="auto"/>
          <w:sz w:val="16"/>
        </w:rPr>
        <w:tab/>
      </w:r>
      <w:r w:rsidR="005D7320">
        <w:br w:type="page"/>
      </w:r>
    </w:p>
    <w:p w14:paraId="6F9B647F" w14:textId="77777777" w:rsidR="00415E27" w:rsidRDefault="00415E27" w:rsidP="005D7320">
      <w:pPr>
        <w:pStyle w:val="Figureheadings"/>
        <w:sectPr w:rsidR="00415E27" w:rsidSect="008C0756">
          <w:pgSz w:w="16840" w:h="11907" w:orient="landscape" w:code="9"/>
          <w:pgMar w:top="1701" w:right="2041" w:bottom="1276" w:left="1021" w:header="680" w:footer="510" w:gutter="0"/>
          <w:cols w:space="708"/>
          <w:docGrid w:linePitch="360"/>
        </w:sectPr>
      </w:pPr>
    </w:p>
    <w:p w14:paraId="101BBBB3" w14:textId="5682BA37" w:rsidR="005D7320" w:rsidRDefault="005D7320" w:rsidP="00823FE0">
      <w:pPr>
        <w:pStyle w:val="Heading3"/>
        <w:rPr>
          <w:rFonts w:ascii="Georgia" w:hAnsi="Georgia"/>
          <w:sz w:val="20"/>
          <w:szCs w:val="20"/>
        </w:rPr>
      </w:pPr>
      <w:bookmarkStart w:id="224" w:name="_Toc496857586"/>
      <w:r>
        <w:lastRenderedPageBreak/>
        <w:t>Prostheses cost bucket</w:t>
      </w:r>
      <w:bookmarkEnd w:id="224"/>
    </w:p>
    <w:p w14:paraId="12FC87B7" w14:textId="77777777" w:rsidR="005D7320" w:rsidRDefault="005D7320" w:rsidP="005D7320">
      <w:pPr>
        <w:pStyle w:val="Intro"/>
      </w:pPr>
      <w:r>
        <w:t>Key findings</w:t>
      </w:r>
    </w:p>
    <w:p w14:paraId="15F44734" w14:textId="6E02CB92" w:rsidR="00E7439E" w:rsidRDefault="005D7320" w:rsidP="005D7320">
      <w:r w:rsidRPr="00A24567">
        <w:t>The highest cost weight DRG is F01A Implantation or Replacement of AICD, Total System with C</w:t>
      </w:r>
      <w:r w:rsidR="00281672">
        <w:t xml:space="preserve">atastrophic CC as displayed in </w:t>
      </w:r>
      <w:r w:rsidR="006654BA">
        <w:t>Table 12</w:t>
      </w:r>
      <w:r w:rsidRPr="00A24567">
        <w:t xml:space="preserve"> and </w:t>
      </w:r>
      <w:r w:rsidR="009E6DCF">
        <w:t>Figure</w:t>
      </w:r>
      <w:r w:rsidRPr="00A24567">
        <w:t xml:space="preserve"> </w:t>
      </w:r>
      <w:r w:rsidR="00FD56F8">
        <w:t>8</w:t>
      </w:r>
      <w:r w:rsidRPr="00A24567">
        <w:t>. This was ranked number one</w:t>
      </w:r>
      <w:r w:rsidR="00D61C39">
        <w:t xml:space="preserve"> in Round 18</w:t>
      </w:r>
      <w:r w:rsidRPr="00A24567">
        <w:t xml:space="preserve"> due to the high cost of the defibrillator prosthesis and increased activity.</w:t>
      </w:r>
      <w:r w:rsidR="00B5247E">
        <w:t xml:space="preserve">  This DRG has reduced by 4.30 cost weights between rounds due to the change in hospital groups.</w:t>
      </w:r>
    </w:p>
    <w:p w14:paraId="7DE28F96" w14:textId="0521EB59" w:rsidR="005D7320" w:rsidRPr="00A24567" w:rsidRDefault="00AA16B4" w:rsidP="005D7320">
      <w:r>
        <w:t xml:space="preserve">As demonstrated in </w:t>
      </w:r>
      <w:r w:rsidR="006654BA">
        <w:t>Table 12</w:t>
      </w:r>
      <w:r w:rsidR="005D7320" w:rsidRPr="00A24567">
        <w:t xml:space="preserve"> the DRGs listed in the top 20 are expected to be within this ranking given that </w:t>
      </w:r>
      <w:r w:rsidR="00A24567">
        <w:t>80</w:t>
      </w:r>
      <w:r w:rsidR="00BA2940">
        <w:t xml:space="preserve"> per cent</w:t>
      </w:r>
      <w:r w:rsidR="00A24567">
        <w:t xml:space="preserve"> (16 </w:t>
      </w:r>
      <w:r w:rsidR="005D7320" w:rsidRPr="00A24567">
        <w:t xml:space="preserve">out of 20) are known procedures to include an expensive prosthesis. </w:t>
      </w:r>
    </w:p>
    <w:p w14:paraId="575C59B3" w14:textId="39AA0CC4" w:rsidR="00E7439E" w:rsidRDefault="005D7320" w:rsidP="005D7320">
      <w:r w:rsidRPr="00A24567">
        <w:t>Additionally as anticipated these highly expensive prosthes</w:t>
      </w:r>
      <w:r w:rsidR="00580247">
        <w:t>e</w:t>
      </w:r>
      <w:r w:rsidRPr="00A24567">
        <w:t>s procedures only represent 1.</w:t>
      </w:r>
      <w:r w:rsidR="00A24567">
        <w:t>2</w:t>
      </w:r>
      <w:r w:rsidR="00BA2940">
        <w:t xml:space="preserve"> per cent</w:t>
      </w:r>
      <w:r w:rsidRPr="00A24567">
        <w:t xml:space="preserve"> (</w:t>
      </w:r>
      <w:r w:rsidR="00A24567">
        <w:t>37,193</w:t>
      </w:r>
      <w:r w:rsidRPr="00A24567">
        <w:t xml:space="preserve"> population-adjusted separations) of the total population-adjusted separations (</w:t>
      </w:r>
      <w:r w:rsidR="00A24567">
        <w:t>3.05m</w:t>
      </w:r>
      <w:r w:rsidRPr="00A24567">
        <w:t xml:space="preserve"> population-adjusted separations) </w:t>
      </w:r>
      <w:r w:rsidR="00281672">
        <w:t xml:space="preserve">seen in </w:t>
      </w:r>
      <w:r w:rsidR="006654BA">
        <w:t>Table 12</w:t>
      </w:r>
      <w:r w:rsidRPr="00A24567">
        <w:t>.</w:t>
      </w:r>
    </w:p>
    <w:p w14:paraId="2F21DBA4" w14:textId="77777777" w:rsidR="005D7320" w:rsidRDefault="005D7320" w:rsidP="005D7320">
      <w:pPr>
        <w:pStyle w:val="Intro"/>
      </w:pPr>
      <w:r>
        <w:t>Consistencies between Round 18 and Round 20</w:t>
      </w:r>
    </w:p>
    <w:p w14:paraId="0CEA10A1" w14:textId="072BB25F" w:rsidR="00E7439E" w:rsidRDefault="00BA2940" w:rsidP="005D7320">
      <w:r>
        <w:t>80 per cent</w:t>
      </w:r>
      <w:r w:rsidR="00A24567" w:rsidRPr="00336584">
        <w:t xml:space="preserve"> (16</w:t>
      </w:r>
      <w:r w:rsidR="005D7320" w:rsidRPr="00336584">
        <w:t xml:space="preserve"> out of 20) of the top 20 DRGs were included in Round 1</w:t>
      </w:r>
      <w:r w:rsidR="00336584" w:rsidRPr="00336584">
        <w:t>8</w:t>
      </w:r>
      <w:r w:rsidR="005D7320" w:rsidRPr="00336584">
        <w:t xml:space="preserve">’s results with the top </w:t>
      </w:r>
      <w:r w:rsidR="00580247">
        <w:t>four</w:t>
      </w:r>
      <w:r w:rsidR="005D7320" w:rsidRPr="00336584">
        <w:t xml:space="preserve"> being ranked in the</w:t>
      </w:r>
      <w:r w:rsidR="00336584">
        <w:t xml:space="preserve"> same order</w:t>
      </w:r>
      <w:r w:rsidR="00B5247E">
        <w:t xml:space="preserve"> which indicates that these </w:t>
      </w:r>
      <w:r w:rsidR="005D7320" w:rsidRPr="00336584">
        <w:t xml:space="preserve">DRGs are consuming similar amounts of prosthetic resources.  </w:t>
      </w:r>
    </w:p>
    <w:p w14:paraId="0B172397" w14:textId="1C9E0E2E" w:rsidR="008A0CEC" w:rsidRDefault="005D7320" w:rsidP="005D7320">
      <w:r w:rsidRPr="00336584">
        <w:t xml:space="preserve">The </w:t>
      </w:r>
      <w:r w:rsidR="00336584">
        <w:t xml:space="preserve">greatest </w:t>
      </w:r>
      <w:r w:rsidRPr="00336584">
        <w:t>reduction</w:t>
      </w:r>
      <w:r w:rsidR="00336584">
        <w:t xml:space="preserve">, as </w:t>
      </w:r>
      <w:r w:rsidR="00D61C39">
        <w:t>in Round 18</w:t>
      </w:r>
      <w:r w:rsidR="00336584">
        <w:t>,</w:t>
      </w:r>
      <w:r w:rsidRPr="00336584">
        <w:t xml:space="preserve"> was F01A </w:t>
      </w:r>
      <w:r w:rsidR="00336584">
        <w:t xml:space="preserve">Implantation or Replacement of </w:t>
      </w:r>
      <w:r w:rsidRPr="00336584">
        <w:t xml:space="preserve">AICD, Total System W Catastrophic </w:t>
      </w:r>
      <w:r w:rsidR="000C546E">
        <w:t xml:space="preserve">CC reducing its cost weight by </w:t>
      </w:r>
      <w:r w:rsidR="00336584">
        <w:t>4.30</w:t>
      </w:r>
      <w:r w:rsidRPr="00336584">
        <w:t xml:space="preserve">.   </w:t>
      </w:r>
      <w:r w:rsidR="008A0CEC">
        <w:t xml:space="preserve">The contributing factors </w:t>
      </w:r>
      <w:r w:rsidR="003D0713">
        <w:t>for this movement is</w:t>
      </w:r>
      <w:r w:rsidR="008A0CEC">
        <w:t xml:space="preserve"> either that the sample of hospital groups is impacting this cost bucket, improvements in feeder data being used for this round, or potentially the costs of these implants used have reduced in cost to the sampled hospital groups.  </w:t>
      </w:r>
    </w:p>
    <w:p w14:paraId="0A8CB9D9" w14:textId="7692C7E2" w:rsidR="00E7439E" w:rsidRDefault="005D7320" w:rsidP="005D7320">
      <w:r w:rsidRPr="00336584">
        <w:t xml:space="preserve">The </w:t>
      </w:r>
      <w:r w:rsidR="00336584">
        <w:t xml:space="preserve">only increased weight was for </w:t>
      </w:r>
      <w:r w:rsidR="00336584" w:rsidRPr="00336584">
        <w:t>I01B</w:t>
      </w:r>
      <w:r w:rsidR="00336584">
        <w:t xml:space="preserve"> </w:t>
      </w:r>
      <w:r w:rsidR="00336584" w:rsidRPr="00336584">
        <w:t>Bilateral and Multiple Major Joint Procedures of Lower Limb, Minor Complexity</w:t>
      </w:r>
      <w:r w:rsidR="00336584">
        <w:t xml:space="preserve"> </w:t>
      </w:r>
      <w:r w:rsidRPr="00336584">
        <w:t>increasing its cost weight</w:t>
      </w:r>
      <w:r w:rsidR="00336584">
        <w:t xml:space="preserve"> marginally </w:t>
      </w:r>
      <w:r w:rsidR="000C546E">
        <w:t xml:space="preserve">by </w:t>
      </w:r>
      <w:r w:rsidR="00336584">
        <w:t>0.2</w:t>
      </w:r>
      <w:r w:rsidR="00FE4117">
        <w:t>5</w:t>
      </w:r>
      <w:r w:rsidR="00336584">
        <w:t>.</w:t>
      </w:r>
      <w:r w:rsidRPr="00336584">
        <w:t xml:space="preserve">  This relates to </w:t>
      </w:r>
      <w:r w:rsidR="00336584">
        <w:t xml:space="preserve">the change in costing approach, </w:t>
      </w:r>
      <w:r w:rsidRPr="00336584">
        <w:t xml:space="preserve">increased feeder data and allocation statistics being utilised and </w:t>
      </w:r>
      <w:r w:rsidR="00AA62F9">
        <w:t>service weight changes between r</w:t>
      </w:r>
      <w:r w:rsidRPr="00336584">
        <w:t>ounds.</w:t>
      </w:r>
    </w:p>
    <w:p w14:paraId="21B6B128" w14:textId="77777777" w:rsidR="00BF794D" w:rsidRPr="0012767B" w:rsidRDefault="00BF794D" w:rsidP="00BF794D">
      <w:pPr>
        <w:pStyle w:val="Intro"/>
      </w:pPr>
      <w:r>
        <w:t>Differences</w:t>
      </w:r>
      <w:r w:rsidRPr="0012767B">
        <w:t xml:space="preserve"> between Round 18 and Round 20</w:t>
      </w:r>
    </w:p>
    <w:p w14:paraId="6A539B18" w14:textId="6FD5ABB6" w:rsidR="00336584" w:rsidRDefault="00336584" w:rsidP="005D7320">
      <w:pPr>
        <w:rPr>
          <w:snapToGrid w:val="0"/>
        </w:rPr>
      </w:pPr>
      <w:r>
        <w:rPr>
          <w:snapToGrid w:val="0"/>
        </w:rPr>
        <w:t>The following DRGs are new to the top 20 these are</w:t>
      </w:r>
      <w:r w:rsidR="002261E9">
        <w:rPr>
          <w:snapToGrid w:val="0"/>
        </w:rPr>
        <w:t xml:space="preserve"> (</w:t>
      </w:r>
      <w:r w:rsidR="00281672">
        <w:rPr>
          <w:snapToGrid w:val="0"/>
        </w:rPr>
        <w:t>see</w:t>
      </w:r>
      <w:r w:rsidR="002261E9">
        <w:rPr>
          <w:snapToGrid w:val="0"/>
        </w:rPr>
        <w:t xml:space="preserve"> </w:t>
      </w:r>
      <w:r w:rsidR="009E6DCF">
        <w:rPr>
          <w:snapToGrid w:val="0"/>
        </w:rPr>
        <w:t>Figure</w:t>
      </w:r>
      <w:r w:rsidR="002261E9">
        <w:rPr>
          <w:snapToGrid w:val="0"/>
        </w:rPr>
        <w:t xml:space="preserve"> </w:t>
      </w:r>
      <w:r w:rsidR="00FD56F8">
        <w:rPr>
          <w:snapToGrid w:val="0"/>
        </w:rPr>
        <w:t>8</w:t>
      </w:r>
      <w:r w:rsidR="002261E9">
        <w:rPr>
          <w:snapToGrid w:val="0"/>
        </w:rPr>
        <w:t>)</w:t>
      </w:r>
      <w:r>
        <w:rPr>
          <w:snapToGrid w:val="0"/>
        </w:rPr>
        <w:t>:</w:t>
      </w:r>
    </w:p>
    <w:p w14:paraId="659D50B9" w14:textId="4D56A293" w:rsidR="00336584" w:rsidRPr="00336584" w:rsidRDefault="00336584" w:rsidP="00FE4117">
      <w:pPr>
        <w:pStyle w:val="ListBullet"/>
        <w:rPr>
          <w:snapToGrid w:val="0"/>
        </w:rPr>
      </w:pPr>
      <w:r w:rsidRPr="00336584">
        <w:rPr>
          <w:snapToGrid w:val="0"/>
        </w:rPr>
        <w:t>I01B Bilateral and Multiple Major Joint Procedures of Lower Limb, Minor Complexity</w:t>
      </w:r>
      <w:r>
        <w:rPr>
          <w:snapToGrid w:val="0"/>
        </w:rPr>
        <w:t xml:space="preserve"> was ranked 21 now 9.</w:t>
      </w:r>
    </w:p>
    <w:p w14:paraId="083FA2CA" w14:textId="2CD04793" w:rsidR="00336584" w:rsidRPr="00336584" w:rsidRDefault="00336584" w:rsidP="00FE4117">
      <w:pPr>
        <w:pStyle w:val="ListBullet"/>
        <w:rPr>
          <w:snapToGrid w:val="0"/>
        </w:rPr>
      </w:pPr>
      <w:r w:rsidRPr="00336584">
        <w:rPr>
          <w:snapToGrid w:val="0"/>
        </w:rPr>
        <w:t>I09C Spinal Fusion, Minor Complexity</w:t>
      </w:r>
      <w:r>
        <w:rPr>
          <w:snapToGrid w:val="0"/>
        </w:rPr>
        <w:t xml:space="preserve"> was ranked 22 now ranked 14.</w:t>
      </w:r>
    </w:p>
    <w:p w14:paraId="112C1897" w14:textId="189022E8" w:rsidR="00336584" w:rsidRPr="00336584" w:rsidRDefault="00336584" w:rsidP="00FE4117">
      <w:pPr>
        <w:pStyle w:val="ListBullet"/>
        <w:rPr>
          <w:snapToGrid w:val="0"/>
        </w:rPr>
      </w:pPr>
      <w:r w:rsidRPr="00336584">
        <w:rPr>
          <w:snapToGrid w:val="0"/>
        </w:rPr>
        <w:t>F17B Insertion and Replacement of Pacemaker Generator, Minor Complexity</w:t>
      </w:r>
      <w:r>
        <w:rPr>
          <w:snapToGrid w:val="0"/>
        </w:rPr>
        <w:t xml:space="preserve"> was ranked 23 now ranked 18.</w:t>
      </w:r>
    </w:p>
    <w:p w14:paraId="53C266A3" w14:textId="03B03941" w:rsidR="00E7439E" w:rsidRDefault="00336584" w:rsidP="00FE4117">
      <w:pPr>
        <w:pStyle w:val="ListBullet"/>
        <w:rPr>
          <w:snapToGrid w:val="0"/>
        </w:rPr>
      </w:pPr>
      <w:r w:rsidRPr="00336584">
        <w:rPr>
          <w:snapToGrid w:val="0"/>
        </w:rPr>
        <w:t>I31B Revision of Hip Replacement, Intermediate Complexity</w:t>
      </w:r>
      <w:r>
        <w:rPr>
          <w:snapToGrid w:val="0"/>
        </w:rPr>
        <w:t xml:space="preserve"> was ranked 26 now ranked 20.</w:t>
      </w:r>
    </w:p>
    <w:p w14:paraId="397FAF2B" w14:textId="07E06FEF" w:rsidR="005D7320" w:rsidRPr="008A0CEC" w:rsidRDefault="005D7320" w:rsidP="005D7320">
      <w:pPr>
        <w:rPr>
          <w:snapToGrid w:val="0"/>
        </w:rPr>
      </w:pPr>
      <w:r w:rsidRPr="008A0CEC">
        <w:rPr>
          <w:snapToGrid w:val="0"/>
        </w:rPr>
        <w:t>The reason for th</w:t>
      </w:r>
      <w:r w:rsidR="00336584" w:rsidRPr="008A0CEC">
        <w:rPr>
          <w:snapToGrid w:val="0"/>
        </w:rPr>
        <w:t>ese movements i</w:t>
      </w:r>
      <w:r w:rsidRPr="008A0CEC">
        <w:rPr>
          <w:snapToGrid w:val="0"/>
        </w:rPr>
        <w:t xml:space="preserve">s that the </w:t>
      </w:r>
      <w:r w:rsidR="00336584" w:rsidRPr="008A0CEC">
        <w:rPr>
          <w:snapToGrid w:val="0"/>
        </w:rPr>
        <w:t>p</w:t>
      </w:r>
      <w:r w:rsidRPr="008A0CEC">
        <w:rPr>
          <w:snapToGrid w:val="0"/>
        </w:rPr>
        <w:t>articipants</w:t>
      </w:r>
      <w:r w:rsidR="00336584" w:rsidRPr="008A0CEC">
        <w:rPr>
          <w:snapToGrid w:val="0"/>
        </w:rPr>
        <w:t xml:space="preserve"> have </w:t>
      </w:r>
      <w:r w:rsidRPr="008A0CEC">
        <w:rPr>
          <w:snapToGrid w:val="0"/>
        </w:rPr>
        <w:t>us</w:t>
      </w:r>
      <w:r w:rsidR="00336584" w:rsidRPr="008A0CEC">
        <w:rPr>
          <w:snapToGrid w:val="0"/>
        </w:rPr>
        <w:t>e</w:t>
      </w:r>
      <w:r w:rsidR="00580247" w:rsidRPr="008A0CEC">
        <w:rPr>
          <w:snapToGrid w:val="0"/>
        </w:rPr>
        <w:t>d</w:t>
      </w:r>
      <w:r w:rsidR="008A0CEC" w:rsidRPr="008A0CEC">
        <w:rPr>
          <w:snapToGrid w:val="0"/>
        </w:rPr>
        <w:t xml:space="preserve"> improved </w:t>
      </w:r>
      <w:r w:rsidRPr="008A0CEC">
        <w:rPr>
          <w:snapToGrid w:val="0"/>
        </w:rPr>
        <w:t>feeder data</w:t>
      </w:r>
      <w:r w:rsidR="00A279AD" w:rsidRPr="008A0CEC">
        <w:rPr>
          <w:snapToGrid w:val="0"/>
        </w:rPr>
        <w:t xml:space="preserve"> for prostheses therefore this DRG is now reflecting a more accurate cost of delivery and act</w:t>
      </w:r>
      <w:r w:rsidR="006723AA" w:rsidRPr="008A0CEC">
        <w:rPr>
          <w:snapToGrid w:val="0"/>
        </w:rPr>
        <w:t xml:space="preserve">ivity has increased for these </w:t>
      </w:r>
      <w:r w:rsidR="00A279AD" w:rsidRPr="008A0CEC">
        <w:rPr>
          <w:snapToGrid w:val="0"/>
        </w:rPr>
        <w:t>DRGs.</w:t>
      </w:r>
      <w:r w:rsidRPr="008A0CEC">
        <w:rPr>
          <w:snapToGrid w:val="0"/>
        </w:rPr>
        <w:t xml:space="preserve"> </w:t>
      </w:r>
    </w:p>
    <w:p w14:paraId="3BC45C45" w14:textId="5799F484" w:rsidR="006C4E43" w:rsidRDefault="0083575B" w:rsidP="008A0CEC">
      <w:pPr>
        <w:rPr>
          <w:snapToGrid w:val="0"/>
        </w:rPr>
      </w:pPr>
      <w:r w:rsidRPr="008A0CEC">
        <w:rPr>
          <w:snapToGrid w:val="0"/>
        </w:rPr>
        <w:t>A11B Insertion</w:t>
      </w:r>
      <w:r w:rsidR="008A0CEC" w:rsidRPr="008A0CEC">
        <w:rPr>
          <w:snapToGrid w:val="0"/>
        </w:rPr>
        <w:t xml:space="preserve"> of Implantable Spinal Infusion Device, Minor Complexity</w:t>
      </w:r>
      <w:r w:rsidR="008A0CEC">
        <w:rPr>
          <w:snapToGrid w:val="0"/>
        </w:rPr>
        <w:t xml:space="preserve"> ra</w:t>
      </w:r>
      <w:r>
        <w:rPr>
          <w:snapToGrid w:val="0"/>
        </w:rPr>
        <w:t xml:space="preserve">nked has dropped from nine to </w:t>
      </w:r>
      <w:r w:rsidR="008A0CEC">
        <w:rPr>
          <w:snapToGrid w:val="0"/>
        </w:rPr>
        <w:t>16 for this Round</w:t>
      </w:r>
      <w:r>
        <w:rPr>
          <w:snapToGrid w:val="0"/>
        </w:rPr>
        <w:t xml:space="preserve">.  </w:t>
      </w:r>
      <w:r w:rsidRPr="0083575B">
        <w:rPr>
          <w:snapToGrid w:val="0"/>
        </w:rPr>
        <w:t>This is due to the low number of weighted separations which appear in this DRG. The low number of separations</w:t>
      </w:r>
      <w:r w:rsidR="006C4E43">
        <w:rPr>
          <w:snapToGrid w:val="0"/>
        </w:rPr>
        <w:t xml:space="preserve"> leads to more volatile results.</w:t>
      </w:r>
    </w:p>
    <w:p w14:paraId="5DB9CED3" w14:textId="465F7C27" w:rsidR="00D363C9" w:rsidRDefault="00D363C9" w:rsidP="00D363C9">
      <w:pPr>
        <w:pStyle w:val="Tableoffigures3"/>
      </w:pPr>
      <w:bookmarkStart w:id="225" w:name="_Toc497750040"/>
      <w:proofErr w:type="gramStart"/>
      <w:r>
        <w:lastRenderedPageBreak/>
        <w:t>Figure 8</w:t>
      </w:r>
      <w:r w:rsidR="008C0756">
        <w:t>.</w:t>
      </w:r>
      <w:proofErr w:type="gramEnd"/>
      <w:r>
        <w:t xml:space="preserve"> Top 20 DRGs for prostheses cost bucket</w:t>
      </w:r>
      <w:bookmarkEnd w:id="225"/>
    </w:p>
    <w:p w14:paraId="3C406BCA" w14:textId="77777777" w:rsidR="00D363C9" w:rsidRDefault="00D363C9" w:rsidP="00D363C9">
      <w:r>
        <w:rPr>
          <w:noProof/>
        </w:rPr>
        <w:drawing>
          <wp:inline distT="0" distB="0" distL="0" distR="0" wp14:anchorId="11D2EF0E" wp14:editId="4307B8BE">
            <wp:extent cx="5998210" cy="3505200"/>
            <wp:effectExtent l="0" t="0" r="21590" b="19050"/>
            <wp:docPr id="8" name="Chart 8" descr="This figure shows the 20 diagnosis related groups that have the highest prosthesis cost weight in Round 20 with associated Round 18 valu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26A93ED" w14:textId="27688C1C" w:rsidR="00D363C9" w:rsidRDefault="00D363C9" w:rsidP="008A0CEC">
      <w:pPr>
        <w:rPr>
          <w:snapToGrid w:val="0"/>
        </w:rPr>
      </w:pPr>
      <w:r w:rsidRPr="00B95C7E">
        <w:rPr>
          <w:b/>
          <w:snapToGrid w:val="0"/>
        </w:rPr>
        <w:t>Note:</w:t>
      </w:r>
      <w:r w:rsidRPr="00B95C7E">
        <w:rPr>
          <w:snapToGrid w:val="0"/>
        </w:rPr>
        <w:t xml:space="preserve"> when a Round 18 bar is missing from th</w:t>
      </w:r>
      <w:r>
        <w:rPr>
          <w:snapToGrid w:val="0"/>
        </w:rPr>
        <w:t xml:space="preserve">e chart, this is because that </w:t>
      </w:r>
      <w:r w:rsidRPr="00B95C7E">
        <w:rPr>
          <w:snapToGrid w:val="0"/>
        </w:rPr>
        <w:t>DRG was masked in Round 18 due to having less than 5 separations or having les</w:t>
      </w:r>
      <w:r>
        <w:rPr>
          <w:snapToGrid w:val="0"/>
        </w:rPr>
        <w:t xml:space="preserve">s than 3 hospitals with that </w:t>
      </w:r>
      <w:r w:rsidRPr="00B95C7E">
        <w:rPr>
          <w:snapToGrid w:val="0"/>
        </w:rPr>
        <w:t>DRG.</w:t>
      </w:r>
      <w:r w:rsidRPr="00426D7B">
        <w:rPr>
          <w:noProof/>
          <w:lang w:val="en-US" w:eastAsia="en-US"/>
        </w:rPr>
        <w:t xml:space="preserve"> </w:t>
      </w:r>
    </w:p>
    <w:p w14:paraId="3E882A3D" w14:textId="77777777" w:rsidR="006C4E43" w:rsidRDefault="006C4E43" w:rsidP="008A0CEC">
      <w:pPr>
        <w:rPr>
          <w:snapToGrid w:val="0"/>
        </w:rPr>
        <w:sectPr w:rsidR="006C4E43" w:rsidSect="006B3A78">
          <w:pgSz w:w="11907" w:h="16840" w:code="9"/>
          <w:pgMar w:top="2041" w:right="1440" w:bottom="1021" w:left="1021" w:header="680" w:footer="510" w:gutter="0"/>
          <w:cols w:space="708"/>
          <w:docGrid w:linePitch="360"/>
        </w:sectPr>
      </w:pPr>
    </w:p>
    <w:p w14:paraId="27B2292F" w14:textId="294C7DD0" w:rsidR="008C0756" w:rsidRDefault="006654BA" w:rsidP="008C0756">
      <w:pPr>
        <w:pStyle w:val="TableHeadings3"/>
      </w:pPr>
      <w:bookmarkStart w:id="226" w:name="_Toc497750026"/>
      <w:proofErr w:type="gramStart"/>
      <w:r>
        <w:lastRenderedPageBreak/>
        <w:t>Table 12</w:t>
      </w:r>
      <w:r w:rsidR="008C0756">
        <w:t>.</w:t>
      </w:r>
      <w:proofErr w:type="gramEnd"/>
      <w:r w:rsidR="008C0756" w:rsidRPr="00FF5997">
        <w:t xml:space="preserve"> Top 20 DRGs for prostheses cost bucket</w:t>
      </w:r>
      <w:bookmarkEnd w:id="226"/>
    </w:p>
    <w:tbl>
      <w:tblPr>
        <w:tblW w:w="14334" w:type="dxa"/>
        <w:tblInd w:w="108" w:type="dxa"/>
        <w:tblLook w:val="04A0" w:firstRow="1" w:lastRow="0" w:firstColumn="1" w:lastColumn="0" w:noHBand="0" w:noVBand="1"/>
      </w:tblPr>
      <w:tblGrid>
        <w:gridCol w:w="709"/>
        <w:gridCol w:w="691"/>
        <w:gridCol w:w="585"/>
        <w:gridCol w:w="4639"/>
        <w:gridCol w:w="752"/>
        <w:gridCol w:w="897"/>
        <w:gridCol w:w="735"/>
        <w:gridCol w:w="679"/>
        <w:gridCol w:w="691"/>
        <w:gridCol w:w="735"/>
        <w:gridCol w:w="752"/>
        <w:gridCol w:w="779"/>
        <w:gridCol w:w="989"/>
        <w:gridCol w:w="701"/>
      </w:tblGrid>
      <w:tr w:rsidR="00A24567" w:rsidRPr="00D62C98" w14:paraId="737DBBDC" w14:textId="77777777" w:rsidTr="008C0756">
        <w:trPr>
          <w:tblHeader/>
        </w:trPr>
        <w:tc>
          <w:tcPr>
            <w:tcW w:w="709" w:type="dxa"/>
            <w:vMerge w:val="restart"/>
            <w:tcBorders>
              <w:top w:val="single" w:sz="4" w:space="0" w:color="808080" w:themeColor="background1" w:themeShade="80"/>
              <w:left w:val="nil"/>
              <w:bottom w:val="single" w:sz="4" w:space="0" w:color="000000"/>
              <w:right w:val="nil"/>
            </w:tcBorders>
            <w:shd w:val="clear" w:color="000000" w:fill="FFFFFF"/>
            <w:hideMark/>
          </w:tcPr>
          <w:p w14:paraId="6D41DAFE" w14:textId="212CB684" w:rsidR="00A24567" w:rsidRPr="00D62C98" w:rsidRDefault="00A24567" w:rsidP="00CD460D">
            <w:pPr>
              <w:spacing w:after="0"/>
              <w:jc w:val="center"/>
              <w:rPr>
                <w:b/>
                <w:bCs/>
                <w:color w:val="000000"/>
                <w:sz w:val="15"/>
                <w:szCs w:val="13"/>
                <w:lang w:val="en-US" w:eastAsia="en-US"/>
              </w:rPr>
            </w:pPr>
            <w:r w:rsidRPr="00D62C98">
              <w:rPr>
                <w:b/>
                <w:bCs/>
                <w:color w:val="000000"/>
                <w:sz w:val="15"/>
                <w:szCs w:val="13"/>
                <w:lang w:val="en-US" w:eastAsia="en-US"/>
              </w:rPr>
              <w:t xml:space="preserve"> 20 Round 18</w:t>
            </w:r>
          </w:p>
        </w:tc>
        <w:tc>
          <w:tcPr>
            <w:tcW w:w="691" w:type="dxa"/>
            <w:vMerge w:val="restart"/>
            <w:tcBorders>
              <w:top w:val="single" w:sz="4" w:space="0" w:color="808080" w:themeColor="background1" w:themeShade="80"/>
              <w:left w:val="nil"/>
              <w:bottom w:val="single" w:sz="4" w:space="0" w:color="000000"/>
              <w:right w:val="nil"/>
            </w:tcBorders>
            <w:shd w:val="clear" w:color="000000" w:fill="FFFFFF"/>
            <w:hideMark/>
          </w:tcPr>
          <w:p w14:paraId="127B4507" w14:textId="63F6D31D" w:rsidR="00A24567" w:rsidRPr="00D62C98" w:rsidRDefault="00A24567" w:rsidP="00CD460D">
            <w:pPr>
              <w:spacing w:after="0"/>
              <w:jc w:val="center"/>
              <w:rPr>
                <w:b/>
                <w:bCs/>
                <w:color w:val="000000"/>
                <w:sz w:val="15"/>
                <w:szCs w:val="13"/>
                <w:lang w:val="en-US" w:eastAsia="en-US"/>
              </w:rPr>
            </w:pPr>
            <w:r w:rsidRPr="00D62C98">
              <w:rPr>
                <w:b/>
                <w:bCs/>
                <w:color w:val="000000"/>
                <w:sz w:val="15"/>
                <w:szCs w:val="13"/>
                <w:lang w:val="en-US" w:eastAsia="en-US"/>
              </w:rPr>
              <w:t>Rank Round 20</w:t>
            </w:r>
          </w:p>
        </w:tc>
        <w:tc>
          <w:tcPr>
            <w:tcW w:w="585" w:type="dxa"/>
            <w:vMerge w:val="restart"/>
            <w:tcBorders>
              <w:top w:val="single" w:sz="4" w:space="0" w:color="808080" w:themeColor="background1" w:themeShade="80"/>
              <w:left w:val="nil"/>
              <w:bottom w:val="single" w:sz="4" w:space="0" w:color="000000"/>
              <w:right w:val="nil"/>
            </w:tcBorders>
            <w:shd w:val="clear" w:color="000000" w:fill="FFFFFF"/>
            <w:hideMark/>
          </w:tcPr>
          <w:p w14:paraId="1E13CFAC" w14:textId="0730EB47" w:rsidR="00A24567" w:rsidRPr="00D62C98" w:rsidRDefault="00A24567" w:rsidP="00CD460D">
            <w:pPr>
              <w:spacing w:after="0"/>
              <w:jc w:val="center"/>
              <w:rPr>
                <w:b/>
                <w:bCs/>
                <w:color w:val="000000"/>
                <w:sz w:val="15"/>
                <w:szCs w:val="13"/>
                <w:lang w:val="en-US" w:eastAsia="en-US"/>
              </w:rPr>
            </w:pPr>
            <w:r w:rsidRPr="00D62C98">
              <w:rPr>
                <w:b/>
                <w:bCs/>
                <w:color w:val="000000"/>
                <w:sz w:val="15"/>
                <w:szCs w:val="13"/>
                <w:lang w:val="en-US" w:eastAsia="en-US"/>
              </w:rPr>
              <w:t>DRG</w:t>
            </w:r>
          </w:p>
        </w:tc>
        <w:tc>
          <w:tcPr>
            <w:tcW w:w="4639" w:type="dxa"/>
            <w:vMerge w:val="restart"/>
            <w:tcBorders>
              <w:top w:val="single" w:sz="4" w:space="0" w:color="808080" w:themeColor="background1" w:themeShade="80"/>
              <w:left w:val="nil"/>
              <w:bottom w:val="single" w:sz="4" w:space="0" w:color="000000"/>
              <w:right w:val="nil"/>
            </w:tcBorders>
            <w:shd w:val="clear" w:color="000000" w:fill="FFFFFF"/>
            <w:noWrap/>
            <w:hideMark/>
          </w:tcPr>
          <w:p w14:paraId="7912C0D0" w14:textId="23923B0D" w:rsidR="00A24567" w:rsidRPr="00D62C98" w:rsidRDefault="00A24567" w:rsidP="00CD460D">
            <w:pPr>
              <w:spacing w:after="0"/>
              <w:jc w:val="center"/>
              <w:rPr>
                <w:b/>
                <w:bCs/>
                <w:color w:val="000000"/>
                <w:sz w:val="15"/>
                <w:szCs w:val="13"/>
                <w:lang w:val="en-US" w:eastAsia="en-US"/>
              </w:rPr>
            </w:pPr>
            <w:r w:rsidRPr="00D62C98">
              <w:rPr>
                <w:b/>
                <w:bCs/>
                <w:color w:val="000000"/>
                <w:sz w:val="15"/>
                <w:szCs w:val="13"/>
                <w:lang w:val="en-US" w:eastAsia="en-US"/>
              </w:rPr>
              <w:t>DRG Description</w:t>
            </w:r>
          </w:p>
        </w:tc>
        <w:tc>
          <w:tcPr>
            <w:tcW w:w="752" w:type="dxa"/>
            <w:vMerge w:val="restart"/>
            <w:tcBorders>
              <w:top w:val="single" w:sz="4" w:space="0" w:color="808080" w:themeColor="background1" w:themeShade="80"/>
              <w:left w:val="nil"/>
              <w:bottom w:val="single" w:sz="4" w:space="0" w:color="000000"/>
              <w:right w:val="nil"/>
            </w:tcBorders>
            <w:shd w:val="clear" w:color="000000" w:fill="FFFFFF"/>
            <w:hideMark/>
          </w:tcPr>
          <w:p w14:paraId="5F7BE8C4" w14:textId="77777777" w:rsidR="00A24567" w:rsidRPr="00D62C98" w:rsidRDefault="00A24567" w:rsidP="00CD460D">
            <w:pPr>
              <w:spacing w:after="0"/>
              <w:jc w:val="center"/>
              <w:rPr>
                <w:b/>
                <w:bCs/>
                <w:color w:val="000000"/>
                <w:sz w:val="15"/>
                <w:szCs w:val="13"/>
                <w:lang w:val="en-US" w:eastAsia="en-US"/>
              </w:rPr>
            </w:pPr>
            <w:proofErr w:type="spellStart"/>
            <w:r w:rsidRPr="00D62C98">
              <w:rPr>
                <w:b/>
                <w:bCs/>
                <w:color w:val="000000"/>
                <w:sz w:val="15"/>
                <w:szCs w:val="13"/>
                <w:lang w:val="en-US" w:eastAsia="en-US"/>
              </w:rPr>
              <w:t>Prosth-esis</w:t>
            </w:r>
            <w:proofErr w:type="spellEnd"/>
            <w:r w:rsidRPr="00D62C98">
              <w:rPr>
                <w:b/>
                <w:bCs/>
                <w:color w:val="000000"/>
                <w:sz w:val="15"/>
                <w:szCs w:val="13"/>
                <w:lang w:val="en-US" w:eastAsia="en-US"/>
              </w:rPr>
              <w:t xml:space="preserve"> cost weight</w:t>
            </w:r>
            <w:r w:rsidRPr="00D62C98">
              <w:rPr>
                <w:b/>
                <w:bCs/>
                <w:color w:val="000000"/>
                <w:sz w:val="15"/>
                <w:szCs w:val="13"/>
                <w:lang w:val="en-US" w:eastAsia="en-US"/>
              </w:rPr>
              <w:br/>
              <w:t>(a)</w:t>
            </w:r>
          </w:p>
        </w:tc>
        <w:tc>
          <w:tcPr>
            <w:tcW w:w="897" w:type="dxa"/>
            <w:vMerge w:val="restart"/>
            <w:tcBorders>
              <w:top w:val="single" w:sz="4" w:space="0" w:color="808080" w:themeColor="background1" w:themeShade="80"/>
              <w:left w:val="nil"/>
              <w:bottom w:val="single" w:sz="4" w:space="0" w:color="000000"/>
              <w:right w:val="nil"/>
            </w:tcBorders>
            <w:shd w:val="clear" w:color="000000" w:fill="FFFFFF"/>
            <w:hideMark/>
          </w:tcPr>
          <w:p w14:paraId="2F9D9520" w14:textId="77777777" w:rsidR="00A24567" w:rsidRPr="00D62C98" w:rsidRDefault="00A24567" w:rsidP="00CD460D">
            <w:pPr>
              <w:spacing w:after="0"/>
              <w:jc w:val="center"/>
              <w:rPr>
                <w:b/>
                <w:bCs/>
                <w:color w:val="000000"/>
                <w:sz w:val="15"/>
                <w:szCs w:val="13"/>
                <w:lang w:val="en-US" w:eastAsia="en-US"/>
              </w:rPr>
            </w:pPr>
            <w:r w:rsidRPr="00D62C98">
              <w:rPr>
                <w:b/>
                <w:bCs/>
                <w:color w:val="000000"/>
                <w:sz w:val="15"/>
                <w:szCs w:val="13"/>
                <w:lang w:val="en-US" w:eastAsia="en-US"/>
              </w:rPr>
              <w:t xml:space="preserve">No. of weighted </w:t>
            </w:r>
            <w:proofErr w:type="spellStart"/>
            <w:r w:rsidRPr="00D62C98">
              <w:rPr>
                <w:b/>
                <w:bCs/>
                <w:color w:val="000000"/>
                <w:sz w:val="15"/>
                <w:szCs w:val="13"/>
                <w:lang w:val="en-US" w:eastAsia="en-US"/>
              </w:rPr>
              <w:t>seps</w:t>
            </w:r>
            <w:proofErr w:type="spellEnd"/>
            <w:r w:rsidRPr="00D62C98">
              <w:rPr>
                <w:b/>
                <w:bCs/>
                <w:color w:val="000000"/>
                <w:sz w:val="15"/>
                <w:szCs w:val="13"/>
                <w:lang w:val="en-US" w:eastAsia="en-US"/>
              </w:rPr>
              <w:br/>
              <w:t>(b)</w:t>
            </w:r>
          </w:p>
        </w:tc>
        <w:tc>
          <w:tcPr>
            <w:tcW w:w="735" w:type="dxa"/>
            <w:vMerge w:val="restart"/>
            <w:tcBorders>
              <w:top w:val="single" w:sz="4" w:space="0" w:color="808080" w:themeColor="background1" w:themeShade="80"/>
              <w:left w:val="nil"/>
              <w:bottom w:val="single" w:sz="4" w:space="0" w:color="000000"/>
              <w:right w:val="nil"/>
            </w:tcBorders>
            <w:shd w:val="clear" w:color="000000" w:fill="FFFFFF"/>
            <w:hideMark/>
          </w:tcPr>
          <w:p w14:paraId="4B6EB202" w14:textId="04E9F04A" w:rsidR="00A24567" w:rsidRPr="00D62C98" w:rsidRDefault="00A24567" w:rsidP="00CD460D">
            <w:pPr>
              <w:spacing w:after="0"/>
              <w:jc w:val="center"/>
              <w:rPr>
                <w:b/>
                <w:bCs/>
                <w:color w:val="000000"/>
                <w:sz w:val="15"/>
                <w:szCs w:val="13"/>
                <w:lang w:val="en-US" w:eastAsia="en-US"/>
              </w:rPr>
            </w:pPr>
            <w:r w:rsidRPr="00D62C98">
              <w:rPr>
                <w:b/>
                <w:bCs/>
                <w:color w:val="000000"/>
                <w:sz w:val="15"/>
                <w:szCs w:val="13"/>
                <w:lang w:val="en-US" w:eastAsia="en-US"/>
              </w:rPr>
              <w:t>Overall cost weight</w:t>
            </w:r>
            <w:r w:rsidRPr="00D62C98">
              <w:rPr>
                <w:b/>
                <w:bCs/>
                <w:color w:val="000000"/>
                <w:sz w:val="15"/>
                <w:szCs w:val="13"/>
                <w:lang w:val="en-US" w:eastAsia="en-US"/>
              </w:rPr>
              <w:br/>
              <w:t>(c)</w:t>
            </w:r>
          </w:p>
        </w:tc>
        <w:tc>
          <w:tcPr>
            <w:tcW w:w="679" w:type="dxa"/>
            <w:vMerge w:val="restart"/>
            <w:tcBorders>
              <w:top w:val="single" w:sz="4" w:space="0" w:color="808080" w:themeColor="background1" w:themeShade="80"/>
              <w:left w:val="nil"/>
              <w:bottom w:val="single" w:sz="4" w:space="0" w:color="000000"/>
              <w:right w:val="single" w:sz="4" w:space="0" w:color="000000"/>
            </w:tcBorders>
            <w:shd w:val="clear" w:color="000000" w:fill="FFFFFF"/>
            <w:hideMark/>
          </w:tcPr>
          <w:p w14:paraId="70AFD835" w14:textId="77777777" w:rsidR="00A24567" w:rsidRPr="00D62C98" w:rsidRDefault="00A24567" w:rsidP="00CD460D">
            <w:pPr>
              <w:spacing w:after="0"/>
              <w:jc w:val="center"/>
              <w:rPr>
                <w:b/>
                <w:bCs/>
                <w:color w:val="000000"/>
                <w:sz w:val="15"/>
                <w:szCs w:val="13"/>
                <w:lang w:val="en-US" w:eastAsia="en-US"/>
              </w:rPr>
            </w:pPr>
            <w:proofErr w:type="spellStart"/>
            <w:r w:rsidRPr="00D62C98">
              <w:rPr>
                <w:b/>
                <w:bCs/>
                <w:color w:val="000000"/>
                <w:sz w:val="15"/>
                <w:szCs w:val="13"/>
                <w:lang w:val="en-US" w:eastAsia="en-US"/>
              </w:rPr>
              <w:t>ALoS</w:t>
            </w:r>
            <w:proofErr w:type="spellEnd"/>
            <w:r w:rsidRPr="00D62C98">
              <w:rPr>
                <w:b/>
                <w:bCs/>
                <w:color w:val="000000"/>
                <w:sz w:val="15"/>
                <w:szCs w:val="13"/>
                <w:lang w:val="en-US" w:eastAsia="en-US"/>
              </w:rPr>
              <w:t xml:space="preserve"> (days)</w:t>
            </w:r>
            <w:r w:rsidRPr="00D62C98">
              <w:rPr>
                <w:b/>
                <w:bCs/>
                <w:color w:val="000000"/>
                <w:sz w:val="15"/>
                <w:szCs w:val="13"/>
                <w:lang w:val="en-US" w:eastAsia="en-US"/>
              </w:rPr>
              <w:br/>
              <w:t>(d)</w:t>
            </w:r>
          </w:p>
        </w:tc>
        <w:tc>
          <w:tcPr>
            <w:tcW w:w="2957" w:type="dxa"/>
            <w:gridSpan w:val="4"/>
            <w:tcBorders>
              <w:top w:val="single" w:sz="4" w:space="0" w:color="808080" w:themeColor="background1" w:themeShade="80"/>
              <w:left w:val="single" w:sz="4" w:space="0" w:color="000000"/>
              <w:bottom w:val="single" w:sz="4" w:space="0" w:color="auto"/>
              <w:right w:val="nil"/>
            </w:tcBorders>
            <w:shd w:val="clear" w:color="000000" w:fill="FFFFFF"/>
            <w:noWrap/>
            <w:hideMark/>
          </w:tcPr>
          <w:p w14:paraId="25064F29" w14:textId="0D9A4EAB" w:rsidR="00A24567" w:rsidRPr="00D62C98" w:rsidRDefault="006723AA" w:rsidP="00CD460D">
            <w:pPr>
              <w:spacing w:after="0"/>
              <w:jc w:val="center"/>
              <w:rPr>
                <w:b/>
                <w:bCs/>
                <w:color w:val="000000"/>
                <w:sz w:val="15"/>
                <w:szCs w:val="13"/>
                <w:lang w:val="en-US" w:eastAsia="en-US"/>
              </w:rPr>
            </w:pPr>
            <w:r w:rsidRPr="00D62C98">
              <w:rPr>
                <w:b/>
                <w:bCs/>
                <w:color w:val="000000"/>
                <w:sz w:val="15"/>
                <w:szCs w:val="13"/>
                <w:lang w:val="en-US" w:eastAsia="en-US"/>
              </w:rPr>
              <w:t xml:space="preserve">% of </w:t>
            </w:r>
            <w:r w:rsidR="00A24567" w:rsidRPr="00D62C98">
              <w:rPr>
                <w:b/>
                <w:bCs/>
                <w:color w:val="000000"/>
                <w:sz w:val="15"/>
                <w:szCs w:val="13"/>
                <w:lang w:val="en-US" w:eastAsia="en-US"/>
              </w:rPr>
              <w:t>DRG total cost</w:t>
            </w:r>
          </w:p>
        </w:tc>
        <w:tc>
          <w:tcPr>
            <w:tcW w:w="989" w:type="dxa"/>
            <w:vMerge w:val="restart"/>
            <w:tcBorders>
              <w:top w:val="single" w:sz="4" w:space="0" w:color="808080" w:themeColor="background1" w:themeShade="80"/>
              <w:left w:val="single" w:sz="4" w:space="0" w:color="auto"/>
              <w:bottom w:val="single" w:sz="4" w:space="0" w:color="000000"/>
              <w:right w:val="nil"/>
            </w:tcBorders>
            <w:shd w:val="clear" w:color="000000" w:fill="FFFFFF"/>
            <w:hideMark/>
          </w:tcPr>
          <w:p w14:paraId="7E178C91" w14:textId="77777777" w:rsidR="00A24567" w:rsidRPr="00D62C98" w:rsidRDefault="00A24567" w:rsidP="00CD460D">
            <w:pPr>
              <w:spacing w:after="0"/>
              <w:jc w:val="center"/>
              <w:rPr>
                <w:b/>
                <w:bCs/>
                <w:color w:val="000000"/>
                <w:sz w:val="15"/>
                <w:szCs w:val="13"/>
                <w:lang w:val="en-US" w:eastAsia="en-US"/>
              </w:rPr>
            </w:pPr>
            <w:r w:rsidRPr="00D62C98">
              <w:rPr>
                <w:b/>
                <w:bCs/>
                <w:color w:val="000000"/>
                <w:sz w:val="15"/>
                <w:szCs w:val="13"/>
                <w:lang w:val="en-US" w:eastAsia="en-US"/>
              </w:rPr>
              <w:t>Round 18 prosthesis cost weight</w:t>
            </w:r>
          </w:p>
        </w:tc>
        <w:tc>
          <w:tcPr>
            <w:tcW w:w="701" w:type="dxa"/>
            <w:vMerge w:val="restart"/>
            <w:tcBorders>
              <w:top w:val="single" w:sz="4" w:space="0" w:color="808080" w:themeColor="background1" w:themeShade="80"/>
              <w:left w:val="nil"/>
              <w:bottom w:val="single" w:sz="4" w:space="0" w:color="000000"/>
              <w:right w:val="nil"/>
            </w:tcBorders>
            <w:shd w:val="clear" w:color="000000" w:fill="FFFFFF"/>
            <w:hideMark/>
          </w:tcPr>
          <w:p w14:paraId="68788B1D" w14:textId="77777777" w:rsidR="00A24567" w:rsidRPr="00D62C98" w:rsidRDefault="00A24567" w:rsidP="00CD460D">
            <w:pPr>
              <w:spacing w:after="0"/>
              <w:jc w:val="center"/>
              <w:rPr>
                <w:b/>
                <w:bCs/>
                <w:color w:val="000000"/>
                <w:sz w:val="15"/>
                <w:szCs w:val="13"/>
                <w:lang w:val="en-US" w:eastAsia="en-US"/>
              </w:rPr>
            </w:pPr>
            <w:r w:rsidRPr="00D62C98">
              <w:rPr>
                <w:b/>
                <w:bCs/>
                <w:color w:val="000000"/>
                <w:sz w:val="15"/>
                <w:szCs w:val="13"/>
                <w:lang w:val="en-US" w:eastAsia="en-US"/>
              </w:rPr>
              <w:t>Rank Round 18</w:t>
            </w:r>
          </w:p>
        </w:tc>
      </w:tr>
      <w:tr w:rsidR="00D62C98" w:rsidRPr="00D62C98" w14:paraId="2A0B6FC8" w14:textId="77777777" w:rsidTr="008C0756">
        <w:trPr>
          <w:trHeight w:val="292"/>
          <w:tblHeader/>
        </w:trPr>
        <w:tc>
          <w:tcPr>
            <w:tcW w:w="709" w:type="dxa"/>
            <w:vMerge/>
            <w:tcBorders>
              <w:top w:val="single" w:sz="4" w:space="0" w:color="auto"/>
              <w:left w:val="nil"/>
              <w:bottom w:val="single" w:sz="4" w:space="0" w:color="000000"/>
              <w:right w:val="nil"/>
            </w:tcBorders>
            <w:vAlign w:val="center"/>
            <w:hideMark/>
          </w:tcPr>
          <w:p w14:paraId="399CEF71" w14:textId="77777777" w:rsidR="00A24567" w:rsidRPr="00D62C98" w:rsidRDefault="00A24567" w:rsidP="00A24567">
            <w:pPr>
              <w:rPr>
                <w:b/>
                <w:bCs/>
                <w:color w:val="000000"/>
                <w:sz w:val="15"/>
                <w:szCs w:val="13"/>
                <w:lang w:val="en-US" w:eastAsia="en-US"/>
              </w:rPr>
            </w:pPr>
          </w:p>
        </w:tc>
        <w:tc>
          <w:tcPr>
            <w:tcW w:w="691" w:type="dxa"/>
            <w:vMerge/>
            <w:tcBorders>
              <w:top w:val="single" w:sz="4" w:space="0" w:color="auto"/>
              <w:left w:val="nil"/>
              <w:bottom w:val="single" w:sz="4" w:space="0" w:color="000000"/>
              <w:right w:val="nil"/>
            </w:tcBorders>
            <w:vAlign w:val="center"/>
            <w:hideMark/>
          </w:tcPr>
          <w:p w14:paraId="549A9A17" w14:textId="77777777" w:rsidR="00A24567" w:rsidRPr="00D62C98" w:rsidRDefault="00A24567" w:rsidP="00A24567">
            <w:pPr>
              <w:rPr>
                <w:b/>
                <w:bCs/>
                <w:color w:val="000000"/>
                <w:sz w:val="15"/>
                <w:szCs w:val="13"/>
                <w:lang w:val="en-US" w:eastAsia="en-US"/>
              </w:rPr>
            </w:pPr>
          </w:p>
        </w:tc>
        <w:tc>
          <w:tcPr>
            <w:tcW w:w="585" w:type="dxa"/>
            <w:vMerge/>
            <w:tcBorders>
              <w:top w:val="single" w:sz="4" w:space="0" w:color="auto"/>
              <w:left w:val="nil"/>
              <w:bottom w:val="single" w:sz="4" w:space="0" w:color="000000"/>
              <w:right w:val="nil"/>
            </w:tcBorders>
            <w:vAlign w:val="center"/>
            <w:hideMark/>
          </w:tcPr>
          <w:p w14:paraId="4A164E9A" w14:textId="77777777" w:rsidR="00A24567" w:rsidRPr="00D62C98" w:rsidRDefault="00A24567" w:rsidP="00A24567">
            <w:pPr>
              <w:rPr>
                <w:b/>
                <w:bCs/>
                <w:color w:val="000000"/>
                <w:sz w:val="15"/>
                <w:szCs w:val="13"/>
                <w:lang w:val="en-US" w:eastAsia="en-US"/>
              </w:rPr>
            </w:pPr>
          </w:p>
        </w:tc>
        <w:tc>
          <w:tcPr>
            <w:tcW w:w="4639" w:type="dxa"/>
            <w:vMerge/>
            <w:tcBorders>
              <w:top w:val="single" w:sz="4" w:space="0" w:color="auto"/>
              <w:left w:val="nil"/>
              <w:bottom w:val="single" w:sz="4" w:space="0" w:color="000000"/>
              <w:right w:val="nil"/>
            </w:tcBorders>
            <w:vAlign w:val="center"/>
            <w:hideMark/>
          </w:tcPr>
          <w:p w14:paraId="54D25983" w14:textId="77777777" w:rsidR="00A24567" w:rsidRPr="00D62C98" w:rsidRDefault="00A24567" w:rsidP="00A24567">
            <w:pPr>
              <w:rPr>
                <w:b/>
                <w:bCs/>
                <w:color w:val="000000"/>
                <w:sz w:val="15"/>
                <w:szCs w:val="13"/>
                <w:lang w:val="en-US" w:eastAsia="en-US"/>
              </w:rPr>
            </w:pPr>
          </w:p>
        </w:tc>
        <w:tc>
          <w:tcPr>
            <w:tcW w:w="752" w:type="dxa"/>
            <w:vMerge/>
            <w:tcBorders>
              <w:top w:val="single" w:sz="4" w:space="0" w:color="auto"/>
              <w:left w:val="nil"/>
              <w:bottom w:val="single" w:sz="4" w:space="0" w:color="000000"/>
              <w:right w:val="nil"/>
            </w:tcBorders>
            <w:vAlign w:val="center"/>
            <w:hideMark/>
          </w:tcPr>
          <w:p w14:paraId="24C0E230" w14:textId="77777777" w:rsidR="00A24567" w:rsidRPr="00D62C98" w:rsidRDefault="00A24567" w:rsidP="00A24567">
            <w:pPr>
              <w:rPr>
                <w:b/>
                <w:bCs/>
                <w:color w:val="000000"/>
                <w:sz w:val="15"/>
                <w:szCs w:val="13"/>
                <w:lang w:val="en-US" w:eastAsia="en-US"/>
              </w:rPr>
            </w:pPr>
          </w:p>
        </w:tc>
        <w:tc>
          <w:tcPr>
            <w:tcW w:w="897" w:type="dxa"/>
            <w:vMerge/>
            <w:tcBorders>
              <w:top w:val="single" w:sz="4" w:space="0" w:color="auto"/>
              <w:left w:val="nil"/>
              <w:bottom w:val="single" w:sz="4" w:space="0" w:color="000000"/>
              <w:right w:val="nil"/>
            </w:tcBorders>
            <w:vAlign w:val="center"/>
            <w:hideMark/>
          </w:tcPr>
          <w:p w14:paraId="16B21EFC" w14:textId="77777777" w:rsidR="00A24567" w:rsidRPr="00D62C98" w:rsidRDefault="00A24567" w:rsidP="00A24567">
            <w:pPr>
              <w:rPr>
                <w:b/>
                <w:bCs/>
                <w:color w:val="000000"/>
                <w:sz w:val="15"/>
                <w:szCs w:val="13"/>
                <w:lang w:val="en-US" w:eastAsia="en-US"/>
              </w:rPr>
            </w:pPr>
          </w:p>
        </w:tc>
        <w:tc>
          <w:tcPr>
            <w:tcW w:w="735" w:type="dxa"/>
            <w:vMerge/>
            <w:tcBorders>
              <w:top w:val="single" w:sz="4" w:space="0" w:color="auto"/>
              <w:left w:val="nil"/>
              <w:bottom w:val="single" w:sz="4" w:space="0" w:color="000000"/>
              <w:right w:val="nil"/>
            </w:tcBorders>
            <w:vAlign w:val="center"/>
            <w:hideMark/>
          </w:tcPr>
          <w:p w14:paraId="4A5B7154" w14:textId="77777777" w:rsidR="00A24567" w:rsidRPr="00D62C98" w:rsidRDefault="00A24567" w:rsidP="00A24567">
            <w:pPr>
              <w:rPr>
                <w:b/>
                <w:bCs/>
                <w:color w:val="000000"/>
                <w:sz w:val="15"/>
                <w:szCs w:val="13"/>
                <w:lang w:val="en-US" w:eastAsia="en-US"/>
              </w:rPr>
            </w:pPr>
          </w:p>
        </w:tc>
        <w:tc>
          <w:tcPr>
            <w:tcW w:w="679" w:type="dxa"/>
            <w:vMerge/>
            <w:tcBorders>
              <w:top w:val="single" w:sz="4" w:space="0" w:color="auto"/>
              <w:left w:val="nil"/>
              <w:bottom w:val="single" w:sz="4" w:space="0" w:color="000000"/>
              <w:right w:val="single" w:sz="4" w:space="0" w:color="000000"/>
            </w:tcBorders>
            <w:vAlign w:val="center"/>
            <w:hideMark/>
          </w:tcPr>
          <w:p w14:paraId="31177DCE" w14:textId="77777777" w:rsidR="00A24567" w:rsidRPr="00D62C98" w:rsidRDefault="00A24567" w:rsidP="00A24567">
            <w:pPr>
              <w:rPr>
                <w:b/>
                <w:bCs/>
                <w:color w:val="000000"/>
                <w:sz w:val="15"/>
                <w:szCs w:val="13"/>
                <w:lang w:val="en-US" w:eastAsia="en-US"/>
              </w:rPr>
            </w:pPr>
          </w:p>
        </w:tc>
        <w:tc>
          <w:tcPr>
            <w:tcW w:w="691" w:type="dxa"/>
            <w:vMerge w:val="restart"/>
            <w:tcBorders>
              <w:top w:val="nil"/>
              <w:left w:val="single" w:sz="4" w:space="0" w:color="000000"/>
              <w:bottom w:val="single" w:sz="4" w:space="0" w:color="000000"/>
              <w:right w:val="nil"/>
            </w:tcBorders>
            <w:shd w:val="clear" w:color="000000" w:fill="FFFFFF"/>
            <w:hideMark/>
          </w:tcPr>
          <w:p w14:paraId="6D421CF4" w14:textId="77777777" w:rsidR="00A24567" w:rsidRPr="00D62C98" w:rsidRDefault="00A24567" w:rsidP="00A24567">
            <w:pPr>
              <w:jc w:val="center"/>
              <w:rPr>
                <w:b/>
                <w:bCs/>
                <w:color w:val="000000"/>
                <w:sz w:val="15"/>
                <w:szCs w:val="13"/>
                <w:lang w:val="en-US" w:eastAsia="en-US"/>
              </w:rPr>
            </w:pPr>
            <w:r w:rsidRPr="00D62C98">
              <w:rPr>
                <w:b/>
                <w:bCs/>
                <w:color w:val="000000"/>
                <w:sz w:val="15"/>
                <w:szCs w:val="13"/>
                <w:lang w:val="en-US" w:eastAsia="en-US"/>
              </w:rPr>
              <w:t>OR and SPS</w:t>
            </w:r>
          </w:p>
        </w:tc>
        <w:tc>
          <w:tcPr>
            <w:tcW w:w="735" w:type="dxa"/>
            <w:vMerge w:val="restart"/>
            <w:tcBorders>
              <w:top w:val="nil"/>
              <w:left w:val="nil"/>
              <w:bottom w:val="single" w:sz="4" w:space="0" w:color="000000"/>
              <w:right w:val="nil"/>
            </w:tcBorders>
            <w:shd w:val="clear" w:color="000000" w:fill="FFFFFF"/>
            <w:hideMark/>
          </w:tcPr>
          <w:p w14:paraId="1C5DA3AB" w14:textId="77777777" w:rsidR="00A24567" w:rsidRPr="00D62C98" w:rsidRDefault="00A24567" w:rsidP="00A24567">
            <w:pPr>
              <w:jc w:val="center"/>
              <w:rPr>
                <w:b/>
                <w:bCs/>
                <w:color w:val="000000"/>
                <w:sz w:val="15"/>
                <w:szCs w:val="13"/>
                <w:lang w:val="en-US" w:eastAsia="en-US"/>
              </w:rPr>
            </w:pPr>
            <w:r w:rsidRPr="00D62C98">
              <w:rPr>
                <w:b/>
                <w:bCs/>
                <w:color w:val="000000"/>
                <w:sz w:val="15"/>
                <w:szCs w:val="13"/>
                <w:lang w:val="en-US" w:eastAsia="en-US"/>
              </w:rPr>
              <w:t>Critical care</w:t>
            </w:r>
          </w:p>
        </w:tc>
        <w:tc>
          <w:tcPr>
            <w:tcW w:w="752" w:type="dxa"/>
            <w:vMerge w:val="restart"/>
            <w:tcBorders>
              <w:top w:val="nil"/>
              <w:left w:val="nil"/>
              <w:bottom w:val="single" w:sz="4" w:space="0" w:color="000000"/>
              <w:right w:val="nil"/>
            </w:tcBorders>
            <w:shd w:val="clear" w:color="000000" w:fill="FFFFFF"/>
            <w:hideMark/>
          </w:tcPr>
          <w:p w14:paraId="4F5CA7AB" w14:textId="77777777" w:rsidR="00A24567" w:rsidRPr="00D62C98" w:rsidRDefault="00A24567" w:rsidP="00A24567">
            <w:pPr>
              <w:jc w:val="center"/>
              <w:rPr>
                <w:b/>
                <w:bCs/>
                <w:color w:val="000000"/>
                <w:sz w:val="15"/>
                <w:szCs w:val="13"/>
                <w:lang w:val="en-US" w:eastAsia="en-US"/>
              </w:rPr>
            </w:pPr>
            <w:proofErr w:type="spellStart"/>
            <w:r w:rsidRPr="00D62C98">
              <w:rPr>
                <w:b/>
                <w:bCs/>
                <w:color w:val="000000"/>
                <w:sz w:val="15"/>
                <w:szCs w:val="13"/>
                <w:lang w:val="en-US" w:eastAsia="en-US"/>
              </w:rPr>
              <w:t>Prosth-esis</w:t>
            </w:r>
            <w:proofErr w:type="spellEnd"/>
          </w:p>
        </w:tc>
        <w:tc>
          <w:tcPr>
            <w:tcW w:w="779" w:type="dxa"/>
            <w:vMerge w:val="restart"/>
            <w:tcBorders>
              <w:top w:val="nil"/>
              <w:left w:val="nil"/>
              <w:bottom w:val="single" w:sz="4" w:space="0" w:color="000000"/>
              <w:right w:val="nil"/>
            </w:tcBorders>
            <w:shd w:val="clear" w:color="000000" w:fill="FFFFFF"/>
            <w:hideMark/>
          </w:tcPr>
          <w:p w14:paraId="30992F14" w14:textId="77777777" w:rsidR="00A24567" w:rsidRPr="00D62C98" w:rsidRDefault="00A24567" w:rsidP="00A24567">
            <w:pPr>
              <w:jc w:val="center"/>
              <w:rPr>
                <w:b/>
                <w:bCs/>
                <w:color w:val="000000"/>
                <w:sz w:val="15"/>
                <w:szCs w:val="13"/>
                <w:lang w:val="en-US" w:eastAsia="en-US"/>
              </w:rPr>
            </w:pPr>
            <w:proofErr w:type="spellStart"/>
            <w:r w:rsidRPr="00D62C98">
              <w:rPr>
                <w:b/>
                <w:bCs/>
                <w:color w:val="000000"/>
                <w:sz w:val="15"/>
                <w:szCs w:val="13"/>
                <w:lang w:val="en-US" w:eastAsia="en-US"/>
              </w:rPr>
              <w:t>Miscell-aneous</w:t>
            </w:r>
            <w:proofErr w:type="spellEnd"/>
            <w:r w:rsidRPr="00D62C98">
              <w:rPr>
                <w:b/>
                <w:bCs/>
                <w:color w:val="000000"/>
                <w:sz w:val="15"/>
                <w:szCs w:val="13"/>
                <w:lang w:val="en-US" w:eastAsia="en-US"/>
              </w:rPr>
              <w:t xml:space="preserve"> </w:t>
            </w:r>
          </w:p>
        </w:tc>
        <w:tc>
          <w:tcPr>
            <w:tcW w:w="989" w:type="dxa"/>
            <w:vMerge/>
            <w:tcBorders>
              <w:top w:val="single" w:sz="4" w:space="0" w:color="auto"/>
              <w:left w:val="single" w:sz="4" w:space="0" w:color="auto"/>
              <w:bottom w:val="single" w:sz="4" w:space="0" w:color="000000"/>
              <w:right w:val="nil"/>
            </w:tcBorders>
            <w:vAlign w:val="center"/>
            <w:hideMark/>
          </w:tcPr>
          <w:p w14:paraId="7FAFD194" w14:textId="77777777" w:rsidR="00A24567" w:rsidRPr="00D62C98" w:rsidRDefault="00A24567" w:rsidP="00A24567">
            <w:pPr>
              <w:rPr>
                <w:b/>
                <w:bCs/>
                <w:color w:val="000000"/>
                <w:sz w:val="15"/>
                <w:szCs w:val="13"/>
                <w:lang w:val="en-US" w:eastAsia="en-US"/>
              </w:rPr>
            </w:pPr>
          </w:p>
        </w:tc>
        <w:tc>
          <w:tcPr>
            <w:tcW w:w="701" w:type="dxa"/>
            <w:vMerge/>
            <w:tcBorders>
              <w:top w:val="single" w:sz="4" w:space="0" w:color="auto"/>
              <w:left w:val="nil"/>
              <w:bottom w:val="single" w:sz="4" w:space="0" w:color="000000"/>
              <w:right w:val="nil"/>
            </w:tcBorders>
            <w:vAlign w:val="center"/>
            <w:hideMark/>
          </w:tcPr>
          <w:p w14:paraId="17080744" w14:textId="77777777" w:rsidR="00A24567" w:rsidRPr="00D62C98" w:rsidRDefault="00A24567" w:rsidP="00A24567">
            <w:pPr>
              <w:rPr>
                <w:b/>
                <w:bCs/>
                <w:color w:val="000000"/>
                <w:sz w:val="15"/>
                <w:szCs w:val="13"/>
                <w:lang w:val="en-US" w:eastAsia="en-US"/>
              </w:rPr>
            </w:pPr>
          </w:p>
        </w:tc>
      </w:tr>
      <w:tr w:rsidR="00D62C98" w:rsidRPr="00D62C98" w14:paraId="56251D9E" w14:textId="77777777" w:rsidTr="008C0756">
        <w:trPr>
          <w:trHeight w:val="292"/>
          <w:tblHeader/>
        </w:trPr>
        <w:tc>
          <w:tcPr>
            <w:tcW w:w="709" w:type="dxa"/>
            <w:vMerge/>
            <w:tcBorders>
              <w:top w:val="single" w:sz="4" w:space="0" w:color="auto"/>
              <w:left w:val="nil"/>
              <w:bottom w:val="single" w:sz="4" w:space="0" w:color="000000"/>
              <w:right w:val="nil"/>
            </w:tcBorders>
            <w:vAlign w:val="center"/>
            <w:hideMark/>
          </w:tcPr>
          <w:p w14:paraId="13CC085A" w14:textId="77777777" w:rsidR="00A24567" w:rsidRPr="00D62C98" w:rsidRDefault="00A24567" w:rsidP="00A24567">
            <w:pPr>
              <w:rPr>
                <w:b/>
                <w:bCs/>
                <w:color w:val="000000"/>
                <w:sz w:val="15"/>
                <w:szCs w:val="13"/>
                <w:lang w:val="en-US" w:eastAsia="en-US"/>
              </w:rPr>
            </w:pPr>
          </w:p>
        </w:tc>
        <w:tc>
          <w:tcPr>
            <w:tcW w:w="691" w:type="dxa"/>
            <w:vMerge/>
            <w:tcBorders>
              <w:top w:val="single" w:sz="4" w:space="0" w:color="auto"/>
              <w:left w:val="nil"/>
              <w:bottom w:val="single" w:sz="4" w:space="0" w:color="000000"/>
              <w:right w:val="nil"/>
            </w:tcBorders>
            <w:vAlign w:val="center"/>
            <w:hideMark/>
          </w:tcPr>
          <w:p w14:paraId="15691D1F" w14:textId="77777777" w:rsidR="00A24567" w:rsidRPr="00D62C98" w:rsidRDefault="00A24567" w:rsidP="00A24567">
            <w:pPr>
              <w:rPr>
                <w:b/>
                <w:bCs/>
                <w:color w:val="000000"/>
                <w:sz w:val="15"/>
                <w:szCs w:val="13"/>
                <w:lang w:val="en-US" w:eastAsia="en-US"/>
              </w:rPr>
            </w:pPr>
          </w:p>
        </w:tc>
        <w:tc>
          <w:tcPr>
            <w:tcW w:w="585" w:type="dxa"/>
            <w:vMerge/>
            <w:tcBorders>
              <w:top w:val="single" w:sz="4" w:space="0" w:color="auto"/>
              <w:left w:val="nil"/>
              <w:bottom w:val="single" w:sz="4" w:space="0" w:color="000000"/>
              <w:right w:val="nil"/>
            </w:tcBorders>
            <w:vAlign w:val="center"/>
            <w:hideMark/>
          </w:tcPr>
          <w:p w14:paraId="7C8ED91E" w14:textId="77777777" w:rsidR="00A24567" w:rsidRPr="00D62C98" w:rsidRDefault="00A24567" w:rsidP="00A24567">
            <w:pPr>
              <w:rPr>
                <w:b/>
                <w:bCs/>
                <w:color w:val="000000"/>
                <w:sz w:val="15"/>
                <w:szCs w:val="13"/>
                <w:lang w:val="en-US" w:eastAsia="en-US"/>
              </w:rPr>
            </w:pPr>
          </w:p>
        </w:tc>
        <w:tc>
          <w:tcPr>
            <w:tcW w:w="4639" w:type="dxa"/>
            <w:vMerge/>
            <w:tcBorders>
              <w:top w:val="single" w:sz="4" w:space="0" w:color="auto"/>
              <w:left w:val="nil"/>
              <w:bottom w:val="single" w:sz="4" w:space="0" w:color="000000"/>
              <w:right w:val="nil"/>
            </w:tcBorders>
            <w:vAlign w:val="center"/>
            <w:hideMark/>
          </w:tcPr>
          <w:p w14:paraId="0F2C5035" w14:textId="77777777" w:rsidR="00A24567" w:rsidRPr="00D62C98" w:rsidRDefault="00A24567" w:rsidP="00A24567">
            <w:pPr>
              <w:rPr>
                <w:b/>
                <w:bCs/>
                <w:color w:val="000000"/>
                <w:sz w:val="15"/>
                <w:szCs w:val="13"/>
                <w:lang w:val="en-US" w:eastAsia="en-US"/>
              </w:rPr>
            </w:pPr>
          </w:p>
        </w:tc>
        <w:tc>
          <w:tcPr>
            <w:tcW w:w="752" w:type="dxa"/>
            <w:vMerge/>
            <w:tcBorders>
              <w:top w:val="single" w:sz="4" w:space="0" w:color="auto"/>
              <w:left w:val="nil"/>
              <w:bottom w:val="single" w:sz="4" w:space="0" w:color="000000"/>
              <w:right w:val="nil"/>
            </w:tcBorders>
            <w:vAlign w:val="center"/>
            <w:hideMark/>
          </w:tcPr>
          <w:p w14:paraId="320DC1EB" w14:textId="77777777" w:rsidR="00A24567" w:rsidRPr="00D62C98" w:rsidRDefault="00A24567" w:rsidP="00A24567">
            <w:pPr>
              <w:rPr>
                <w:b/>
                <w:bCs/>
                <w:color w:val="000000"/>
                <w:sz w:val="15"/>
                <w:szCs w:val="13"/>
                <w:lang w:val="en-US" w:eastAsia="en-US"/>
              </w:rPr>
            </w:pPr>
          </w:p>
        </w:tc>
        <w:tc>
          <w:tcPr>
            <w:tcW w:w="897" w:type="dxa"/>
            <w:vMerge/>
            <w:tcBorders>
              <w:top w:val="single" w:sz="4" w:space="0" w:color="auto"/>
              <w:left w:val="nil"/>
              <w:bottom w:val="single" w:sz="4" w:space="0" w:color="000000"/>
              <w:right w:val="nil"/>
            </w:tcBorders>
            <w:vAlign w:val="center"/>
            <w:hideMark/>
          </w:tcPr>
          <w:p w14:paraId="54D524D8" w14:textId="77777777" w:rsidR="00A24567" w:rsidRPr="00D62C98" w:rsidRDefault="00A24567" w:rsidP="00A24567">
            <w:pPr>
              <w:rPr>
                <w:b/>
                <w:bCs/>
                <w:color w:val="000000"/>
                <w:sz w:val="15"/>
                <w:szCs w:val="13"/>
                <w:lang w:val="en-US" w:eastAsia="en-US"/>
              </w:rPr>
            </w:pPr>
          </w:p>
        </w:tc>
        <w:tc>
          <w:tcPr>
            <w:tcW w:w="735" w:type="dxa"/>
            <w:vMerge/>
            <w:tcBorders>
              <w:top w:val="single" w:sz="4" w:space="0" w:color="auto"/>
              <w:left w:val="nil"/>
              <w:bottom w:val="single" w:sz="4" w:space="0" w:color="000000"/>
              <w:right w:val="nil"/>
            </w:tcBorders>
            <w:vAlign w:val="center"/>
            <w:hideMark/>
          </w:tcPr>
          <w:p w14:paraId="0FF34F75" w14:textId="77777777" w:rsidR="00A24567" w:rsidRPr="00D62C98" w:rsidRDefault="00A24567" w:rsidP="00A24567">
            <w:pPr>
              <w:rPr>
                <w:b/>
                <w:bCs/>
                <w:color w:val="000000"/>
                <w:sz w:val="15"/>
                <w:szCs w:val="13"/>
                <w:lang w:val="en-US" w:eastAsia="en-US"/>
              </w:rPr>
            </w:pPr>
          </w:p>
        </w:tc>
        <w:tc>
          <w:tcPr>
            <w:tcW w:w="679" w:type="dxa"/>
            <w:vMerge/>
            <w:tcBorders>
              <w:top w:val="single" w:sz="4" w:space="0" w:color="auto"/>
              <w:left w:val="nil"/>
              <w:bottom w:val="single" w:sz="4" w:space="0" w:color="000000"/>
              <w:right w:val="single" w:sz="4" w:space="0" w:color="000000"/>
            </w:tcBorders>
            <w:vAlign w:val="center"/>
            <w:hideMark/>
          </w:tcPr>
          <w:p w14:paraId="043BFEF1" w14:textId="77777777" w:rsidR="00A24567" w:rsidRPr="00D62C98" w:rsidRDefault="00A24567" w:rsidP="00A24567">
            <w:pPr>
              <w:rPr>
                <w:b/>
                <w:bCs/>
                <w:color w:val="000000"/>
                <w:sz w:val="15"/>
                <w:szCs w:val="13"/>
                <w:lang w:val="en-US" w:eastAsia="en-US"/>
              </w:rPr>
            </w:pPr>
          </w:p>
        </w:tc>
        <w:tc>
          <w:tcPr>
            <w:tcW w:w="691" w:type="dxa"/>
            <w:vMerge/>
            <w:tcBorders>
              <w:top w:val="nil"/>
              <w:left w:val="single" w:sz="4" w:space="0" w:color="000000"/>
              <w:bottom w:val="single" w:sz="4" w:space="0" w:color="000000"/>
              <w:right w:val="nil"/>
            </w:tcBorders>
            <w:vAlign w:val="center"/>
            <w:hideMark/>
          </w:tcPr>
          <w:p w14:paraId="0CB02950" w14:textId="77777777" w:rsidR="00A24567" w:rsidRPr="00D62C98" w:rsidRDefault="00A24567" w:rsidP="00A24567">
            <w:pPr>
              <w:rPr>
                <w:b/>
                <w:bCs/>
                <w:color w:val="000000"/>
                <w:sz w:val="15"/>
                <w:szCs w:val="13"/>
                <w:lang w:val="en-US" w:eastAsia="en-US"/>
              </w:rPr>
            </w:pPr>
          </w:p>
        </w:tc>
        <w:tc>
          <w:tcPr>
            <w:tcW w:w="735" w:type="dxa"/>
            <w:vMerge/>
            <w:tcBorders>
              <w:top w:val="nil"/>
              <w:left w:val="nil"/>
              <w:bottom w:val="single" w:sz="4" w:space="0" w:color="000000"/>
              <w:right w:val="nil"/>
            </w:tcBorders>
            <w:vAlign w:val="center"/>
            <w:hideMark/>
          </w:tcPr>
          <w:p w14:paraId="5D2D99A8" w14:textId="77777777" w:rsidR="00A24567" w:rsidRPr="00D62C98" w:rsidRDefault="00A24567" w:rsidP="00A24567">
            <w:pPr>
              <w:rPr>
                <w:b/>
                <w:bCs/>
                <w:color w:val="000000"/>
                <w:sz w:val="15"/>
                <w:szCs w:val="13"/>
                <w:lang w:val="en-US" w:eastAsia="en-US"/>
              </w:rPr>
            </w:pPr>
          </w:p>
        </w:tc>
        <w:tc>
          <w:tcPr>
            <w:tcW w:w="752" w:type="dxa"/>
            <w:vMerge/>
            <w:tcBorders>
              <w:top w:val="nil"/>
              <w:left w:val="nil"/>
              <w:bottom w:val="single" w:sz="4" w:space="0" w:color="000000"/>
              <w:right w:val="nil"/>
            </w:tcBorders>
            <w:vAlign w:val="center"/>
            <w:hideMark/>
          </w:tcPr>
          <w:p w14:paraId="396CB9B1" w14:textId="77777777" w:rsidR="00A24567" w:rsidRPr="00D62C98" w:rsidRDefault="00A24567" w:rsidP="00A24567">
            <w:pPr>
              <w:rPr>
                <w:b/>
                <w:bCs/>
                <w:color w:val="000000"/>
                <w:sz w:val="15"/>
                <w:szCs w:val="13"/>
                <w:lang w:val="en-US" w:eastAsia="en-US"/>
              </w:rPr>
            </w:pPr>
          </w:p>
        </w:tc>
        <w:tc>
          <w:tcPr>
            <w:tcW w:w="779" w:type="dxa"/>
            <w:vMerge/>
            <w:tcBorders>
              <w:top w:val="nil"/>
              <w:left w:val="nil"/>
              <w:bottom w:val="single" w:sz="4" w:space="0" w:color="000000"/>
              <w:right w:val="nil"/>
            </w:tcBorders>
            <w:vAlign w:val="center"/>
            <w:hideMark/>
          </w:tcPr>
          <w:p w14:paraId="1B1C9837" w14:textId="77777777" w:rsidR="00A24567" w:rsidRPr="00D62C98" w:rsidRDefault="00A24567" w:rsidP="00A24567">
            <w:pPr>
              <w:rPr>
                <w:b/>
                <w:bCs/>
                <w:color w:val="000000"/>
                <w:sz w:val="15"/>
                <w:szCs w:val="13"/>
                <w:lang w:val="en-US" w:eastAsia="en-US"/>
              </w:rPr>
            </w:pPr>
          </w:p>
        </w:tc>
        <w:tc>
          <w:tcPr>
            <w:tcW w:w="989" w:type="dxa"/>
            <w:vMerge/>
            <w:tcBorders>
              <w:top w:val="single" w:sz="4" w:space="0" w:color="auto"/>
              <w:left w:val="single" w:sz="4" w:space="0" w:color="auto"/>
              <w:bottom w:val="single" w:sz="4" w:space="0" w:color="000000"/>
              <w:right w:val="nil"/>
            </w:tcBorders>
            <w:vAlign w:val="center"/>
            <w:hideMark/>
          </w:tcPr>
          <w:p w14:paraId="33083273" w14:textId="77777777" w:rsidR="00A24567" w:rsidRPr="00D62C98" w:rsidRDefault="00A24567" w:rsidP="00A24567">
            <w:pPr>
              <w:rPr>
                <w:b/>
                <w:bCs/>
                <w:color w:val="000000"/>
                <w:sz w:val="15"/>
                <w:szCs w:val="13"/>
                <w:lang w:val="en-US" w:eastAsia="en-US"/>
              </w:rPr>
            </w:pPr>
          </w:p>
        </w:tc>
        <w:tc>
          <w:tcPr>
            <w:tcW w:w="701" w:type="dxa"/>
            <w:vMerge/>
            <w:tcBorders>
              <w:top w:val="single" w:sz="4" w:space="0" w:color="auto"/>
              <w:left w:val="nil"/>
              <w:bottom w:val="single" w:sz="4" w:space="0" w:color="000000"/>
              <w:right w:val="nil"/>
            </w:tcBorders>
            <w:vAlign w:val="center"/>
            <w:hideMark/>
          </w:tcPr>
          <w:p w14:paraId="5C842FA8" w14:textId="77777777" w:rsidR="00A24567" w:rsidRPr="00D62C98" w:rsidRDefault="00A24567" w:rsidP="00A24567">
            <w:pPr>
              <w:rPr>
                <w:b/>
                <w:bCs/>
                <w:color w:val="000000"/>
                <w:sz w:val="15"/>
                <w:szCs w:val="13"/>
                <w:lang w:val="en-US" w:eastAsia="en-US"/>
              </w:rPr>
            </w:pPr>
          </w:p>
        </w:tc>
      </w:tr>
      <w:tr w:rsidR="00D62C98" w:rsidRPr="00D62C98" w14:paraId="2B041402" w14:textId="77777777" w:rsidTr="008C0756">
        <w:trPr>
          <w:trHeight w:val="292"/>
          <w:tblHeader/>
        </w:trPr>
        <w:tc>
          <w:tcPr>
            <w:tcW w:w="709" w:type="dxa"/>
            <w:vMerge/>
            <w:tcBorders>
              <w:top w:val="single" w:sz="4" w:space="0" w:color="auto"/>
              <w:left w:val="nil"/>
              <w:bottom w:val="single" w:sz="4" w:space="0" w:color="000000"/>
              <w:right w:val="nil"/>
            </w:tcBorders>
            <w:vAlign w:val="center"/>
            <w:hideMark/>
          </w:tcPr>
          <w:p w14:paraId="68EE0B37" w14:textId="77777777" w:rsidR="00A24567" w:rsidRPr="00D62C98" w:rsidRDefault="00A24567" w:rsidP="00A24567">
            <w:pPr>
              <w:rPr>
                <w:b/>
                <w:bCs/>
                <w:color w:val="000000"/>
                <w:sz w:val="15"/>
                <w:szCs w:val="13"/>
                <w:lang w:val="en-US" w:eastAsia="en-US"/>
              </w:rPr>
            </w:pPr>
          </w:p>
        </w:tc>
        <w:tc>
          <w:tcPr>
            <w:tcW w:w="691" w:type="dxa"/>
            <w:vMerge/>
            <w:tcBorders>
              <w:top w:val="single" w:sz="4" w:space="0" w:color="auto"/>
              <w:left w:val="nil"/>
              <w:bottom w:val="single" w:sz="4" w:space="0" w:color="000000"/>
              <w:right w:val="nil"/>
            </w:tcBorders>
            <w:vAlign w:val="center"/>
            <w:hideMark/>
          </w:tcPr>
          <w:p w14:paraId="0F312E80" w14:textId="77777777" w:rsidR="00A24567" w:rsidRPr="00D62C98" w:rsidRDefault="00A24567" w:rsidP="00A24567">
            <w:pPr>
              <w:rPr>
                <w:b/>
                <w:bCs/>
                <w:color w:val="000000"/>
                <w:sz w:val="15"/>
                <w:szCs w:val="13"/>
                <w:lang w:val="en-US" w:eastAsia="en-US"/>
              </w:rPr>
            </w:pPr>
          </w:p>
        </w:tc>
        <w:tc>
          <w:tcPr>
            <w:tcW w:w="585" w:type="dxa"/>
            <w:vMerge/>
            <w:tcBorders>
              <w:top w:val="single" w:sz="4" w:space="0" w:color="auto"/>
              <w:left w:val="nil"/>
              <w:bottom w:val="single" w:sz="4" w:space="0" w:color="000000"/>
              <w:right w:val="nil"/>
            </w:tcBorders>
            <w:vAlign w:val="center"/>
            <w:hideMark/>
          </w:tcPr>
          <w:p w14:paraId="6CD19F17" w14:textId="77777777" w:rsidR="00A24567" w:rsidRPr="00D62C98" w:rsidRDefault="00A24567" w:rsidP="00A24567">
            <w:pPr>
              <w:rPr>
                <w:b/>
                <w:bCs/>
                <w:color w:val="000000"/>
                <w:sz w:val="15"/>
                <w:szCs w:val="13"/>
                <w:lang w:val="en-US" w:eastAsia="en-US"/>
              </w:rPr>
            </w:pPr>
          </w:p>
        </w:tc>
        <w:tc>
          <w:tcPr>
            <w:tcW w:w="4639" w:type="dxa"/>
            <w:vMerge/>
            <w:tcBorders>
              <w:top w:val="single" w:sz="4" w:space="0" w:color="auto"/>
              <w:left w:val="nil"/>
              <w:bottom w:val="single" w:sz="4" w:space="0" w:color="000000"/>
              <w:right w:val="nil"/>
            </w:tcBorders>
            <w:vAlign w:val="center"/>
            <w:hideMark/>
          </w:tcPr>
          <w:p w14:paraId="40D13735" w14:textId="77777777" w:rsidR="00A24567" w:rsidRPr="00D62C98" w:rsidRDefault="00A24567" w:rsidP="00A24567">
            <w:pPr>
              <w:rPr>
                <w:b/>
                <w:bCs/>
                <w:color w:val="000000"/>
                <w:sz w:val="15"/>
                <w:szCs w:val="13"/>
                <w:lang w:val="en-US" w:eastAsia="en-US"/>
              </w:rPr>
            </w:pPr>
          </w:p>
        </w:tc>
        <w:tc>
          <w:tcPr>
            <w:tcW w:w="752" w:type="dxa"/>
            <w:vMerge/>
            <w:tcBorders>
              <w:top w:val="single" w:sz="4" w:space="0" w:color="auto"/>
              <w:left w:val="nil"/>
              <w:bottom w:val="single" w:sz="4" w:space="0" w:color="000000"/>
              <w:right w:val="nil"/>
            </w:tcBorders>
            <w:vAlign w:val="center"/>
            <w:hideMark/>
          </w:tcPr>
          <w:p w14:paraId="353FBDDA" w14:textId="77777777" w:rsidR="00A24567" w:rsidRPr="00D62C98" w:rsidRDefault="00A24567" w:rsidP="00A24567">
            <w:pPr>
              <w:rPr>
                <w:b/>
                <w:bCs/>
                <w:color w:val="000000"/>
                <w:sz w:val="15"/>
                <w:szCs w:val="13"/>
                <w:lang w:val="en-US" w:eastAsia="en-US"/>
              </w:rPr>
            </w:pPr>
          </w:p>
        </w:tc>
        <w:tc>
          <w:tcPr>
            <w:tcW w:w="897" w:type="dxa"/>
            <w:vMerge/>
            <w:tcBorders>
              <w:top w:val="single" w:sz="4" w:space="0" w:color="auto"/>
              <w:left w:val="nil"/>
              <w:bottom w:val="single" w:sz="4" w:space="0" w:color="000000"/>
              <w:right w:val="nil"/>
            </w:tcBorders>
            <w:vAlign w:val="center"/>
            <w:hideMark/>
          </w:tcPr>
          <w:p w14:paraId="6963269D" w14:textId="77777777" w:rsidR="00A24567" w:rsidRPr="00D62C98" w:rsidRDefault="00A24567" w:rsidP="00A24567">
            <w:pPr>
              <w:rPr>
                <w:b/>
                <w:bCs/>
                <w:color w:val="000000"/>
                <w:sz w:val="15"/>
                <w:szCs w:val="13"/>
                <w:lang w:val="en-US" w:eastAsia="en-US"/>
              </w:rPr>
            </w:pPr>
          </w:p>
        </w:tc>
        <w:tc>
          <w:tcPr>
            <w:tcW w:w="735" w:type="dxa"/>
            <w:vMerge/>
            <w:tcBorders>
              <w:top w:val="single" w:sz="4" w:space="0" w:color="auto"/>
              <w:left w:val="nil"/>
              <w:bottom w:val="single" w:sz="4" w:space="0" w:color="000000"/>
              <w:right w:val="nil"/>
            </w:tcBorders>
            <w:vAlign w:val="center"/>
            <w:hideMark/>
          </w:tcPr>
          <w:p w14:paraId="1BCD4DBF" w14:textId="77777777" w:rsidR="00A24567" w:rsidRPr="00D62C98" w:rsidRDefault="00A24567" w:rsidP="00A24567">
            <w:pPr>
              <w:rPr>
                <w:b/>
                <w:bCs/>
                <w:color w:val="000000"/>
                <w:sz w:val="15"/>
                <w:szCs w:val="13"/>
                <w:lang w:val="en-US" w:eastAsia="en-US"/>
              </w:rPr>
            </w:pPr>
          </w:p>
        </w:tc>
        <w:tc>
          <w:tcPr>
            <w:tcW w:w="679" w:type="dxa"/>
            <w:vMerge/>
            <w:tcBorders>
              <w:top w:val="single" w:sz="4" w:space="0" w:color="auto"/>
              <w:left w:val="nil"/>
              <w:bottom w:val="single" w:sz="4" w:space="0" w:color="000000"/>
              <w:right w:val="single" w:sz="4" w:space="0" w:color="000000"/>
            </w:tcBorders>
            <w:vAlign w:val="center"/>
            <w:hideMark/>
          </w:tcPr>
          <w:p w14:paraId="2E2C63C4" w14:textId="77777777" w:rsidR="00A24567" w:rsidRPr="00D62C98" w:rsidRDefault="00A24567" w:rsidP="00A24567">
            <w:pPr>
              <w:rPr>
                <w:b/>
                <w:bCs/>
                <w:color w:val="000000"/>
                <w:sz w:val="15"/>
                <w:szCs w:val="13"/>
                <w:lang w:val="en-US" w:eastAsia="en-US"/>
              </w:rPr>
            </w:pPr>
          </w:p>
        </w:tc>
        <w:tc>
          <w:tcPr>
            <w:tcW w:w="691" w:type="dxa"/>
            <w:vMerge/>
            <w:tcBorders>
              <w:top w:val="nil"/>
              <w:left w:val="single" w:sz="4" w:space="0" w:color="000000"/>
              <w:bottom w:val="single" w:sz="4" w:space="0" w:color="000000"/>
              <w:right w:val="nil"/>
            </w:tcBorders>
            <w:vAlign w:val="center"/>
            <w:hideMark/>
          </w:tcPr>
          <w:p w14:paraId="77FC25B3" w14:textId="77777777" w:rsidR="00A24567" w:rsidRPr="00D62C98" w:rsidRDefault="00A24567" w:rsidP="00A24567">
            <w:pPr>
              <w:rPr>
                <w:b/>
                <w:bCs/>
                <w:color w:val="000000"/>
                <w:sz w:val="15"/>
                <w:szCs w:val="13"/>
                <w:lang w:val="en-US" w:eastAsia="en-US"/>
              </w:rPr>
            </w:pPr>
          </w:p>
        </w:tc>
        <w:tc>
          <w:tcPr>
            <w:tcW w:w="735" w:type="dxa"/>
            <w:vMerge/>
            <w:tcBorders>
              <w:top w:val="nil"/>
              <w:left w:val="nil"/>
              <w:bottom w:val="single" w:sz="4" w:space="0" w:color="000000"/>
              <w:right w:val="nil"/>
            </w:tcBorders>
            <w:vAlign w:val="center"/>
            <w:hideMark/>
          </w:tcPr>
          <w:p w14:paraId="1F3F3984" w14:textId="77777777" w:rsidR="00A24567" w:rsidRPr="00D62C98" w:rsidRDefault="00A24567" w:rsidP="00A24567">
            <w:pPr>
              <w:rPr>
                <w:b/>
                <w:bCs/>
                <w:color w:val="000000"/>
                <w:sz w:val="15"/>
                <w:szCs w:val="13"/>
                <w:lang w:val="en-US" w:eastAsia="en-US"/>
              </w:rPr>
            </w:pPr>
          </w:p>
        </w:tc>
        <w:tc>
          <w:tcPr>
            <w:tcW w:w="752" w:type="dxa"/>
            <w:vMerge/>
            <w:tcBorders>
              <w:top w:val="nil"/>
              <w:left w:val="nil"/>
              <w:bottom w:val="single" w:sz="4" w:space="0" w:color="000000"/>
              <w:right w:val="nil"/>
            </w:tcBorders>
            <w:vAlign w:val="center"/>
            <w:hideMark/>
          </w:tcPr>
          <w:p w14:paraId="578E4F99" w14:textId="77777777" w:rsidR="00A24567" w:rsidRPr="00D62C98" w:rsidRDefault="00A24567" w:rsidP="00A24567">
            <w:pPr>
              <w:rPr>
                <w:b/>
                <w:bCs/>
                <w:color w:val="000000"/>
                <w:sz w:val="15"/>
                <w:szCs w:val="13"/>
                <w:lang w:val="en-US" w:eastAsia="en-US"/>
              </w:rPr>
            </w:pPr>
          </w:p>
        </w:tc>
        <w:tc>
          <w:tcPr>
            <w:tcW w:w="779" w:type="dxa"/>
            <w:vMerge/>
            <w:tcBorders>
              <w:top w:val="nil"/>
              <w:left w:val="nil"/>
              <w:bottom w:val="single" w:sz="4" w:space="0" w:color="000000"/>
              <w:right w:val="nil"/>
            </w:tcBorders>
            <w:vAlign w:val="center"/>
            <w:hideMark/>
          </w:tcPr>
          <w:p w14:paraId="099087D6" w14:textId="77777777" w:rsidR="00A24567" w:rsidRPr="00D62C98" w:rsidRDefault="00A24567" w:rsidP="00A24567">
            <w:pPr>
              <w:rPr>
                <w:b/>
                <w:bCs/>
                <w:color w:val="000000"/>
                <w:sz w:val="15"/>
                <w:szCs w:val="13"/>
                <w:lang w:val="en-US" w:eastAsia="en-US"/>
              </w:rPr>
            </w:pPr>
          </w:p>
        </w:tc>
        <w:tc>
          <w:tcPr>
            <w:tcW w:w="989" w:type="dxa"/>
            <w:vMerge/>
            <w:tcBorders>
              <w:top w:val="single" w:sz="4" w:space="0" w:color="auto"/>
              <w:left w:val="single" w:sz="4" w:space="0" w:color="auto"/>
              <w:bottom w:val="single" w:sz="4" w:space="0" w:color="000000"/>
              <w:right w:val="nil"/>
            </w:tcBorders>
            <w:vAlign w:val="center"/>
            <w:hideMark/>
          </w:tcPr>
          <w:p w14:paraId="08B7DBC3" w14:textId="77777777" w:rsidR="00A24567" w:rsidRPr="00D62C98" w:rsidRDefault="00A24567" w:rsidP="00A24567">
            <w:pPr>
              <w:rPr>
                <w:b/>
                <w:bCs/>
                <w:color w:val="000000"/>
                <w:sz w:val="15"/>
                <w:szCs w:val="13"/>
                <w:lang w:val="en-US" w:eastAsia="en-US"/>
              </w:rPr>
            </w:pPr>
          </w:p>
        </w:tc>
        <w:tc>
          <w:tcPr>
            <w:tcW w:w="701" w:type="dxa"/>
            <w:vMerge/>
            <w:tcBorders>
              <w:top w:val="single" w:sz="4" w:space="0" w:color="auto"/>
              <w:left w:val="nil"/>
              <w:bottom w:val="single" w:sz="4" w:space="0" w:color="000000"/>
              <w:right w:val="nil"/>
            </w:tcBorders>
            <w:vAlign w:val="center"/>
            <w:hideMark/>
          </w:tcPr>
          <w:p w14:paraId="1076721A" w14:textId="77777777" w:rsidR="00A24567" w:rsidRPr="00D62C98" w:rsidRDefault="00A24567" w:rsidP="00A24567">
            <w:pPr>
              <w:rPr>
                <w:b/>
                <w:bCs/>
                <w:color w:val="000000"/>
                <w:sz w:val="15"/>
                <w:szCs w:val="13"/>
                <w:lang w:val="en-US" w:eastAsia="en-US"/>
              </w:rPr>
            </w:pPr>
          </w:p>
        </w:tc>
      </w:tr>
      <w:tr w:rsidR="00D62C98" w:rsidRPr="00D62C98" w14:paraId="4A8CEF15" w14:textId="77777777" w:rsidTr="008C0756">
        <w:trPr>
          <w:trHeight w:hRule="exact" w:val="284"/>
          <w:tblHeader/>
        </w:trPr>
        <w:tc>
          <w:tcPr>
            <w:tcW w:w="709" w:type="dxa"/>
            <w:tcBorders>
              <w:top w:val="nil"/>
              <w:left w:val="nil"/>
              <w:bottom w:val="nil"/>
              <w:right w:val="nil"/>
            </w:tcBorders>
            <w:shd w:val="clear" w:color="000000" w:fill="FFFFFF"/>
            <w:noWrap/>
            <w:hideMark/>
          </w:tcPr>
          <w:p w14:paraId="56804BEB" w14:textId="1C5ACFE2"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Yes</w:t>
            </w:r>
          </w:p>
        </w:tc>
        <w:tc>
          <w:tcPr>
            <w:tcW w:w="691" w:type="dxa"/>
            <w:tcBorders>
              <w:top w:val="nil"/>
              <w:left w:val="nil"/>
              <w:bottom w:val="nil"/>
              <w:right w:val="nil"/>
            </w:tcBorders>
            <w:shd w:val="clear" w:color="000000" w:fill="FFFFFF"/>
            <w:noWrap/>
            <w:hideMark/>
          </w:tcPr>
          <w:p w14:paraId="12ED633F" w14:textId="34D68CF1"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1</w:t>
            </w:r>
          </w:p>
        </w:tc>
        <w:tc>
          <w:tcPr>
            <w:tcW w:w="585" w:type="dxa"/>
            <w:tcBorders>
              <w:top w:val="nil"/>
              <w:left w:val="nil"/>
              <w:bottom w:val="nil"/>
              <w:right w:val="nil"/>
            </w:tcBorders>
            <w:shd w:val="clear" w:color="000000" w:fill="FFFFFF"/>
            <w:noWrap/>
            <w:hideMark/>
          </w:tcPr>
          <w:p w14:paraId="38051871" w14:textId="35C34EC4"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F01A</w:t>
            </w:r>
          </w:p>
        </w:tc>
        <w:tc>
          <w:tcPr>
            <w:tcW w:w="4639" w:type="dxa"/>
            <w:tcBorders>
              <w:top w:val="nil"/>
              <w:left w:val="nil"/>
              <w:bottom w:val="nil"/>
              <w:right w:val="nil"/>
            </w:tcBorders>
            <w:shd w:val="clear" w:color="000000" w:fill="FFFFFF"/>
            <w:noWrap/>
            <w:hideMark/>
          </w:tcPr>
          <w:p w14:paraId="36877580" w14:textId="137EB4C0" w:rsidR="00336584" w:rsidRPr="00D62C98" w:rsidRDefault="00A24567" w:rsidP="00CD460D">
            <w:pPr>
              <w:spacing w:after="0"/>
              <w:rPr>
                <w:color w:val="000000"/>
                <w:sz w:val="15"/>
                <w:szCs w:val="13"/>
                <w:lang w:val="en-US" w:eastAsia="en-US"/>
              </w:rPr>
            </w:pPr>
            <w:r w:rsidRPr="00D62C98">
              <w:rPr>
                <w:color w:val="000000"/>
                <w:sz w:val="15"/>
                <w:szCs w:val="13"/>
                <w:lang w:val="en-US" w:eastAsia="en-US"/>
              </w:rPr>
              <w:t>Implantation and Replacement of AICD, Total System, Major Complexity</w:t>
            </w:r>
          </w:p>
        </w:tc>
        <w:tc>
          <w:tcPr>
            <w:tcW w:w="752" w:type="dxa"/>
            <w:tcBorders>
              <w:top w:val="nil"/>
              <w:left w:val="nil"/>
              <w:bottom w:val="nil"/>
              <w:right w:val="nil"/>
            </w:tcBorders>
            <w:shd w:val="clear" w:color="000000" w:fill="FFFFFF"/>
            <w:noWrap/>
            <w:hideMark/>
          </w:tcPr>
          <w:p w14:paraId="05B39029" w14:textId="77777777" w:rsidR="00A24567" w:rsidRPr="00D62C98" w:rsidRDefault="00A24567" w:rsidP="00CD460D">
            <w:pPr>
              <w:spacing w:after="0"/>
              <w:jc w:val="right"/>
              <w:rPr>
                <w:b/>
                <w:bCs/>
                <w:color w:val="000000"/>
                <w:sz w:val="15"/>
                <w:szCs w:val="13"/>
                <w:lang w:val="en-US" w:eastAsia="en-US"/>
              </w:rPr>
            </w:pPr>
            <w:r w:rsidRPr="00D62C98">
              <w:rPr>
                <w:b/>
                <w:bCs/>
                <w:color w:val="000000"/>
                <w:sz w:val="15"/>
                <w:szCs w:val="13"/>
                <w:lang w:val="en-US" w:eastAsia="en-US"/>
              </w:rPr>
              <w:t>14.97</w:t>
            </w:r>
          </w:p>
        </w:tc>
        <w:tc>
          <w:tcPr>
            <w:tcW w:w="897" w:type="dxa"/>
            <w:tcBorders>
              <w:top w:val="nil"/>
              <w:left w:val="nil"/>
              <w:bottom w:val="nil"/>
              <w:right w:val="nil"/>
            </w:tcBorders>
            <w:shd w:val="clear" w:color="000000" w:fill="FFFFFF"/>
            <w:noWrap/>
            <w:hideMark/>
          </w:tcPr>
          <w:p w14:paraId="54AE3482"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297</w:t>
            </w:r>
          </w:p>
        </w:tc>
        <w:tc>
          <w:tcPr>
            <w:tcW w:w="735" w:type="dxa"/>
            <w:tcBorders>
              <w:top w:val="nil"/>
              <w:left w:val="nil"/>
              <w:bottom w:val="nil"/>
              <w:right w:val="nil"/>
            </w:tcBorders>
            <w:shd w:val="clear" w:color="000000" w:fill="FFFFFF"/>
            <w:noWrap/>
            <w:hideMark/>
          </w:tcPr>
          <w:p w14:paraId="3A21413C" w14:textId="16F3446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20.46</w:t>
            </w:r>
          </w:p>
        </w:tc>
        <w:tc>
          <w:tcPr>
            <w:tcW w:w="679" w:type="dxa"/>
            <w:tcBorders>
              <w:top w:val="nil"/>
              <w:left w:val="nil"/>
              <w:bottom w:val="nil"/>
              <w:right w:val="nil"/>
            </w:tcBorders>
            <w:shd w:val="clear" w:color="000000" w:fill="FFFFFF"/>
            <w:noWrap/>
            <w:hideMark/>
          </w:tcPr>
          <w:p w14:paraId="28D064C1" w14:textId="1117874D"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10.5</w:t>
            </w:r>
          </w:p>
        </w:tc>
        <w:tc>
          <w:tcPr>
            <w:tcW w:w="691" w:type="dxa"/>
            <w:tcBorders>
              <w:top w:val="nil"/>
              <w:left w:val="single" w:sz="4" w:space="0" w:color="000000"/>
              <w:bottom w:val="nil"/>
              <w:right w:val="nil"/>
            </w:tcBorders>
            <w:shd w:val="clear" w:color="000000" w:fill="FFFFFF"/>
            <w:noWrap/>
            <w:hideMark/>
          </w:tcPr>
          <w:p w14:paraId="5DB5FE4D"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7%</w:t>
            </w:r>
          </w:p>
        </w:tc>
        <w:tc>
          <w:tcPr>
            <w:tcW w:w="735" w:type="dxa"/>
            <w:tcBorders>
              <w:top w:val="nil"/>
              <w:left w:val="nil"/>
              <w:bottom w:val="nil"/>
              <w:right w:val="nil"/>
            </w:tcBorders>
            <w:shd w:val="clear" w:color="000000" w:fill="FFFFFF"/>
            <w:noWrap/>
            <w:hideMark/>
          </w:tcPr>
          <w:p w14:paraId="29E9C709"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9%</w:t>
            </w:r>
          </w:p>
        </w:tc>
        <w:tc>
          <w:tcPr>
            <w:tcW w:w="752" w:type="dxa"/>
            <w:tcBorders>
              <w:top w:val="nil"/>
              <w:left w:val="nil"/>
              <w:bottom w:val="nil"/>
              <w:right w:val="nil"/>
            </w:tcBorders>
            <w:shd w:val="clear" w:color="000000" w:fill="FFFFFF"/>
            <w:noWrap/>
            <w:hideMark/>
          </w:tcPr>
          <w:p w14:paraId="08856FCD"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73%</w:t>
            </w:r>
          </w:p>
        </w:tc>
        <w:tc>
          <w:tcPr>
            <w:tcW w:w="779" w:type="dxa"/>
            <w:tcBorders>
              <w:top w:val="nil"/>
              <w:left w:val="nil"/>
              <w:bottom w:val="nil"/>
              <w:right w:val="nil"/>
            </w:tcBorders>
            <w:shd w:val="clear" w:color="000000" w:fill="FFFFFF"/>
            <w:noWrap/>
            <w:hideMark/>
          </w:tcPr>
          <w:p w14:paraId="021EC28D"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11%</w:t>
            </w:r>
          </w:p>
        </w:tc>
        <w:tc>
          <w:tcPr>
            <w:tcW w:w="989" w:type="dxa"/>
            <w:tcBorders>
              <w:top w:val="nil"/>
              <w:left w:val="single" w:sz="4" w:space="0" w:color="auto"/>
              <w:bottom w:val="nil"/>
              <w:right w:val="nil"/>
            </w:tcBorders>
            <w:shd w:val="clear" w:color="000000" w:fill="FFFFFF"/>
            <w:noWrap/>
            <w:hideMark/>
          </w:tcPr>
          <w:p w14:paraId="711A3BBD"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19.27</w:t>
            </w:r>
          </w:p>
        </w:tc>
        <w:tc>
          <w:tcPr>
            <w:tcW w:w="701" w:type="dxa"/>
            <w:tcBorders>
              <w:top w:val="nil"/>
              <w:left w:val="nil"/>
              <w:bottom w:val="nil"/>
              <w:right w:val="nil"/>
            </w:tcBorders>
            <w:shd w:val="clear" w:color="000000" w:fill="FFFFFF"/>
            <w:noWrap/>
            <w:hideMark/>
          </w:tcPr>
          <w:p w14:paraId="1672BB6D" w14:textId="3DFC202F"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 xml:space="preserve">1 </w:t>
            </w:r>
          </w:p>
        </w:tc>
      </w:tr>
      <w:tr w:rsidR="00D62C98" w:rsidRPr="00D62C98" w14:paraId="526ACB07" w14:textId="77777777" w:rsidTr="008C0756">
        <w:trPr>
          <w:trHeight w:hRule="exact" w:val="284"/>
          <w:tblHeader/>
        </w:trPr>
        <w:tc>
          <w:tcPr>
            <w:tcW w:w="709" w:type="dxa"/>
            <w:tcBorders>
              <w:top w:val="nil"/>
              <w:left w:val="nil"/>
              <w:bottom w:val="nil"/>
              <w:right w:val="nil"/>
            </w:tcBorders>
            <w:shd w:val="clear" w:color="000000" w:fill="FFFFFF"/>
            <w:noWrap/>
            <w:hideMark/>
          </w:tcPr>
          <w:p w14:paraId="1BBCD219"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Yes</w:t>
            </w:r>
          </w:p>
        </w:tc>
        <w:tc>
          <w:tcPr>
            <w:tcW w:w="691" w:type="dxa"/>
            <w:tcBorders>
              <w:top w:val="nil"/>
              <w:left w:val="nil"/>
              <w:bottom w:val="nil"/>
              <w:right w:val="nil"/>
            </w:tcBorders>
            <w:shd w:val="clear" w:color="000000" w:fill="FFFFFF"/>
            <w:noWrap/>
            <w:hideMark/>
          </w:tcPr>
          <w:p w14:paraId="35D4B7EA"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2</w:t>
            </w:r>
          </w:p>
        </w:tc>
        <w:tc>
          <w:tcPr>
            <w:tcW w:w="585" w:type="dxa"/>
            <w:tcBorders>
              <w:top w:val="nil"/>
              <w:left w:val="nil"/>
              <w:bottom w:val="nil"/>
              <w:right w:val="nil"/>
            </w:tcBorders>
            <w:shd w:val="clear" w:color="000000" w:fill="FFFFFF"/>
            <w:noWrap/>
            <w:hideMark/>
          </w:tcPr>
          <w:p w14:paraId="3CA053A4" w14:textId="1B8918E0"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F01B</w:t>
            </w:r>
          </w:p>
        </w:tc>
        <w:tc>
          <w:tcPr>
            <w:tcW w:w="4639" w:type="dxa"/>
            <w:tcBorders>
              <w:top w:val="nil"/>
              <w:left w:val="nil"/>
              <w:bottom w:val="nil"/>
              <w:right w:val="nil"/>
            </w:tcBorders>
            <w:shd w:val="clear" w:color="000000" w:fill="FFFFFF"/>
            <w:noWrap/>
            <w:hideMark/>
          </w:tcPr>
          <w:p w14:paraId="6DB586ED"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Implantation and Replacement of AICD, Total System, Minor Complexity</w:t>
            </w:r>
          </w:p>
        </w:tc>
        <w:tc>
          <w:tcPr>
            <w:tcW w:w="752" w:type="dxa"/>
            <w:tcBorders>
              <w:top w:val="nil"/>
              <w:left w:val="nil"/>
              <w:bottom w:val="nil"/>
              <w:right w:val="nil"/>
            </w:tcBorders>
            <w:shd w:val="clear" w:color="000000" w:fill="FFFFFF"/>
            <w:noWrap/>
            <w:hideMark/>
          </w:tcPr>
          <w:p w14:paraId="680635D2" w14:textId="77777777" w:rsidR="00A24567" w:rsidRPr="00D62C98" w:rsidRDefault="00A24567" w:rsidP="00CD460D">
            <w:pPr>
              <w:spacing w:after="0"/>
              <w:jc w:val="right"/>
              <w:rPr>
                <w:b/>
                <w:bCs/>
                <w:color w:val="000000"/>
                <w:sz w:val="15"/>
                <w:szCs w:val="13"/>
                <w:lang w:val="en-US" w:eastAsia="en-US"/>
              </w:rPr>
            </w:pPr>
            <w:r w:rsidRPr="00D62C98">
              <w:rPr>
                <w:b/>
                <w:bCs/>
                <w:color w:val="000000"/>
                <w:sz w:val="15"/>
                <w:szCs w:val="13"/>
                <w:lang w:val="en-US" w:eastAsia="en-US"/>
              </w:rPr>
              <w:t>14.44</w:t>
            </w:r>
          </w:p>
        </w:tc>
        <w:tc>
          <w:tcPr>
            <w:tcW w:w="897" w:type="dxa"/>
            <w:tcBorders>
              <w:top w:val="nil"/>
              <w:left w:val="nil"/>
              <w:bottom w:val="nil"/>
              <w:right w:val="nil"/>
            </w:tcBorders>
            <w:shd w:val="clear" w:color="000000" w:fill="FFFFFF"/>
            <w:noWrap/>
            <w:hideMark/>
          </w:tcPr>
          <w:p w14:paraId="514B9FB7"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2,363</w:t>
            </w:r>
          </w:p>
        </w:tc>
        <w:tc>
          <w:tcPr>
            <w:tcW w:w="735" w:type="dxa"/>
            <w:tcBorders>
              <w:top w:val="nil"/>
              <w:left w:val="nil"/>
              <w:bottom w:val="nil"/>
              <w:right w:val="nil"/>
            </w:tcBorders>
            <w:shd w:val="clear" w:color="000000" w:fill="FFFFFF"/>
            <w:noWrap/>
            <w:hideMark/>
          </w:tcPr>
          <w:p w14:paraId="5D3B14EF"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16.31</w:t>
            </w:r>
          </w:p>
        </w:tc>
        <w:tc>
          <w:tcPr>
            <w:tcW w:w="679" w:type="dxa"/>
            <w:tcBorders>
              <w:top w:val="nil"/>
              <w:left w:val="nil"/>
              <w:bottom w:val="nil"/>
              <w:right w:val="nil"/>
            </w:tcBorders>
            <w:shd w:val="clear" w:color="000000" w:fill="FFFFFF"/>
            <w:noWrap/>
            <w:hideMark/>
          </w:tcPr>
          <w:p w14:paraId="3E9EEC6A"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2.3</w:t>
            </w:r>
          </w:p>
        </w:tc>
        <w:tc>
          <w:tcPr>
            <w:tcW w:w="691" w:type="dxa"/>
            <w:tcBorders>
              <w:top w:val="nil"/>
              <w:left w:val="single" w:sz="4" w:space="0" w:color="000000"/>
              <w:bottom w:val="nil"/>
              <w:right w:val="nil"/>
            </w:tcBorders>
            <w:shd w:val="clear" w:color="000000" w:fill="FFFFFF"/>
            <w:noWrap/>
            <w:hideMark/>
          </w:tcPr>
          <w:p w14:paraId="71E0854F"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6%</w:t>
            </w:r>
          </w:p>
        </w:tc>
        <w:tc>
          <w:tcPr>
            <w:tcW w:w="735" w:type="dxa"/>
            <w:tcBorders>
              <w:top w:val="nil"/>
              <w:left w:val="nil"/>
              <w:bottom w:val="nil"/>
              <w:right w:val="nil"/>
            </w:tcBorders>
            <w:shd w:val="clear" w:color="000000" w:fill="FFFFFF"/>
            <w:noWrap/>
            <w:hideMark/>
          </w:tcPr>
          <w:p w14:paraId="4D6709A1"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w:t>
            </w:r>
          </w:p>
        </w:tc>
        <w:tc>
          <w:tcPr>
            <w:tcW w:w="752" w:type="dxa"/>
            <w:tcBorders>
              <w:top w:val="nil"/>
              <w:left w:val="nil"/>
              <w:bottom w:val="nil"/>
              <w:right w:val="nil"/>
            </w:tcBorders>
            <w:shd w:val="clear" w:color="000000" w:fill="FFFFFF"/>
            <w:noWrap/>
            <w:hideMark/>
          </w:tcPr>
          <w:p w14:paraId="04E94EEB"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89%</w:t>
            </w:r>
          </w:p>
        </w:tc>
        <w:tc>
          <w:tcPr>
            <w:tcW w:w="779" w:type="dxa"/>
            <w:tcBorders>
              <w:top w:val="nil"/>
              <w:left w:val="nil"/>
              <w:bottom w:val="nil"/>
              <w:right w:val="nil"/>
            </w:tcBorders>
            <w:shd w:val="clear" w:color="000000" w:fill="FFFFFF"/>
            <w:noWrap/>
            <w:hideMark/>
          </w:tcPr>
          <w:p w14:paraId="0585304B"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4%</w:t>
            </w:r>
          </w:p>
        </w:tc>
        <w:tc>
          <w:tcPr>
            <w:tcW w:w="989" w:type="dxa"/>
            <w:tcBorders>
              <w:top w:val="nil"/>
              <w:left w:val="single" w:sz="4" w:space="0" w:color="auto"/>
              <w:bottom w:val="nil"/>
              <w:right w:val="nil"/>
            </w:tcBorders>
            <w:shd w:val="clear" w:color="000000" w:fill="FFFFFF"/>
            <w:noWrap/>
            <w:hideMark/>
          </w:tcPr>
          <w:p w14:paraId="619A5315"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17.71</w:t>
            </w:r>
          </w:p>
        </w:tc>
        <w:tc>
          <w:tcPr>
            <w:tcW w:w="701" w:type="dxa"/>
            <w:tcBorders>
              <w:top w:val="nil"/>
              <w:left w:val="nil"/>
              <w:bottom w:val="nil"/>
              <w:right w:val="nil"/>
            </w:tcBorders>
            <w:shd w:val="clear" w:color="000000" w:fill="FFFFFF"/>
            <w:noWrap/>
            <w:hideMark/>
          </w:tcPr>
          <w:p w14:paraId="7872426A"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 xml:space="preserve">2 </w:t>
            </w:r>
          </w:p>
        </w:tc>
      </w:tr>
      <w:tr w:rsidR="00D62C98" w:rsidRPr="00D62C98" w14:paraId="0FF75944" w14:textId="77777777" w:rsidTr="008C0756">
        <w:trPr>
          <w:trHeight w:hRule="exact" w:val="284"/>
          <w:tblHeader/>
        </w:trPr>
        <w:tc>
          <w:tcPr>
            <w:tcW w:w="709" w:type="dxa"/>
            <w:tcBorders>
              <w:top w:val="nil"/>
              <w:left w:val="nil"/>
              <w:bottom w:val="nil"/>
              <w:right w:val="nil"/>
            </w:tcBorders>
            <w:shd w:val="clear" w:color="000000" w:fill="FFFFFF"/>
            <w:noWrap/>
            <w:hideMark/>
          </w:tcPr>
          <w:p w14:paraId="65FBA262"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Yes</w:t>
            </w:r>
          </w:p>
        </w:tc>
        <w:tc>
          <w:tcPr>
            <w:tcW w:w="691" w:type="dxa"/>
            <w:tcBorders>
              <w:top w:val="nil"/>
              <w:left w:val="nil"/>
              <w:bottom w:val="nil"/>
              <w:right w:val="nil"/>
            </w:tcBorders>
            <w:shd w:val="clear" w:color="000000" w:fill="FFFFFF"/>
            <w:noWrap/>
            <w:hideMark/>
          </w:tcPr>
          <w:p w14:paraId="01917773"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3</w:t>
            </w:r>
          </w:p>
        </w:tc>
        <w:tc>
          <w:tcPr>
            <w:tcW w:w="585" w:type="dxa"/>
            <w:tcBorders>
              <w:top w:val="nil"/>
              <w:left w:val="nil"/>
              <w:bottom w:val="nil"/>
              <w:right w:val="nil"/>
            </w:tcBorders>
            <w:shd w:val="clear" w:color="000000" w:fill="FFFFFF"/>
            <w:noWrap/>
            <w:hideMark/>
          </w:tcPr>
          <w:p w14:paraId="44A03531" w14:textId="60CC45B0"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I06Z</w:t>
            </w:r>
          </w:p>
        </w:tc>
        <w:tc>
          <w:tcPr>
            <w:tcW w:w="4639" w:type="dxa"/>
            <w:tcBorders>
              <w:top w:val="nil"/>
              <w:left w:val="nil"/>
              <w:bottom w:val="nil"/>
              <w:right w:val="nil"/>
            </w:tcBorders>
            <w:shd w:val="clear" w:color="000000" w:fill="FFFFFF"/>
            <w:noWrap/>
            <w:hideMark/>
          </w:tcPr>
          <w:p w14:paraId="51257E67"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Spinal Fusion for Deformity</w:t>
            </w:r>
          </w:p>
        </w:tc>
        <w:tc>
          <w:tcPr>
            <w:tcW w:w="752" w:type="dxa"/>
            <w:tcBorders>
              <w:top w:val="nil"/>
              <w:left w:val="nil"/>
              <w:bottom w:val="nil"/>
              <w:right w:val="nil"/>
            </w:tcBorders>
            <w:shd w:val="clear" w:color="000000" w:fill="FFFFFF"/>
            <w:noWrap/>
            <w:hideMark/>
          </w:tcPr>
          <w:p w14:paraId="266F2669" w14:textId="77777777" w:rsidR="00A24567" w:rsidRPr="00D62C98" w:rsidRDefault="00A24567" w:rsidP="00CD460D">
            <w:pPr>
              <w:spacing w:after="0"/>
              <w:jc w:val="right"/>
              <w:rPr>
                <w:b/>
                <w:bCs/>
                <w:color w:val="000000"/>
                <w:sz w:val="15"/>
                <w:szCs w:val="13"/>
                <w:lang w:val="en-US" w:eastAsia="en-US"/>
              </w:rPr>
            </w:pPr>
            <w:r w:rsidRPr="00D62C98">
              <w:rPr>
                <w:b/>
                <w:bCs/>
                <w:color w:val="000000"/>
                <w:sz w:val="15"/>
                <w:szCs w:val="13"/>
                <w:lang w:val="en-US" w:eastAsia="en-US"/>
              </w:rPr>
              <w:t>8.38</w:t>
            </w:r>
          </w:p>
        </w:tc>
        <w:tc>
          <w:tcPr>
            <w:tcW w:w="897" w:type="dxa"/>
            <w:tcBorders>
              <w:top w:val="nil"/>
              <w:left w:val="nil"/>
              <w:bottom w:val="nil"/>
              <w:right w:val="nil"/>
            </w:tcBorders>
            <w:shd w:val="clear" w:color="000000" w:fill="FFFFFF"/>
            <w:noWrap/>
            <w:hideMark/>
          </w:tcPr>
          <w:p w14:paraId="112160B1"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1,209</w:t>
            </w:r>
          </w:p>
        </w:tc>
        <w:tc>
          <w:tcPr>
            <w:tcW w:w="735" w:type="dxa"/>
            <w:tcBorders>
              <w:top w:val="nil"/>
              <w:left w:val="nil"/>
              <w:bottom w:val="nil"/>
              <w:right w:val="nil"/>
            </w:tcBorders>
            <w:shd w:val="clear" w:color="000000" w:fill="FFFFFF"/>
            <w:noWrap/>
            <w:hideMark/>
          </w:tcPr>
          <w:p w14:paraId="488711E9"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14.11</w:t>
            </w:r>
          </w:p>
        </w:tc>
        <w:tc>
          <w:tcPr>
            <w:tcW w:w="679" w:type="dxa"/>
            <w:tcBorders>
              <w:top w:val="nil"/>
              <w:left w:val="nil"/>
              <w:bottom w:val="nil"/>
              <w:right w:val="nil"/>
            </w:tcBorders>
            <w:shd w:val="clear" w:color="000000" w:fill="FFFFFF"/>
            <w:noWrap/>
            <w:hideMark/>
          </w:tcPr>
          <w:p w14:paraId="00C6E68C"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9.8</w:t>
            </w:r>
          </w:p>
        </w:tc>
        <w:tc>
          <w:tcPr>
            <w:tcW w:w="691" w:type="dxa"/>
            <w:tcBorders>
              <w:top w:val="nil"/>
              <w:left w:val="single" w:sz="4" w:space="0" w:color="000000"/>
              <w:bottom w:val="nil"/>
              <w:right w:val="nil"/>
            </w:tcBorders>
            <w:shd w:val="clear" w:color="000000" w:fill="FFFFFF"/>
            <w:noWrap/>
            <w:hideMark/>
          </w:tcPr>
          <w:p w14:paraId="69874699"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14%</w:t>
            </w:r>
          </w:p>
        </w:tc>
        <w:tc>
          <w:tcPr>
            <w:tcW w:w="735" w:type="dxa"/>
            <w:tcBorders>
              <w:top w:val="nil"/>
              <w:left w:val="nil"/>
              <w:bottom w:val="nil"/>
              <w:right w:val="nil"/>
            </w:tcBorders>
            <w:shd w:val="clear" w:color="000000" w:fill="FFFFFF"/>
            <w:noWrap/>
            <w:hideMark/>
          </w:tcPr>
          <w:p w14:paraId="05AC4F34"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7%</w:t>
            </w:r>
          </w:p>
        </w:tc>
        <w:tc>
          <w:tcPr>
            <w:tcW w:w="752" w:type="dxa"/>
            <w:tcBorders>
              <w:top w:val="nil"/>
              <w:left w:val="nil"/>
              <w:bottom w:val="nil"/>
              <w:right w:val="nil"/>
            </w:tcBorders>
            <w:shd w:val="clear" w:color="000000" w:fill="FFFFFF"/>
            <w:noWrap/>
            <w:hideMark/>
          </w:tcPr>
          <w:p w14:paraId="3E6720E2"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59%</w:t>
            </w:r>
          </w:p>
        </w:tc>
        <w:tc>
          <w:tcPr>
            <w:tcW w:w="779" w:type="dxa"/>
            <w:tcBorders>
              <w:top w:val="nil"/>
              <w:left w:val="nil"/>
              <w:bottom w:val="nil"/>
              <w:right w:val="nil"/>
            </w:tcBorders>
            <w:shd w:val="clear" w:color="000000" w:fill="FFFFFF"/>
            <w:noWrap/>
            <w:hideMark/>
          </w:tcPr>
          <w:p w14:paraId="15655146"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19%</w:t>
            </w:r>
          </w:p>
        </w:tc>
        <w:tc>
          <w:tcPr>
            <w:tcW w:w="989" w:type="dxa"/>
            <w:tcBorders>
              <w:top w:val="nil"/>
              <w:left w:val="single" w:sz="4" w:space="0" w:color="auto"/>
              <w:bottom w:val="nil"/>
              <w:right w:val="nil"/>
            </w:tcBorders>
            <w:shd w:val="clear" w:color="000000" w:fill="FFFFFF"/>
            <w:noWrap/>
            <w:hideMark/>
          </w:tcPr>
          <w:p w14:paraId="6AEBB5BB"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8.90</w:t>
            </w:r>
          </w:p>
        </w:tc>
        <w:tc>
          <w:tcPr>
            <w:tcW w:w="701" w:type="dxa"/>
            <w:tcBorders>
              <w:top w:val="nil"/>
              <w:left w:val="nil"/>
              <w:bottom w:val="nil"/>
              <w:right w:val="nil"/>
            </w:tcBorders>
            <w:shd w:val="clear" w:color="000000" w:fill="FFFFFF"/>
            <w:noWrap/>
            <w:hideMark/>
          </w:tcPr>
          <w:p w14:paraId="6FA7B5D3"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 xml:space="preserve">3 </w:t>
            </w:r>
          </w:p>
        </w:tc>
      </w:tr>
      <w:tr w:rsidR="00D62C98" w:rsidRPr="00D62C98" w14:paraId="229669E7" w14:textId="77777777" w:rsidTr="008C0756">
        <w:trPr>
          <w:trHeight w:hRule="exact" w:val="284"/>
          <w:tblHeader/>
        </w:trPr>
        <w:tc>
          <w:tcPr>
            <w:tcW w:w="709" w:type="dxa"/>
            <w:tcBorders>
              <w:top w:val="nil"/>
              <w:left w:val="nil"/>
              <w:bottom w:val="nil"/>
              <w:right w:val="nil"/>
            </w:tcBorders>
            <w:shd w:val="clear" w:color="000000" w:fill="FFFFFF"/>
            <w:noWrap/>
            <w:hideMark/>
          </w:tcPr>
          <w:p w14:paraId="1F2831B0"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Yes</w:t>
            </w:r>
          </w:p>
        </w:tc>
        <w:tc>
          <w:tcPr>
            <w:tcW w:w="691" w:type="dxa"/>
            <w:tcBorders>
              <w:top w:val="nil"/>
              <w:left w:val="nil"/>
              <w:bottom w:val="nil"/>
              <w:right w:val="nil"/>
            </w:tcBorders>
            <w:shd w:val="clear" w:color="000000" w:fill="FFFFFF"/>
            <w:noWrap/>
            <w:hideMark/>
          </w:tcPr>
          <w:p w14:paraId="6406F850"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4</w:t>
            </w:r>
          </w:p>
        </w:tc>
        <w:tc>
          <w:tcPr>
            <w:tcW w:w="585" w:type="dxa"/>
            <w:tcBorders>
              <w:top w:val="nil"/>
              <w:left w:val="nil"/>
              <w:bottom w:val="nil"/>
              <w:right w:val="nil"/>
            </w:tcBorders>
            <w:shd w:val="clear" w:color="000000" w:fill="FFFFFF"/>
            <w:noWrap/>
            <w:hideMark/>
          </w:tcPr>
          <w:p w14:paraId="7A710AEC" w14:textId="12FA66AA"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D01Z</w:t>
            </w:r>
          </w:p>
        </w:tc>
        <w:tc>
          <w:tcPr>
            <w:tcW w:w="4639" w:type="dxa"/>
            <w:tcBorders>
              <w:top w:val="nil"/>
              <w:left w:val="nil"/>
              <w:bottom w:val="nil"/>
              <w:right w:val="nil"/>
            </w:tcBorders>
            <w:shd w:val="clear" w:color="000000" w:fill="FFFFFF"/>
            <w:noWrap/>
            <w:hideMark/>
          </w:tcPr>
          <w:p w14:paraId="5DBCF538"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Cochlear Implant</w:t>
            </w:r>
          </w:p>
        </w:tc>
        <w:tc>
          <w:tcPr>
            <w:tcW w:w="752" w:type="dxa"/>
            <w:tcBorders>
              <w:top w:val="nil"/>
              <w:left w:val="nil"/>
              <w:bottom w:val="nil"/>
              <w:right w:val="nil"/>
            </w:tcBorders>
            <w:shd w:val="clear" w:color="000000" w:fill="FFFFFF"/>
            <w:noWrap/>
            <w:hideMark/>
          </w:tcPr>
          <w:p w14:paraId="35185E5B" w14:textId="77777777" w:rsidR="00A24567" w:rsidRPr="00D62C98" w:rsidRDefault="00A24567" w:rsidP="00CD460D">
            <w:pPr>
              <w:spacing w:after="0"/>
              <w:jc w:val="right"/>
              <w:rPr>
                <w:b/>
                <w:bCs/>
                <w:color w:val="000000"/>
                <w:sz w:val="15"/>
                <w:szCs w:val="13"/>
                <w:lang w:val="en-US" w:eastAsia="en-US"/>
              </w:rPr>
            </w:pPr>
            <w:r w:rsidRPr="00D62C98">
              <w:rPr>
                <w:b/>
                <w:bCs/>
                <w:color w:val="000000"/>
                <w:sz w:val="15"/>
                <w:szCs w:val="13"/>
                <w:lang w:val="en-US" w:eastAsia="en-US"/>
              </w:rPr>
              <w:t>6.94</w:t>
            </w:r>
          </w:p>
        </w:tc>
        <w:tc>
          <w:tcPr>
            <w:tcW w:w="897" w:type="dxa"/>
            <w:tcBorders>
              <w:top w:val="nil"/>
              <w:left w:val="nil"/>
              <w:bottom w:val="nil"/>
              <w:right w:val="nil"/>
            </w:tcBorders>
            <w:shd w:val="clear" w:color="000000" w:fill="FFFFFF"/>
            <w:noWrap/>
            <w:hideMark/>
          </w:tcPr>
          <w:p w14:paraId="02E889F3"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728</w:t>
            </w:r>
          </w:p>
        </w:tc>
        <w:tc>
          <w:tcPr>
            <w:tcW w:w="735" w:type="dxa"/>
            <w:tcBorders>
              <w:top w:val="nil"/>
              <w:left w:val="nil"/>
              <w:bottom w:val="nil"/>
              <w:right w:val="nil"/>
            </w:tcBorders>
            <w:shd w:val="clear" w:color="000000" w:fill="FFFFFF"/>
            <w:noWrap/>
            <w:hideMark/>
          </w:tcPr>
          <w:p w14:paraId="2E00EE4B"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8.39</w:t>
            </w:r>
          </w:p>
        </w:tc>
        <w:tc>
          <w:tcPr>
            <w:tcW w:w="679" w:type="dxa"/>
            <w:tcBorders>
              <w:top w:val="nil"/>
              <w:left w:val="nil"/>
              <w:bottom w:val="nil"/>
              <w:right w:val="nil"/>
            </w:tcBorders>
            <w:shd w:val="clear" w:color="000000" w:fill="FFFFFF"/>
            <w:noWrap/>
            <w:hideMark/>
          </w:tcPr>
          <w:p w14:paraId="74C283DE"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1.6</w:t>
            </w:r>
          </w:p>
        </w:tc>
        <w:tc>
          <w:tcPr>
            <w:tcW w:w="691" w:type="dxa"/>
            <w:tcBorders>
              <w:top w:val="nil"/>
              <w:left w:val="single" w:sz="4" w:space="0" w:color="000000"/>
              <w:bottom w:val="nil"/>
              <w:right w:val="nil"/>
            </w:tcBorders>
            <w:shd w:val="clear" w:color="000000" w:fill="FFFFFF"/>
            <w:noWrap/>
            <w:hideMark/>
          </w:tcPr>
          <w:p w14:paraId="6549DD92"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10%</w:t>
            </w:r>
          </w:p>
        </w:tc>
        <w:tc>
          <w:tcPr>
            <w:tcW w:w="735" w:type="dxa"/>
            <w:tcBorders>
              <w:top w:val="nil"/>
              <w:left w:val="nil"/>
              <w:bottom w:val="nil"/>
              <w:right w:val="nil"/>
            </w:tcBorders>
            <w:shd w:val="clear" w:color="000000" w:fill="FFFFFF"/>
            <w:noWrap/>
            <w:hideMark/>
          </w:tcPr>
          <w:p w14:paraId="5DC6290B"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0%</w:t>
            </w:r>
          </w:p>
        </w:tc>
        <w:tc>
          <w:tcPr>
            <w:tcW w:w="752" w:type="dxa"/>
            <w:tcBorders>
              <w:top w:val="nil"/>
              <w:left w:val="nil"/>
              <w:bottom w:val="nil"/>
              <w:right w:val="nil"/>
            </w:tcBorders>
            <w:shd w:val="clear" w:color="000000" w:fill="FFFFFF"/>
            <w:noWrap/>
            <w:hideMark/>
          </w:tcPr>
          <w:p w14:paraId="16216044"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83%</w:t>
            </w:r>
          </w:p>
        </w:tc>
        <w:tc>
          <w:tcPr>
            <w:tcW w:w="779" w:type="dxa"/>
            <w:tcBorders>
              <w:top w:val="nil"/>
              <w:left w:val="nil"/>
              <w:bottom w:val="nil"/>
              <w:right w:val="nil"/>
            </w:tcBorders>
            <w:shd w:val="clear" w:color="000000" w:fill="FFFFFF"/>
            <w:noWrap/>
            <w:hideMark/>
          </w:tcPr>
          <w:p w14:paraId="1976DF4E"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7%</w:t>
            </w:r>
          </w:p>
        </w:tc>
        <w:tc>
          <w:tcPr>
            <w:tcW w:w="989" w:type="dxa"/>
            <w:tcBorders>
              <w:top w:val="nil"/>
              <w:left w:val="single" w:sz="4" w:space="0" w:color="auto"/>
              <w:bottom w:val="nil"/>
              <w:right w:val="nil"/>
            </w:tcBorders>
            <w:shd w:val="clear" w:color="000000" w:fill="FFFFFF"/>
            <w:noWrap/>
            <w:hideMark/>
          </w:tcPr>
          <w:p w14:paraId="00617B92"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8.53</w:t>
            </w:r>
          </w:p>
        </w:tc>
        <w:tc>
          <w:tcPr>
            <w:tcW w:w="701" w:type="dxa"/>
            <w:tcBorders>
              <w:top w:val="nil"/>
              <w:left w:val="nil"/>
              <w:bottom w:val="nil"/>
              <w:right w:val="nil"/>
            </w:tcBorders>
            <w:shd w:val="clear" w:color="000000" w:fill="FFFFFF"/>
            <w:noWrap/>
            <w:hideMark/>
          </w:tcPr>
          <w:p w14:paraId="36CE4769"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 xml:space="preserve">4 </w:t>
            </w:r>
          </w:p>
        </w:tc>
      </w:tr>
      <w:tr w:rsidR="00D62C98" w:rsidRPr="00D62C98" w14:paraId="0AF70991" w14:textId="77777777" w:rsidTr="008C0756">
        <w:trPr>
          <w:trHeight w:hRule="exact" w:val="284"/>
          <w:tblHeader/>
        </w:trPr>
        <w:tc>
          <w:tcPr>
            <w:tcW w:w="709" w:type="dxa"/>
            <w:tcBorders>
              <w:top w:val="nil"/>
              <w:left w:val="nil"/>
              <w:bottom w:val="nil"/>
              <w:right w:val="nil"/>
            </w:tcBorders>
            <w:shd w:val="clear" w:color="000000" w:fill="FFFFFF"/>
            <w:noWrap/>
            <w:hideMark/>
          </w:tcPr>
          <w:p w14:paraId="7F699436"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Yes</w:t>
            </w:r>
          </w:p>
        </w:tc>
        <w:tc>
          <w:tcPr>
            <w:tcW w:w="691" w:type="dxa"/>
            <w:tcBorders>
              <w:top w:val="nil"/>
              <w:left w:val="nil"/>
              <w:bottom w:val="nil"/>
              <w:right w:val="nil"/>
            </w:tcBorders>
            <w:shd w:val="clear" w:color="000000" w:fill="FFFFFF"/>
            <w:noWrap/>
            <w:hideMark/>
          </w:tcPr>
          <w:p w14:paraId="1067DEE5"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5</w:t>
            </w:r>
          </w:p>
        </w:tc>
        <w:tc>
          <w:tcPr>
            <w:tcW w:w="585" w:type="dxa"/>
            <w:tcBorders>
              <w:top w:val="nil"/>
              <w:left w:val="nil"/>
              <w:bottom w:val="nil"/>
              <w:right w:val="nil"/>
            </w:tcBorders>
            <w:shd w:val="clear" w:color="000000" w:fill="FFFFFF"/>
            <w:noWrap/>
            <w:hideMark/>
          </w:tcPr>
          <w:p w14:paraId="7BDEB3A8"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I09A</w:t>
            </w:r>
          </w:p>
        </w:tc>
        <w:tc>
          <w:tcPr>
            <w:tcW w:w="4639" w:type="dxa"/>
            <w:tcBorders>
              <w:top w:val="nil"/>
              <w:left w:val="nil"/>
              <w:bottom w:val="nil"/>
              <w:right w:val="nil"/>
            </w:tcBorders>
            <w:shd w:val="clear" w:color="000000" w:fill="FFFFFF"/>
            <w:noWrap/>
            <w:hideMark/>
          </w:tcPr>
          <w:p w14:paraId="299F2447"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Spinal Fusion, Major Complexity</w:t>
            </w:r>
          </w:p>
        </w:tc>
        <w:tc>
          <w:tcPr>
            <w:tcW w:w="752" w:type="dxa"/>
            <w:tcBorders>
              <w:top w:val="nil"/>
              <w:left w:val="nil"/>
              <w:bottom w:val="nil"/>
              <w:right w:val="nil"/>
            </w:tcBorders>
            <w:shd w:val="clear" w:color="000000" w:fill="FFFFFF"/>
            <w:noWrap/>
            <w:hideMark/>
          </w:tcPr>
          <w:p w14:paraId="593F6F2A" w14:textId="77777777" w:rsidR="00A24567" w:rsidRPr="00D62C98" w:rsidRDefault="00A24567" w:rsidP="00CD460D">
            <w:pPr>
              <w:spacing w:after="0"/>
              <w:jc w:val="right"/>
              <w:rPr>
                <w:b/>
                <w:bCs/>
                <w:color w:val="000000"/>
                <w:sz w:val="15"/>
                <w:szCs w:val="13"/>
                <w:lang w:val="en-US" w:eastAsia="en-US"/>
              </w:rPr>
            </w:pPr>
            <w:r w:rsidRPr="00D62C98">
              <w:rPr>
                <w:b/>
                <w:bCs/>
                <w:color w:val="000000"/>
                <w:sz w:val="15"/>
                <w:szCs w:val="13"/>
                <w:lang w:val="en-US" w:eastAsia="en-US"/>
              </w:rPr>
              <w:t>6.29</w:t>
            </w:r>
          </w:p>
        </w:tc>
        <w:tc>
          <w:tcPr>
            <w:tcW w:w="897" w:type="dxa"/>
            <w:tcBorders>
              <w:top w:val="nil"/>
              <w:left w:val="nil"/>
              <w:bottom w:val="nil"/>
              <w:right w:val="nil"/>
            </w:tcBorders>
            <w:shd w:val="clear" w:color="000000" w:fill="FFFFFF"/>
            <w:noWrap/>
            <w:hideMark/>
          </w:tcPr>
          <w:p w14:paraId="71988103"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425</w:t>
            </w:r>
          </w:p>
        </w:tc>
        <w:tc>
          <w:tcPr>
            <w:tcW w:w="735" w:type="dxa"/>
            <w:tcBorders>
              <w:top w:val="nil"/>
              <w:left w:val="nil"/>
              <w:bottom w:val="nil"/>
              <w:right w:val="nil"/>
            </w:tcBorders>
            <w:shd w:val="clear" w:color="000000" w:fill="FFFFFF"/>
            <w:noWrap/>
            <w:hideMark/>
          </w:tcPr>
          <w:p w14:paraId="029A395E"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14.72</w:t>
            </w:r>
          </w:p>
        </w:tc>
        <w:tc>
          <w:tcPr>
            <w:tcW w:w="679" w:type="dxa"/>
            <w:tcBorders>
              <w:top w:val="nil"/>
              <w:left w:val="nil"/>
              <w:bottom w:val="nil"/>
              <w:right w:val="nil"/>
            </w:tcBorders>
            <w:shd w:val="clear" w:color="000000" w:fill="FFFFFF"/>
            <w:noWrap/>
            <w:hideMark/>
          </w:tcPr>
          <w:p w14:paraId="71978690"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20.0</w:t>
            </w:r>
          </w:p>
        </w:tc>
        <w:tc>
          <w:tcPr>
            <w:tcW w:w="691" w:type="dxa"/>
            <w:tcBorders>
              <w:top w:val="nil"/>
              <w:left w:val="single" w:sz="4" w:space="0" w:color="000000"/>
              <w:bottom w:val="nil"/>
              <w:right w:val="nil"/>
            </w:tcBorders>
            <w:shd w:val="clear" w:color="000000" w:fill="FFFFFF"/>
            <w:noWrap/>
            <w:hideMark/>
          </w:tcPr>
          <w:p w14:paraId="5D124417"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14%</w:t>
            </w:r>
          </w:p>
        </w:tc>
        <w:tc>
          <w:tcPr>
            <w:tcW w:w="735" w:type="dxa"/>
            <w:tcBorders>
              <w:top w:val="nil"/>
              <w:left w:val="nil"/>
              <w:bottom w:val="nil"/>
              <w:right w:val="nil"/>
            </w:tcBorders>
            <w:shd w:val="clear" w:color="000000" w:fill="FFFFFF"/>
            <w:noWrap/>
            <w:hideMark/>
          </w:tcPr>
          <w:p w14:paraId="20CB07FD"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13%</w:t>
            </w:r>
          </w:p>
        </w:tc>
        <w:tc>
          <w:tcPr>
            <w:tcW w:w="752" w:type="dxa"/>
            <w:tcBorders>
              <w:top w:val="nil"/>
              <w:left w:val="nil"/>
              <w:bottom w:val="nil"/>
              <w:right w:val="nil"/>
            </w:tcBorders>
            <w:shd w:val="clear" w:color="000000" w:fill="FFFFFF"/>
            <w:noWrap/>
            <w:hideMark/>
          </w:tcPr>
          <w:p w14:paraId="27FE4263"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43%</w:t>
            </w:r>
          </w:p>
        </w:tc>
        <w:tc>
          <w:tcPr>
            <w:tcW w:w="779" w:type="dxa"/>
            <w:tcBorders>
              <w:top w:val="nil"/>
              <w:left w:val="nil"/>
              <w:bottom w:val="nil"/>
              <w:right w:val="nil"/>
            </w:tcBorders>
            <w:shd w:val="clear" w:color="000000" w:fill="FFFFFF"/>
            <w:noWrap/>
            <w:hideMark/>
          </w:tcPr>
          <w:p w14:paraId="6045A2C2"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31%</w:t>
            </w:r>
          </w:p>
        </w:tc>
        <w:tc>
          <w:tcPr>
            <w:tcW w:w="989" w:type="dxa"/>
            <w:tcBorders>
              <w:top w:val="nil"/>
              <w:left w:val="single" w:sz="4" w:space="0" w:color="auto"/>
              <w:bottom w:val="nil"/>
              <w:right w:val="nil"/>
            </w:tcBorders>
            <w:shd w:val="clear" w:color="000000" w:fill="FFFFFF"/>
            <w:noWrap/>
            <w:hideMark/>
          </w:tcPr>
          <w:p w14:paraId="6A81E1AA"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7.34</w:t>
            </w:r>
          </w:p>
        </w:tc>
        <w:tc>
          <w:tcPr>
            <w:tcW w:w="701" w:type="dxa"/>
            <w:tcBorders>
              <w:top w:val="nil"/>
              <w:left w:val="nil"/>
              <w:bottom w:val="nil"/>
              <w:right w:val="nil"/>
            </w:tcBorders>
            <w:shd w:val="clear" w:color="000000" w:fill="FFFFFF"/>
            <w:noWrap/>
            <w:hideMark/>
          </w:tcPr>
          <w:p w14:paraId="13BB13E6"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 xml:space="preserve">7 </w:t>
            </w:r>
          </w:p>
        </w:tc>
      </w:tr>
      <w:tr w:rsidR="00D62C98" w:rsidRPr="00D62C98" w14:paraId="7EAA2EBB" w14:textId="77777777" w:rsidTr="008C0756">
        <w:trPr>
          <w:trHeight w:hRule="exact" w:val="284"/>
          <w:tblHeader/>
        </w:trPr>
        <w:tc>
          <w:tcPr>
            <w:tcW w:w="709" w:type="dxa"/>
            <w:tcBorders>
              <w:top w:val="nil"/>
              <w:left w:val="nil"/>
              <w:bottom w:val="nil"/>
              <w:right w:val="nil"/>
            </w:tcBorders>
            <w:shd w:val="clear" w:color="000000" w:fill="FFFFFF"/>
            <w:noWrap/>
            <w:hideMark/>
          </w:tcPr>
          <w:p w14:paraId="4236BD31"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Yes</w:t>
            </w:r>
          </w:p>
        </w:tc>
        <w:tc>
          <w:tcPr>
            <w:tcW w:w="691" w:type="dxa"/>
            <w:tcBorders>
              <w:top w:val="nil"/>
              <w:left w:val="nil"/>
              <w:bottom w:val="nil"/>
              <w:right w:val="nil"/>
            </w:tcBorders>
            <w:shd w:val="clear" w:color="000000" w:fill="FFFFFF"/>
            <w:noWrap/>
            <w:hideMark/>
          </w:tcPr>
          <w:p w14:paraId="4904DF83"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6</w:t>
            </w:r>
          </w:p>
        </w:tc>
        <w:tc>
          <w:tcPr>
            <w:tcW w:w="585" w:type="dxa"/>
            <w:tcBorders>
              <w:top w:val="nil"/>
              <w:left w:val="nil"/>
              <w:bottom w:val="nil"/>
              <w:right w:val="nil"/>
            </w:tcBorders>
            <w:shd w:val="clear" w:color="000000" w:fill="FFFFFF"/>
            <w:noWrap/>
            <w:hideMark/>
          </w:tcPr>
          <w:p w14:paraId="5AFF6ED8"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A12Z</w:t>
            </w:r>
          </w:p>
        </w:tc>
        <w:tc>
          <w:tcPr>
            <w:tcW w:w="4639" w:type="dxa"/>
            <w:tcBorders>
              <w:top w:val="nil"/>
              <w:left w:val="nil"/>
              <w:bottom w:val="nil"/>
              <w:right w:val="nil"/>
            </w:tcBorders>
            <w:shd w:val="clear" w:color="000000" w:fill="FFFFFF"/>
            <w:noWrap/>
            <w:hideMark/>
          </w:tcPr>
          <w:p w14:paraId="144C2E89"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 xml:space="preserve">Insertion of </w:t>
            </w:r>
            <w:proofErr w:type="spellStart"/>
            <w:r w:rsidRPr="00D62C98">
              <w:rPr>
                <w:color w:val="000000"/>
                <w:sz w:val="15"/>
                <w:szCs w:val="13"/>
                <w:lang w:val="en-US" w:eastAsia="en-US"/>
              </w:rPr>
              <w:t>Neurostimulator</w:t>
            </w:r>
            <w:proofErr w:type="spellEnd"/>
            <w:r w:rsidRPr="00D62C98">
              <w:rPr>
                <w:color w:val="000000"/>
                <w:sz w:val="15"/>
                <w:szCs w:val="13"/>
                <w:lang w:val="en-US" w:eastAsia="en-US"/>
              </w:rPr>
              <w:t xml:space="preserve"> Device</w:t>
            </w:r>
          </w:p>
        </w:tc>
        <w:tc>
          <w:tcPr>
            <w:tcW w:w="752" w:type="dxa"/>
            <w:tcBorders>
              <w:top w:val="nil"/>
              <w:left w:val="nil"/>
              <w:bottom w:val="nil"/>
              <w:right w:val="nil"/>
            </w:tcBorders>
            <w:shd w:val="clear" w:color="000000" w:fill="FFFFFF"/>
            <w:noWrap/>
            <w:hideMark/>
          </w:tcPr>
          <w:p w14:paraId="49A1FDFC" w14:textId="77777777" w:rsidR="00A24567" w:rsidRPr="00D62C98" w:rsidRDefault="00A24567" w:rsidP="00CD460D">
            <w:pPr>
              <w:spacing w:after="0"/>
              <w:jc w:val="right"/>
              <w:rPr>
                <w:b/>
                <w:bCs/>
                <w:color w:val="000000"/>
                <w:sz w:val="15"/>
                <w:szCs w:val="13"/>
                <w:lang w:val="en-US" w:eastAsia="en-US"/>
              </w:rPr>
            </w:pPr>
            <w:r w:rsidRPr="00D62C98">
              <w:rPr>
                <w:b/>
                <w:bCs/>
                <w:color w:val="000000"/>
                <w:sz w:val="15"/>
                <w:szCs w:val="13"/>
                <w:lang w:val="en-US" w:eastAsia="en-US"/>
              </w:rPr>
              <w:t>6.12</w:t>
            </w:r>
          </w:p>
        </w:tc>
        <w:tc>
          <w:tcPr>
            <w:tcW w:w="897" w:type="dxa"/>
            <w:tcBorders>
              <w:top w:val="nil"/>
              <w:left w:val="nil"/>
              <w:bottom w:val="nil"/>
              <w:right w:val="nil"/>
            </w:tcBorders>
            <w:shd w:val="clear" w:color="000000" w:fill="FFFFFF"/>
            <w:noWrap/>
            <w:hideMark/>
          </w:tcPr>
          <w:p w14:paraId="66997992"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3,166</w:t>
            </w:r>
          </w:p>
        </w:tc>
        <w:tc>
          <w:tcPr>
            <w:tcW w:w="735" w:type="dxa"/>
            <w:tcBorders>
              <w:top w:val="nil"/>
              <w:left w:val="nil"/>
              <w:bottom w:val="nil"/>
              <w:right w:val="nil"/>
            </w:tcBorders>
            <w:shd w:val="clear" w:color="000000" w:fill="FFFFFF"/>
            <w:noWrap/>
            <w:hideMark/>
          </w:tcPr>
          <w:p w14:paraId="28D9CBC1"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7.59</w:t>
            </w:r>
          </w:p>
        </w:tc>
        <w:tc>
          <w:tcPr>
            <w:tcW w:w="679" w:type="dxa"/>
            <w:tcBorders>
              <w:top w:val="nil"/>
              <w:left w:val="nil"/>
              <w:bottom w:val="nil"/>
              <w:right w:val="nil"/>
            </w:tcBorders>
            <w:shd w:val="clear" w:color="000000" w:fill="FFFFFF"/>
            <w:noWrap/>
            <w:hideMark/>
          </w:tcPr>
          <w:p w14:paraId="466A6C4D"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2.7</w:t>
            </w:r>
          </w:p>
        </w:tc>
        <w:tc>
          <w:tcPr>
            <w:tcW w:w="691" w:type="dxa"/>
            <w:tcBorders>
              <w:top w:val="nil"/>
              <w:left w:val="single" w:sz="4" w:space="0" w:color="000000"/>
              <w:bottom w:val="nil"/>
              <w:right w:val="nil"/>
            </w:tcBorders>
            <w:shd w:val="clear" w:color="000000" w:fill="FFFFFF"/>
            <w:noWrap/>
            <w:hideMark/>
          </w:tcPr>
          <w:p w14:paraId="7BC9A0DB"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9%</w:t>
            </w:r>
          </w:p>
        </w:tc>
        <w:tc>
          <w:tcPr>
            <w:tcW w:w="735" w:type="dxa"/>
            <w:tcBorders>
              <w:top w:val="nil"/>
              <w:left w:val="nil"/>
              <w:bottom w:val="nil"/>
              <w:right w:val="nil"/>
            </w:tcBorders>
            <w:shd w:val="clear" w:color="000000" w:fill="FFFFFF"/>
            <w:noWrap/>
            <w:hideMark/>
          </w:tcPr>
          <w:p w14:paraId="012CFE6E"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w:t>
            </w:r>
          </w:p>
        </w:tc>
        <w:tc>
          <w:tcPr>
            <w:tcW w:w="752" w:type="dxa"/>
            <w:tcBorders>
              <w:top w:val="nil"/>
              <w:left w:val="nil"/>
              <w:bottom w:val="nil"/>
              <w:right w:val="nil"/>
            </w:tcBorders>
            <w:shd w:val="clear" w:color="000000" w:fill="FFFFFF"/>
            <w:noWrap/>
            <w:hideMark/>
          </w:tcPr>
          <w:p w14:paraId="362961A8"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81%</w:t>
            </w:r>
          </w:p>
        </w:tc>
        <w:tc>
          <w:tcPr>
            <w:tcW w:w="779" w:type="dxa"/>
            <w:tcBorders>
              <w:top w:val="nil"/>
              <w:left w:val="nil"/>
              <w:bottom w:val="nil"/>
              <w:right w:val="nil"/>
            </w:tcBorders>
            <w:shd w:val="clear" w:color="000000" w:fill="FFFFFF"/>
            <w:noWrap/>
            <w:hideMark/>
          </w:tcPr>
          <w:p w14:paraId="6C943D80"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9%</w:t>
            </w:r>
          </w:p>
        </w:tc>
        <w:tc>
          <w:tcPr>
            <w:tcW w:w="989" w:type="dxa"/>
            <w:tcBorders>
              <w:top w:val="nil"/>
              <w:left w:val="single" w:sz="4" w:space="0" w:color="auto"/>
              <w:bottom w:val="nil"/>
              <w:right w:val="nil"/>
            </w:tcBorders>
            <w:shd w:val="clear" w:color="000000" w:fill="FFFFFF"/>
            <w:noWrap/>
            <w:hideMark/>
          </w:tcPr>
          <w:p w14:paraId="0E084A25"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8.01</w:t>
            </w:r>
          </w:p>
        </w:tc>
        <w:tc>
          <w:tcPr>
            <w:tcW w:w="701" w:type="dxa"/>
            <w:tcBorders>
              <w:top w:val="nil"/>
              <w:left w:val="nil"/>
              <w:bottom w:val="nil"/>
              <w:right w:val="nil"/>
            </w:tcBorders>
            <w:shd w:val="clear" w:color="000000" w:fill="FFFFFF"/>
            <w:noWrap/>
            <w:hideMark/>
          </w:tcPr>
          <w:p w14:paraId="6F111D9E"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 xml:space="preserve">6 </w:t>
            </w:r>
          </w:p>
        </w:tc>
      </w:tr>
      <w:tr w:rsidR="00D62C98" w:rsidRPr="00D62C98" w14:paraId="635E003D" w14:textId="77777777" w:rsidTr="008C0756">
        <w:trPr>
          <w:trHeight w:hRule="exact" w:val="284"/>
          <w:tblHeader/>
        </w:trPr>
        <w:tc>
          <w:tcPr>
            <w:tcW w:w="709" w:type="dxa"/>
            <w:tcBorders>
              <w:top w:val="nil"/>
              <w:left w:val="nil"/>
              <w:bottom w:val="nil"/>
              <w:right w:val="nil"/>
            </w:tcBorders>
            <w:shd w:val="clear" w:color="000000" w:fill="FFFFFF"/>
            <w:noWrap/>
            <w:hideMark/>
          </w:tcPr>
          <w:p w14:paraId="61CFB158"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Yes</w:t>
            </w:r>
          </w:p>
        </w:tc>
        <w:tc>
          <w:tcPr>
            <w:tcW w:w="691" w:type="dxa"/>
            <w:tcBorders>
              <w:top w:val="nil"/>
              <w:left w:val="nil"/>
              <w:bottom w:val="nil"/>
              <w:right w:val="nil"/>
            </w:tcBorders>
            <w:shd w:val="clear" w:color="000000" w:fill="FFFFFF"/>
            <w:noWrap/>
            <w:hideMark/>
          </w:tcPr>
          <w:p w14:paraId="77D36F15"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7</w:t>
            </w:r>
          </w:p>
        </w:tc>
        <w:tc>
          <w:tcPr>
            <w:tcW w:w="585" w:type="dxa"/>
            <w:tcBorders>
              <w:top w:val="nil"/>
              <w:left w:val="nil"/>
              <w:bottom w:val="nil"/>
              <w:right w:val="nil"/>
            </w:tcBorders>
            <w:shd w:val="clear" w:color="000000" w:fill="FFFFFF"/>
            <w:noWrap/>
            <w:hideMark/>
          </w:tcPr>
          <w:p w14:paraId="05596AF9"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I09B</w:t>
            </w:r>
          </w:p>
        </w:tc>
        <w:tc>
          <w:tcPr>
            <w:tcW w:w="4639" w:type="dxa"/>
            <w:tcBorders>
              <w:top w:val="nil"/>
              <w:left w:val="nil"/>
              <w:bottom w:val="nil"/>
              <w:right w:val="nil"/>
            </w:tcBorders>
            <w:shd w:val="clear" w:color="000000" w:fill="FFFFFF"/>
            <w:noWrap/>
            <w:hideMark/>
          </w:tcPr>
          <w:p w14:paraId="52698D20"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Spinal Fusion, Intermediate Complexity</w:t>
            </w:r>
          </w:p>
        </w:tc>
        <w:tc>
          <w:tcPr>
            <w:tcW w:w="752" w:type="dxa"/>
            <w:tcBorders>
              <w:top w:val="nil"/>
              <w:left w:val="nil"/>
              <w:bottom w:val="nil"/>
              <w:right w:val="nil"/>
            </w:tcBorders>
            <w:shd w:val="clear" w:color="000000" w:fill="FFFFFF"/>
            <w:noWrap/>
            <w:hideMark/>
          </w:tcPr>
          <w:p w14:paraId="3657E715" w14:textId="77777777" w:rsidR="00A24567" w:rsidRPr="00D62C98" w:rsidRDefault="00A24567" w:rsidP="00CD460D">
            <w:pPr>
              <w:spacing w:after="0"/>
              <w:jc w:val="right"/>
              <w:rPr>
                <w:b/>
                <w:bCs/>
                <w:color w:val="000000"/>
                <w:sz w:val="15"/>
                <w:szCs w:val="13"/>
                <w:lang w:val="en-US" w:eastAsia="en-US"/>
              </w:rPr>
            </w:pPr>
            <w:r w:rsidRPr="00D62C98">
              <w:rPr>
                <w:b/>
                <w:bCs/>
                <w:color w:val="000000"/>
                <w:sz w:val="15"/>
                <w:szCs w:val="13"/>
                <w:lang w:val="en-US" w:eastAsia="en-US"/>
              </w:rPr>
              <w:t>4.83</w:t>
            </w:r>
          </w:p>
        </w:tc>
        <w:tc>
          <w:tcPr>
            <w:tcW w:w="897" w:type="dxa"/>
            <w:tcBorders>
              <w:top w:val="nil"/>
              <w:left w:val="nil"/>
              <w:bottom w:val="nil"/>
              <w:right w:val="nil"/>
            </w:tcBorders>
            <w:shd w:val="clear" w:color="000000" w:fill="FFFFFF"/>
            <w:noWrap/>
            <w:hideMark/>
          </w:tcPr>
          <w:p w14:paraId="6548DE07"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4,195</w:t>
            </w:r>
          </w:p>
        </w:tc>
        <w:tc>
          <w:tcPr>
            <w:tcW w:w="735" w:type="dxa"/>
            <w:tcBorders>
              <w:top w:val="nil"/>
              <w:left w:val="nil"/>
              <w:bottom w:val="nil"/>
              <w:right w:val="nil"/>
            </w:tcBorders>
            <w:shd w:val="clear" w:color="000000" w:fill="FFFFFF"/>
            <w:noWrap/>
            <w:hideMark/>
          </w:tcPr>
          <w:p w14:paraId="377AA4BC"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8.81</w:t>
            </w:r>
          </w:p>
        </w:tc>
        <w:tc>
          <w:tcPr>
            <w:tcW w:w="679" w:type="dxa"/>
            <w:tcBorders>
              <w:top w:val="nil"/>
              <w:left w:val="nil"/>
              <w:bottom w:val="nil"/>
              <w:right w:val="nil"/>
            </w:tcBorders>
            <w:shd w:val="clear" w:color="000000" w:fill="FFFFFF"/>
            <w:noWrap/>
            <w:hideMark/>
          </w:tcPr>
          <w:p w14:paraId="770E933D"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8.0</w:t>
            </w:r>
          </w:p>
        </w:tc>
        <w:tc>
          <w:tcPr>
            <w:tcW w:w="691" w:type="dxa"/>
            <w:tcBorders>
              <w:top w:val="nil"/>
              <w:left w:val="single" w:sz="4" w:space="0" w:color="000000"/>
              <w:bottom w:val="nil"/>
              <w:right w:val="nil"/>
            </w:tcBorders>
            <w:shd w:val="clear" w:color="000000" w:fill="FFFFFF"/>
            <w:noWrap/>
            <w:hideMark/>
          </w:tcPr>
          <w:p w14:paraId="05338E4A"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18%</w:t>
            </w:r>
          </w:p>
        </w:tc>
        <w:tc>
          <w:tcPr>
            <w:tcW w:w="735" w:type="dxa"/>
            <w:tcBorders>
              <w:top w:val="nil"/>
              <w:left w:val="nil"/>
              <w:bottom w:val="nil"/>
              <w:right w:val="nil"/>
            </w:tcBorders>
            <w:shd w:val="clear" w:color="000000" w:fill="FFFFFF"/>
            <w:noWrap/>
            <w:hideMark/>
          </w:tcPr>
          <w:p w14:paraId="25E65B91"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5%</w:t>
            </w:r>
          </w:p>
        </w:tc>
        <w:tc>
          <w:tcPr>
            <w:tcW w:w="752" w:type="dxa"/>
            <w:tcBorders>
              <w:top w:val="nil"/>
              <w:left w:val="nil"/>
              <w:bottom w:val="nil"/>
              <w:right w:val="nil"/>
            </w:tcBorders>
            <w:shd w:val="clear" w:color="000000" w:fill="FFFFFF"/>
            <w:noWrap/>
            <w:hideMark/>
          </w:tcPr>
          <w:p w14:paraId="11538360"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55%</w:t>
            </w:r>
          </w:p>
        </w:tc>
        <w:tc>
          <w:tcPr>
            <w:tcW w:w="779" w:type="dxa"/>
            <w:tcBorders>
              <w:top w:val="nil"/>
              <w:left w:val="nil"/>
              <w:bottom w:val="nil"/>
              <w:right w:val="nil"/>
            </w:tcBorders>
            <w:shd w:val="clear" w:color="000000" w:fill="FFFFFF"/>
            <w:noWrap/>
            <w:hideMark/>
          </w:tcPr>
          <w:p w14:paraId="4BE3A81B"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22%</w:t>
            </w:r>
          </w:p>
        </w:tc>
        <w:tc>
          <w:tcPr>
            <w:tcW w:w="989" w:type="dxa"/>
            <w:tcBorders>
              <w:top w:val="nil"/>
              <w:left w:val="single" w:sz="4" w:space="0" w:color="auto"/>
              <w:bottom w:val="nil"/>
              <w:right w:val="nil"/>
            </w:tcBorders>
            <w:shd w:val="clear" w:color="000000" w:fill="FFFFFF"/>
            <w:noWrap/>
            <w:hideMark/>
          </w:tcPr>
          <w:p w14:paraId="77B4F06B"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5.36</w:t>
            </w:r>
          </w:p>
        </w:tc>
        <w:tc>
          <w:tcPr>
            <w:tcW w:w="701" w:type="dxa"/>
            <w:tcBorders>
              <w:top w:val="nil"/>
              <w:left w:val="nil"/>
              <w:bottom w:val="nil"/>
              <w:right w:val="nil"/>
            </w:tcBorders>
            <w:shd w:val="clear" w:color="000000" w:fill="FFFFFF"/>
            <w:noWrap/>
            <w:hideMark/>
          </w:tcPr>
          <w:p w14:paraId="73782630"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 xml:space="preserve">10 </w:t>
            </w:r>
          </w:p>
        </w:tc>
      </w:tr>
      <w:tr w:rsidR="00D62C98" w:rsidRPr="00D62C98" w14:paraId="6FF9A82B" w14:textId="77777777" w:rsidTr="008C0756">
        <w:trPr>
          <w:trHeight w:hRule="exact" w:val="284"/>
          <w:tblHeader/>
        </w:trPr>
        <w:tc>
          <w:tcPr>
            <w:tcW w:w="709" w:type="dxa"/>
            <w:tcBorders>
              <w:top w:val="nil"/>
              <w:left w:val="nil"/>
              <w:bottom w:val="nil"/>
              <w:right w:val="nil"/>
            </w:tcBorders>
            <w:shd w:val="clear" w:color="000000" w:fill="FFFFFF"/>
            <w:noWrap/>
            <w:hideMark/>
          </w:tcPr>
          <w:p w14:paraId="283C074B"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Yes</w:t>
            </w:r>
          </w:p>
        </w:tc>
        <w:tc>
          <w:tcPr>
            <w:tcW w:w="691" w:type="dxa"/>
            <w:tcBorders>
              <w:top w:val="nil"/>
              <w:left w:val="nil"/>
              <w:bottom w:val="nil"/>
              <w:right w:val="nil"/>
            </w:tcBorders>
            <w:shd w:val="clear" w:color="000000" w:fill="FFFFFF"/>
            <w:noWrap/>
            <w:hideMark/>
          </w:tcPr>
          <w:p w14:paraId="21F087A3"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8</w:t>
            </w:r>
          </w:p>
        </w:tc>
        <w:tc>
          <w:tcPr>
            <w:tcW w:w="585" w:type="dxa"/>
            <w:tcBorders>
              <w:top w:val="nil"/>
              <w:left w:val="nil"/>
              <w:bottom w:val="nil"/>
              <w:right w:val="nil"/>
            </w:tcBorders>
            <w:shd w:val="clear" w:color="000000" w:fill="FFFFFF"/>
            <w:noWrap/>
            <w:hideMark/>
          </w:tcPr>
          <w:p w14:paraId="23904551" w14:textId="4528E8AA"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I01A</w:t>
            </w:r>
          </w:p>
        </w:tc>
        <w:tc>
          <w:tcPr>
            <w:tcW w:w="4639" w:type="dxa"/>
            <w:tcBorders>
              <w:top w:val="nil"/>
              <w:left w:val="nil"/>
              <w:bottom w:val="nil"/>
              <w:right w:val="nil"/>
            </w:tcBorders>
            <w:shd w:val="clear" w:color="000000" w:fill="FFFFFF"/>
            <w:noWrap/>
            <w:hideMark/>
          </w:tcPr>
          <w:p w14:paraId="70C00ABE"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Bilateral and Multiple Major Joint Procedures of Lower Limb, Major Complexity</w:t>
            </w:r>
          </w:p>
        </w:tc>
        <w:tc>
          <w:tcPr>
            <w:tcW w:w="752" w:type="dxa"/>
            <w:tcBorders>
              <w:top w:val="nil"/>
              <w:left w:val="nil"/>
              <w:bottom w:val="nil"/>
              <w:right w:val="nil"/>
            </w:tcBorders>
            <w:shd w:val="clear" w:color="000000" w:fill="FFFFFF"/>
            <w:noWrap/>
            <w:hideMark/>
          </w:tcPr>
          <w:p w14:paraId="1268FE75" w14:textId="77777777" w:rsidR="00A24567" w:rsidRPr="00D62C98" w:rsidRDefault="00A24567" w:rsidP="00CD460D">
            <w:pPr>
              <w:spacing w:after="0"/>
              <w:jc w:val="right"/>
              <w:rPr>
                <w:b/>
                <w:bCs/>
                <w:color w:val="000000"/>
                <w:sz w:val="15"/>
                <w:szCs w:val="13"/>
                <w:lang w:val="en-US" w:eastAsia="en-US"/>
              </w:rPr>
            </w:pPr>
            <w:r w:rsidRPr="00D62C98">
              <w:rPr>
                <w:b/>
                <w:bCs/>
                <w:color w:val="000000"/>
                <w:sz w:val="15"/>
                <w:szCs w:val="13"/>
                <w:lang w:val="en-US" w:eastAsia="en-US"/>
              </w:rPr>
              <w:t>4.67</w:t>
            </w:r>
          </w:p>
        </w:tc>
        <w:tc>
          <w:tcPr>
            <w:tcW w:w="897" w:type="dxa"/>
            <w:tcBorders>
              <w:top w:val="nil"/>
              <w:left w:val="nil"/>
              <w:bottom w:val="nil"/>
              <w:right w:val="nil"/>
            </w:tcBorders>
            <w:shd w:val="clear" w:color="000000" w:fill="FFFFFF"/>
            <w:noWrap/>
            <w:hideMark/>
          </w:tcPr>
          <w:p w14:paraId="60F6837A"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1,351</w:t>
            </w:r>
          </w:p>
        </w:tc>
        <w:tc>
          <w:tcPr>
            <w:tcW w:w="735" w:type="dxa"/>
            <w:tcBorders>
              <w:top w:val="nil"/>
              <w:left w:val="nil"/>
              <w:bottom w:val="nil"/>
              <w:right w:val="nil"/>
            </w:tcBorders>
            <w:shd w:val="clear" w:color="000000" w:fill="FFFFFF"/>
            <w:noWrap/>
            <w:hideMark/>
          </w:tcPr>
          <w:p w14:paraId="6C1EC944"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9.04</w:t>
            </w:r>
          </w:p>
        </w:tc>
        <w:tc>
          <w:tcPr>
            <w:tcW w:w="679" w:type="dxa"/>
            <w:tcBorders>
              <w:top w:val="nil"/>
              <w:left w:val="nil"/>
              <w:bottom w:val="nil"/>
              <w:right w:val="nil"/>
            </w:tcBorders>
            <w:shd w:val="clear" w:color="000000" w:fill="FFFFFF"/>
            <w:noWrap/>
            <w:hideMark/>
          </w:tcPr>
          <w:p w14:paraId="741C2FC2"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10.1</w:t>
            </w:r>
          </w:p>
        </w:tc>
        <w:tc>
          <w:tcPr>
            <w:tcW w:w="691" w:type="dxa"/>
            <w:tcBorders>
              <w:top w:val="nil"/>
              <w:left w:val="single" w:sz="4" w:space="0" w:color="000000"/>
              <w:bottom w:val="nil"/>
              <w:right w:val="nil"/>
            </w:tcBorders>
            <w:shd w:val="clear" w:color="000000" w:fill="FFFFFF"/>
            <w:noWrap/>
            <w:hideMark/>
          </w:tcPr>
          <w:p w14:paraId="786121A1"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16%</w:t>
            </w:r>
          </w:p>
        </w:tc>
        <w:tc>
          <w:tcPr>
            <w:tcW w:w="735" w:type="dxa"/>
            <w:tcBorders>
              <w:top w:val="nil"/>
              <w:left w:val="nil"/>
              <w:bottom w:val="nil"/>
              <w:right w:val="nil"/>
            </w:tcBorders>
            <w:shd w:val="clear" w:color="000000" w:fill="FFFFFF"/>
            <w:noWrap/>
            <w:hideMark/>
          </w:tcPr>
          <w:p w14:paraId="41541CF1"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5%</w:t>
            </w:r>
          </w:p>
        </w:tc>
        <w:tc>
          <w:tcPr>
            <w:tcW w:w="752" w:type="dxa"/>
            <w:tcBorders>
              <w:top w:val="nil"/>
              <w:left w:val="nil"/>
              <w:bottom w:val="nil"/>
              <w:right w:val="nil"/>
            </w:tcBorders>
            <w:shd w:val="clear" w:color="000000" w:fill="FFFFFF"/>
            <w:noWrap/>
            <w:hideMark/>
          </w:tcPr>
          <w:p w14:paraId="52E72257"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52%</w:t>
            </w:r>
          </w:p>
        </w:tc>
        <w:tc>
          <w:tcPr>
            <w:tcW w:w="779" w:type="dxa"/>
            <w:tcBorders>
              <w:top w:val="nil"/>
              <w:left w:val="nil"/>
              <w:bottom w:val="nil"/>
              <w:right w:val="nil"/>
            </w:tcBorders>
            <w:shd w:val="clear" w:color="000000" w:fill="FFFFFF"/>
            <w:noWrap/>
            <w:hideMark/>
          </w:tcPr>
          <w:p w14:paraId="081D46D0"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28%</w:t>
            </w:r>
          </w:p>
        </w:tc>
        <w:tc>
          <w:tcPr>
            <w:tcW w:w="989" w:type="dxa"/>
            <w:tcBorders>
              <w:top w:val="nil"/>
              <w:left w:val="single" w:sz="4" w:space="0" w:color="auto"/>
              <w:bottom w:val="nil"/>
              <w:right w:val="nil"/>
            </w:tcBorders>
            <w:shd w:val="clear" w:color="000000" w:fill="FFFFFF"/>
            <w:noWrap/>
            <w:hideMark/>
          </w:tcPr>
          <w:p w14:paraId="66325FEB"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5.15</w:t>
            </w:r>
          </w:p>
        </w:tc>
        <w:tc>
          <w:tcPr>
            <w:tcW w:w="701" w:type="dxa"/>
            <w:tcBorders>
              <w:top w:val="nil"/>
              <w:left w:val="nil"/>
              <w:bottom w:val="nil"/>
              <w:right w:val="nil"/>
            </w:tcBorders>
            <w:shd w:val="clear" w:color="000000" w:fill="FFFFFF"/>
            <w:noWrap/>
            <w:hideMark/>
          </w:tcPr>
          <w:p w14:paraId="3596A9B7"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 xml:space="preserve">11 </w:t>
            </w:r>
          </w:p>
        </w:tc>
      </w:tr>
      <w:tr w:rsidR="00D62C98" w:rsidRPr="00D62C98" w14:paraId="4534AB51" w14:textId="77777777" w:rsidTr="008C0756">
        <w:trPr>
          <w:trHeight w:hRule="exact" w:val="284"/>
          <w:tblHeader/>
        </w:trPr>
        <w:tc>
          <w:tcPr>
            <w:tcW w:w="709" w:type="dxa"/>
            <w:tcBorders>
              <w:top w:val="nil"/>
              <w:left w:val="nil"/>
              <w:bottom w:val="nil"/>
              <w:right w:val="nil"/>
            </w:tcBorders>
            <w:shd w:val="clear" w:color="000000" w:fill="FFFFFF"/>
            <w:noWrap/>
            <w:hideMark/>
          </w:tcPr>
          <w:p w14:paraId="57B57FE4"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No</w:t>
            </w:r>
          </w:p>
        </w:tc>
        <w:tc>
          <w:tcPr>
            <w:tcW w:w="691" w:type="dxa"/>
            <w:tcBorders>
              <w:top w:val="nil"/>
              <w:left w:val="nil"/>
              <w:bottom w:val="nil"/>
              <w:right w:val="nil"/>
            </w:tcBorders>
            <w:shd w:val="clear" w:color="000000" w:fill="FFFFFF"/>
            <w:noWrap/>
            <w:hideMark/>
          </w:tcPr>
          <w:p w14:paraId="68F83AD9"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9</w:t>
            </w:r>
          </w:p>
        </w:tc>
        <w:tc>
          <w:tcPr>
            <w:tcW w:w="585" w:type="dxa"/>
            <w:tcBorders>
              <w:top w:val="nil"/>
              <w:left w:val="nil"/>
              <w:bottom w:val="nil"/>
              <w:right w:val="nil"/>
            </w:tcBorders>
            <w:shd w:val="clear" w:color="000000" w:fill="FFFFFF"/>
            <w:noWrap/>
            <w:hideMark/>
          </w:tcPr>
          <w:p w14:paraId="15F67BB0"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I01B</w:t>
            </w:r>
          </w:p>
        </w:tc>
        <w:tc>
          <w:tcPr>
            <w:tcW w:w="4639" w:type="dxa"/>
            <w:tcBorders>
              <w:top w:val="nil"/>
              <w:left w:val="nil"/>
              <w:bottom w:val="nil"/>
              <w:right w:val="nil"/>
            </w:tcBorders>
            <w:shd w:val="clear" w:color="000000" w:fill="FFFFFF"/>
            <w:noWrap/>
            <w:hideMark/>
          </w:tcPr>
          <w:p w14:paraId="2BF3D526"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Bilateral and Multiple Major Joint Procedures of Lower Limb, Minor Complexity</w:t>
            </w:r>
          </w:p>
        </w:tc>
        <w:tc>
          <w:tcPr>
            <w:tcW w:w="752" w:type="dxa"/>
            <w:tcBorders>
              <w:top w:val="nil"/>
              <w:left w:val="nil"/>
              <w:bottom w:val="nil"/>
              <w:right w:val="nil"/>
            </w:tcBorders>
            <w:shd w:val="clear" w:color="000000" w:fill="FFFFFF"/>
            <w:noWrap/>
            <w:hideMark/>
          </w:tcPr>
          <w:p w14:paraId="4444CDD9" w14:textId="77777777" w:rsidR="00A24567" w:rsidRPr="00D62C98" w:rsidRDefault="00A24567" w:rsidP="00CD460D">
            <w:pPr>
              <w:spacing w:after="0"/>
              <w:jc w:val="right"/>
              <w:rPr>
                <w:b/>
                <w:bCs/>
                <w:color w:val="000000"/>
                <w:sz w:val="15"/>
                <w:szCs w:val="13"/>
                <w:lang w:val="en-US" w:eastAsia="en-US"/>
              </w:rPr>
            </w:pPr>
            <w:r w:rsidRPr="00D62C98">
              <w:rPr>
                <w:b/>
                <w:bCs/>
                <w:color w:val="000000"/>
                <w:sz w:val="15"/>
                <w:szCs w:val="13"/>
                <w:lang w:val="en-US" w:eastAsia="en-US"/>
              </w:rPr>
              <w:t>4.30</w:t>
            </w:r>
          </w:p>
        </w:tc>
        <w:tc>
          <w:tcPr>
            <w:tcW w:w="897" w:type="dxa"/>
            <w:tcBorders>
              <w:top w:val="nil"/>
              <w:left w:val="nil"/>
              <w:bottom w:val="nil"/>
              <w:right w:val="nil"/>
            </w:tcBorders>
            <w:shd w:val="clear" w:color="000000" w:fill="FFFFFF"/>
            <w:noWrap/>
            <w:hideMark/>
          </w:tcPr>
          <w:p w14:paraId="1E99DCC5"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2,118</w:t>
            </w:r>
          </w:p>
        </w:tc>
        <w:tc>
          <w:tcPr>
            <w:tcW w:w="735" w:type="dxa"/>
            <w:tcBorders>
              <w:top w:val="nil"/>
              <w:left w:val="nil"/>
              <w:bottom w:val="nil"/>
              <w:right w:val="nil"/>
            </w:tcBorders>
            <w:shd w:val="clear" w:color="000000" w:fill="FFFFFF"/>
            <w:noWrap/>
            <w:hideMark/>
          </w:tcPr>
          <w:p w14:paraId="0FB72A5E"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7.49</w:t>
            </w:r>
          </w:p>
        </w:tc>
        <w:tc>
          <w:tcPr>
            <w:tcW w:w="679" w:type="dxa"/>
            <w:tcBorders>
              <w:top w:val="nil"/>
              <w:left w:val="nil"/>
              <w:bottom w:val="nil"/>
              <w:right w:val="nil"/>
            </w:tcBorders>
            <w:shd w:val="clear" w:color="000000" w:fill="FFFFFF"/>
            <w:noWrap/>
            <w:hideMark/>
          </w:tcPr>
          <w:p w14:paraId="00E0FF7D"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6.5</w:t>
            </w:r>
          </w:p>
        </w:tc>
        <w:tc>
          <w:tcPr>
            <w:tcW w:w="691" w:type="dxa"/>
            <w:tcBorders>
              <w:top w:val="nil"/>
              <w:left w:val="single" w:sz="4" w:space="0" w:color="000000"/>
              <w:bottom w:val="nil"/>
              <w:right w:val="nil"/>
            </w:tcBorders>
            <w:shd w:val="clear" w:color="000000" w:fill="FFFFFF"/>
            <w:noWrap/>
            <w:hideMark/>
          </w:tcPr>
          <w:p w14:paraId="52B61FBF"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16%</w:t>
            </w:r>
          </w:p>
        </w:tc>
        <w:tc>
          <w:tcPr>
            <w:tcW w:w="735" w:type="dxa"/>
            <w:tcBorders>
              <w:top w:val="nil"/>
              <w:left w:val="nil"/>
              <w:bottom w:val="nil"/>
              <w:right w:val="nil"/>
            </w:tcBorders>
            <w:shd w:val="clear" w:color="000000" w:fill="FFFFFF"/>
            <w:noWrap/>
            <w:hideMark/>
          </w:tcPr>
          <w:p w14:paraId="2FECCB37"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4%</w:t>
            </w:r>
          </w:p>
        </w:tc>
        <w:tc>
          <w:tcPr>
            <w:tcW w:w="752" w:type="dxa"/>
            <w:tcBorders>
              <w:top w:val="nil"/>
              <w:left w:val="nil"/>
              <w:bottom w:val="nil"/>
              <w:right w:val="nil"/>
            </w:tcBorders>
            <w:shd w:val="clear" w:color="000000" w:fill="FFFFFF"/>
            <w:noWrap/>
            <w:hideMark/>
          </w:tcPr>
          <w:p w14:paraId="2A3CC058"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57%</w:t>
            </w:r>
          </w:p>
        </w:tc>
        <w:tc>
          <w:tcPr>
            <w:tcW w:w="779" w:type="dxa"/>
            <w:tcBorders>
              <w:top w:val="nil"/>
              <w:left w:val="nil"/>
              <w:bottom w:val="nil"/>
              <w:right w:val="nil"/>
            </w:tcBorders>
            <w:shd w:val="clear" w:color="000000" w:fill="FFFFFF"/>
            <w:noWrap/>
            <w:hideMark/>
          </w:tcPr>
          <w:p w14:paraId="77ABAEC1"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23%</w:t>
            </w:r>
          </w:p>
        </w:tc>
        <w:tc>
          <w:tcPr>
            <w:tcW w:w="989" w:type="dxa"/>
            <w:tcBorders>
              <w:top w:val="nil"/>
              <w:left w:val="single" w:sz="4" w:space="0" w:color="auto"/>
              <w:bottom w:val="nil"/>
              <w:right w:val="nil"/>
            </w:tcBorders>
            <w:shd w:val="clear" w:color="000000" w:fill="FFFFFF"/>
            <w:noWrap/>
            <w:hideMark/>
          </w:tcPr>
          <w:p w14:paraId="105C2A90"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4.05</w:t>
            </w:r>
          </w:p>
        </w:tc>
        <w:tc>
          <w:tcPr>
            <w:tcW w:w="701" w:type="dxa"/>
            <w:tcBorders>
              <w:top w:val="nil"/>
              <w:left w:val="nil"/>
              <w:bottom w:val="nil"/>
              <w:right w:val="nil"/>
            </w:tcBorders>
            <w:shd w:val="clear" w:color="000000" w:fill="FFFFFF"/>
            <w:noWrap/>
            <w:hideMark/>
          </w:tcPr>
          <w:p w14:paraId="3AD980F3"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 xml:space="preserve">21 </w:t>
            </w:r>
          </w:p>
        </w:tc>
      </w:tr>
      <w:tr w:rsidR="00D62C98" w:rsidRPr="00D62C98" w14:paraId="49C73036" w14:textId="77777777" w:rsidTr="008C0756">
        <w:trPr>
          <w:trHeight w:hRule="exact" w:val="284"/>
          <w:tblHeader/>
        </w:trPr>
        <w:tc>
          <w:tcPr>
            <w:tcW w:w="709" w:type="dxa"/>
            <w:tcBorders>
              <w:top w:val="nil"/>
              <w:left w:val="nil"/>
              <w:bottom w:val="nil"/>
              <w:right w:val="nil"/>
            </w:tcBorders>
            <w:shd w:val="clear" w:color="000000" w:fill="FFFFFF"/>
            <w:noWrap/>
            <w:hideMark/>
          </w:tcPr>
          <w:p w14:paraId="109D0F61"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Yes</w:t>
            </w:r>
          </w:p>
        </w:tc>
        <w:tc>
          <w:tcPr>
            <w:tcW w:w="691" w:type="dxa"/>
            <w:tcBorders>
              <w:top w:val="nil"/>
              <w:left w:val="nil"/>
              <w:bottom w:val="nil"/>
              <w:right w:val="nil"/>
            </w:tcBorders>
            <w:shd w:val="clear" w:color="000000" w:fill="FFFFFF"/>
            <w:noWrap/>
            <w:hideMark/>
          </w:tcPr>
          <w:p w14:paraId="7463C49E"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10</w:t>
            </w:r>
          </w:p>
        </w:tc>
        <w:tc>
          <w:tcPr>
            <w:tcW w:w="585" w:type="dxa"/>
            <w:tcBorders>
              <w:top w:val="nil"/>
              <w:left w:val="nil"/>
              <w:bottom w:val="nil"/>
              <w:right w:val="nil"/>
            </w:tcBorders>
            <w:shd w:val="clear" w:color="000000" w:fill="FFFFFF"/>
            <w:noWrap/>
            <w:hideMark/>
          </w:tcPr>
          <w:p w14:paraId="327ACD12"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A11A</w:t>
            </w:r>
          </w:p>
        </w:tc>
        <w:tc>
          <w:tcPr>
            <w:tcW w:w="4639" w:type="dxa"/>
            <w:tcBorders>
              <w:top w:val="nil"/>
              <w:left w:val="nil"/>
              <w:bottom w:val="nil"/>
              <w:right w:val="nil"/>
            </w:tcBorders>
            <w:shd w:val="clear" w:color="000000" w:fill="FFFFFF"/>
            <w:noWrap/>
            <w:hideMark/>
          </w:tcPr>
          <w:p w14:paraId="2C1A0621"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Insertion of Implantable Spinal Infusion Device, Major Complexity</w:t>
            </w:r>
          </w:p>
        </w:tc>
        <w:tc>
          <w:tcPr>
            <w:tcW w:w="752" w:type="dxa"/>
            <w:tcBorders>
              <w:top w:val="nil"/>
              <w:left w:val="nil"/>
              <w:bottom w:val="nil"/>
              <w:right w:val="nil"/>
            </w:tcBorders>
            <w:shd w:val="clear" w:color="000000" w:fill="FFFFFF"/>
            <w:noWrap/>
            <w:hideMark/>
          </w:tcPr>
          <w:p w14:paraId="7D69EA9D" w14:textId="77777777" w:rsidR="00A24567" w:rsidRPr="00D62C98" w:rsidRDefault="00A24567" w:rsidP="00CD460D">
            <w:pPr>
              <w:spacing w:after="0"/>
              <w:jc w:val="right"/>
              <w:rPr>
                <w:b/>
                <w:bCs/>
                <w:color w:val="000000"/>
                <w:sz w:val="15"/>
                <w:szCs w:val="13"/>
                <w:lang w:val="en-US" w:eastAsia="en-US"/>
              </w:rPr>
            </w:pPr>
            <w:r w:rsidRPr="00D62C98">
              <w:rPr>
                <w:b/>
                <w:bCs/>
                <w:color w:val="000000"/>
                <w:sz w:val="15"/>
                <w:szCs w:val="13"/>
                <w:lang w:val="en-US" w:eastAsia="en-US"/>
              </w:rPr>
              <w:t>4.07</w:t>
            </w:r>
          </w:p>
        </w:tc>
        <w:tc>
          <w:tcPr>
            <w:tcW w:w="897" w:type="dxa"/>
            <w:tcBorders>
              <w:top w:val="nil"/>
              <w:left w:val="nil"/>
              <w:bottom w:val="nil"/>
              <w:right w:val="nil"/>
            </w:tcBorders>
            <w:shd w:val="clear" w:color="000000" w:fill="FFFFFF"/>
            <w:noWrap/>
            <w:hideMark/>
          </w:tcPr>
          <w:p w14:paraId="635A85F0"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21</w:t>
            </w:r>
          </w:p>
        </w:tc>
        <w:tc>
          <w:tcPr>
            <w:tcW w:w="735" w:type="dxa"/>
            <w:tcBorders>
              <w:top w:val="nil"/>
              <w:left w:val="nil"/>
              <w:bottom w:val="nil"/>
              <w:right w:val="nil"/>
            </w:tcBorders>
            <w:shd w:val="clear" w:color="000000" w:fill="FFFFFF"/>
            <w:noWrap/>
            <w:hideMark/>
          </w:tcPr>
          <w:p w14:paraId="22D14099"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8.01</w:t>
            </w:r>
          </w:p>
        </w:tc>
        <w:tc>
          <w:tcPr>
            <w:tcW w:w="679" w:type="dxa"/>
            <w:tcBorders>
              <w:top w:val="nil"/>
              <w:left w:val="nil"/>
              <w:bottom w:val="nil"/>
              <w:right w:val="nil"/>
            </w:tcBorders>
            <w:shd w:val="clear" w:color="000000" w:fill="FFFFFF"/>
            <w:noWrap/>
            <w:hideMark/>
          </w:tcPr>
          <w:p w14:paraId="50A80373"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10.1</w:t>
            </w:r>
          </w:p>
        </w:tc>
        <w:tc>
          <w:tcPr>
            <w:tcW w:w="691" w:type="dxa"/>
            <w:tcBorders>
              <w:top w:val="nil"/>
              <w:left w:val="single" w:sz="4" w:space="0" w:color="000000"/>
              <w:bottom w:val="nil"/>
              <w:right w:val="nil"/>
            </w:tcBorders>
            <w:shd w:val="clear" w:color="000000" w:fill="FFFFFF"/>
            <w:noWrap/>
            <w:hideMark/>
          </w:tcPr>
          <w:p w14:paraId="589932C2"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9%</w:t>
            </w:r>
          </w:p>
        </w:tc>
        <w:tc>
          <w:tcPr>
            <w:tcW w:w="735" w:type="dxa"/>
            <w:tcBorders>
              <w:top w:val="nil"/>
              <w:left w:val="nil"/>
              <w:bottom w:val="nil"/>
              <w:right w:val="nil"/>
            </w:tcBorders>
            <w:shd w:val="clear" w:color="000000" w:fill="FFFFFF"/>
            <w:noWrap/>
            <w:hideMark/>
          </w:tcPr>
          <w:p w14:paraId="083D3078"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5%</w:t>
            </w:r>
          </w:p>
        </w:tc>
        <w:tc>
          <w:tcPr>
            <w:tcW w:w="752" w:type="dxa"/>
            <w:tcBorders>
              <w:top w:val="nil"/>
              <w:left w:val="nil"/>
              <w:bottom w:val="nil"/>
              <w:right w:val="nil"/>
            </w:tcBorders>
            <w:shd w:val="clear" w:color="000000" w:fill="FFFFFF"/>
            <w:noWrap/>
            <w:hideMark/>
          </w:tcPr>
          <w:p w14:paraId="2E7925F7"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51%</w:t>
            </w:r>
          </w:p>
        </w:tc>
        <w:tc>
          <w:tcPr>
            <w:tcW w:w="779" w:type="dxa"/>
            <w:tcBorders>
              <w:top w:val="nil"/>
              <w:left w:val="nil"/>
              <w:bottom w:val="nil"/>
              <w:right w:val="nil"/>
            </w:tcBorders>
            <w:shd w:val="clear" w:color="000000" w:fill="FFFFFF"/>
            <w:noWrap/>
            <w:hideMark/>
          </w:tcPr>
          <w:p w14:paraId="78B23B4F"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35%</w:t>
            </w:r>
          </w:p>
        </w:tc>
        <w:tc>
          <w:tcPr>
            <w:tcW w:w="989" w:type="dxa"/>
            <w:tcBorders>
              <w:top w:val="nil"/>
              <w:left w:val="single" w:sz="4" w:space="0" w:color="auto"/>
              <w:bottom w:val="nil"/>
              <w:right w:val="nil"/>
            </w:tcBorders>
            <w:shd w:val="clear" w:color="000000" w:fill="FFFFFF"/>
            <w:noWrap/>
            <w:hideMark/>
          </w:tcPr>
          <w:p w14:paraId="689A49F2"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4.36</w:t>
            </w:r>
          </w:p>
        </w:tc>
        <w:tc>
          <w:tcPr>
            <w:tcW w:w="701" w:type="dxa"/>
            <w:tcBorders>
              <w:top w:val="nil"/>
              <w:left w:val="nil"/>
              <w:bottom w:val="nil"/>
              <w:right w:val="nil"/>
            </w:tcBorders>
            <w:shd w:val="clear" w:color="000000" w:fill="FFFFFF"/>
            <w:noWrap/>
            <w:hideMark/>
          </w:tcPr>
          <w:p w14:paraId="0213B9AF"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 xml:space="preserve">18 </w:t>
            </w:r>
          </w:p>
        </w:tc>
      </w:tr>
      <w:tr w:rsidR="00D62C98" w:rsidRPr="00D62C98" w14:paraId="7F8D7684" w14:textId="77777777" w:rsidTr="008C0756">
        <w:trPr>
          <w:trHeight w:hRule="exact" w:val="284"/>
          <w:tblHeader/>
        </w:trPr>
        <w:tc>
          <w:tcPr>
            <w:tcW w:w="709" w:type="dxa"/>
            <w:tcBorders>
              <w:top w:val="nil"/>
              <w:left w:val="nil"/>
              <w:bottom w:val="nil"/>
              <w:right w:val="nil"/>
            </w:tcBorders>
            <w:shd w:val="clear" w:color="000000" w:fill="FFFFFF"/>
            <w:noWrap/>
            <w:hideMark/>
          </w:tcPr>
          <w:p w14:paraId="799165F3"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Yes</w:t>
            </w:r>
          </w:p>
        </w:tc>
        <w:tc>
          <w:tcPr>
            <w:tcW w:w="691" w:type="dxa"/>
            <w:tcBorders>
              <w:top w:val="nil"/>
              <w:left w:val="nil"/>
              <w:bottom w:val="nil"/>
              <w:right w:val="nil"/>
            </w:tcBorders>
            <w:shd w:val="clear" w:color="000000" w:fill="FFFFFF"/>
            <w:noWrap/>
            <w:hideMark/>
          </w:tcPr>
          <w:p w14:paraId="5A01266B"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11</w:t>
            </w:r>
          </w:p>
        </w:tc>
        <w:tc>
          <w:tcPr>
            <w:tcW w:w="585" w:type="dxa"/>
            <w:tcBorders>
              <w:top w:val="nil"/>
              <w:left w:val="nil"/>
              <w:bottom w:val="nil"/>
              <w:right w:val="nil"/>
            </w:tcBorders>
            <w:shd w:val="clear" w:color="000000" w:fill="FFFFFF"/>
            <w:noWrap/>
            <w:hideMark/>
          </w:tcPr>
          <w:p w14:paraId="792BBC8C"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F12A</w:t>
            </w:r>
          </w:p>
        </w:tc>
        <w:tc>
          <w:tcPr>
            <w:tcW w:w="4639" w:type="dxa"/>
            <w:tcBorders>
              <w:top w:val="nil"/>
              <w:left w:val="nil"/>
              <w:bottom w:val="nil"/>
              <w:right w:val="nil"/>
            </w:tcBorders>
            <w:shd w:val="clear" w:color="000000" w:fill="FFFFFF"/>
            <w:noWrap/>
            <w:hideMark/>
          </w:tcPr>
          <w:p w14:paraId="1DED335C" w14:textId="5E926348"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Implantation and Replacement of Pacemaker, Total System, Major Complexity</w:t>
            </w:r>
          </w:p>
        </w:tc>
        <w:tc>
          <w:tcPr>
            <w:tcW w:w="752" w:type="dxa"/>
            <w:tcBorders>
              <w:top w:val="nil"/>
              <w:left w:val="nil"/>
              <w:bottom w:val="nil"/>
              <w:right w:val="nil"/>
            </w:tcBorders>
            <w:shd w:val="clear" w:color="000000" w:fill="FFFFFF"/>
            <w:noWrap/>
            <w:hideMark/>
          </w:tcPr>
          <w:p w14:paraId="2FD80480" w14:textId="77777777" w:rsidR="00A24567" w:rsidRPr="00D62C98" w:rsidRDefault="00A24567" w:rsidP="00CD460D">
            <w:pPr>
              <w:spacing w:after="0"/>
              <w:jc w:val="right"/>
              <w:rPr>
                <w:b/>
                <w:bCs/>
                <w:color w:val="000000"/>
                <w:sz w:val="15"/>
                <w:szCs w:val="13"/>
                <w:lang w:val="en-US" w:eastAsia="en-US"/>
              </w:rPr>
            </w:pPr>
            <w:r w:rsidRPr="00D62C98">
              <w:rPr>
                <w:b/>
                <w:bCs/>
                <w:color w:val="000000"/>
                <w:sz w:val="15"/>
                <w:szCs w:val="13"/>
                <w:lang w:val="en-US" w:eastAsia="en-US"/>
              </w:rPr>
              <w:t>3.80</w:t>
            </w:r>
          </w:p>
        </w:tc>
        <w:tc>
          <w:tcPr>
            <w:tcW w:w="897" w:type="dxa"/>
            <w:tcBorders>
              <w:top w:val="nil"/>
              <w:left w:val="nil"/>
              <w:bottom w:val="nil"/>
              <w:right w:val="nil"/>
            </w:tcBorders>
            <w:shd w:val="clear" w:color="000000" w:fill="FFFFFF"/>
            <w:noWrap/>
            <w:hideMark/>
          </w:tcPr>
          <w:p w14:paraId="0D315F32"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1,491</w:t>
            </w:r>
          </w:p>
        </w:tc>
        <w:tc>
          <w:tcPr>
            <w:tcW w:w="735" w:type="dxa"/>
            <w:tcBorders>
              <w:top w:val="nil"/>
              <w:left w:val="nil"/>
              <w:bottom w:val="nil"/>
              <w:right w:val="nil"/>
            </w:tcBorders>
            <w:shd w:val="clear" w:color="000000" w:fill="FFFFFF"/>
            <w:noWrap/>
            <w:hideMark/>
          </w:tcPr>
          <w:p w14:paraId="3A1DB996"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7.37</w:t>
            </w:r>
          </w:p>
        </w:tc>
        <w:tc>
          <w:tcPr>
            <w:tcW w:w="679" w:type="dxa"/>
            <w:tcBorders>
              <w:top w:val="nil"/>
              <w:left w:val="nil"/>
              <w:bottom w:val="nil"/>
              <w:right w:val="nil"/>
            </w:tcBorders>
            <w:shd w:val="clear" w:color="000000" w:fill="FFFFFF"/>
            <w:noWrap/>
            <w:hideMark/>
          </w:tcPr>
          <w:p w14:paraId="216580B7"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8.6</w:t>
            </w:r>
          </w:p>
        </w:tc>
        <w:tc>
          <w:tcPr>
            <w:tcW w:w="691" w:type="dxa"/>
            <w:tcBorders>
              <w:top w:val="nil"/>
              <w:left w:val="single" w:sz="4" w:space="0" w:color="000000"/>
              <w:bottom w:val="nil"/>
              <w:right w:val="nil"/>
            </w:tcBorders>
            <w:shd w:val="clear" w:color="000000" w:fill="FFFFFF"/>
            <w:noWrap/>
            <w:hideMark/>
          </w:tcPr>
          <w:p w14:paraId="4E07C26C"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13%</w:t>
            </w:r>
          </w:p>
        </w:tc>
        <w:tc>
          <w:tcPr>
            <w:tcW w:w="735" w:type="dxa"/>
            <w:tcBorders>
              <w:top w:val="nil"/>
              <w:left w:val="nil"/>
              <w:bottom w:val="nil"/>
              <w:right w:val="nil"/>
            </w:tcBorders>
            <w:shd w:val="clear" w:color="000000" w:fill="FFFFFF"/>
            <w:noWrap/>
            <w:hideMark/>
          </w:tcPr>
          <w:p w14:paraId="1ABA9030"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11%</w:t>
            </w:r>
          </w:p>
        </w:tc>
        <w:tc>
          <w:tcPr>
            <w:tcW w:w="752" w:type="dxa"/>
            <w:tcBorders>
              <w:top w:val="nil"/>
              <w:left w:val="nil"/>
              <w:bottom w:val="nil"/>
              <w:right w:val="nil"/>
            </w:tcBorders>
            <w:shd w:val="clear" w:color="000000" w:fill="FFFFFF"/>
            <w:noWrap/>
            <w:hideMark/>
          </w:tcPr>
          <w:p w14:paraId="023A4AF2"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52%</w:t>
            </w:r>
          </w:p>
        </w:tc>
        <w:tc>
          <w:tcPr>
            <w:tcW w:w="779" w:type="dxa"/>
            <w:tcBorders>
              <w:top w:val="nil"/>
              <w:left w:val="nil"/>
              <w:bottom w:val="nil"/>
              <w:right w:val="nil"/>
            </w:tcBorders>
            <w:shd w:val="clear" w:color="000000" w:fill="FFFFFF"/>
            <w:noWrap/>
            <w:hideMark/>
          </w:tcPr>
          <w:p w14:paraId="1159E0A9"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24%</w:t>
            </w:r>
          </w:p>
        </w:tc>
        <w:tc>
          <w:tcPr>
            <w:tcW w:w="989" w:type="dxa"/>
            <w:tcBorders>
              <w:top w:val="nil"/>
              <w:left w:val="single" w:sz="4" w:space="0" w:color="auto"/>
              <w:bottom w:val="nil"/>
              <w:right w:val="nil"/>
            </w:tcBorders>
            <w:shd w:val="clear" w:color="000000" w:fill="FFFFFF"/>
            <w:noWrap/>
            <w:hideMark/>
          </w:tcPr>
          <w:p w14:paraId="400C7675"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4.93</w:t>
            </w:r>
          </w:p>
        </w:tc>
        <w:tc>
          <w:tcPr>
            <w:tcW w:w="701" w:type="dxa"/>
            <w:tcBorders>
              <w:top w:val="nil"/>
              <w:left w:val="nil"/>
              <w:bottom w:val="nil"/>
              <w:right w:val="nil"/>
            </w:tcBorders>
            <w:shd w:val="clear" w:color="000000" w:fill="FFFFFF"/>
            <w:noWrap/>
            <w:hideMark/>
          </w:tcPr>
          <w:p w14:paraId="392946CA"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 xml:space="preserve">12 </w:t>
            </w:r>
          </w:p>
        </w:tc>
      </w:tr>
      <w:tr w:rsidR="00D62C98" w:rsidRPr="00D62C98" w14:paraId="31FE763F" w14:textId="77777777" w:rsidTr="008C0756">
        <w:trPr>
          <w:trHeight w:hRule="exact" w:val="284"/>
          <w:tblHeader/>
        </w:trPr>
        <w:tc>
          <w:tcPr>
            <w:tcW w:w="709" w:type="dxa"/>
            <w:tcBorders>
              <w:top w:val="nil"/>
              <w:left w:val="nil"/>
              <w:bottom w:val="nil"/>
              <w:right w:val="nil"/>
            </w:tcBorders>
            <w:shd w:val="clear" w:color="000000" w:fill="FFFFFF"/>
            <w:noWrap/>
            <w:hideMark/>
          </w:tcPr>
          <w:p w14:paraId="71089C90"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Yes</w:t>
            </w:r>
          </w:p>
        </w:tc>
        <w:tc>
          <w:tcPr>
            <w:tcW w:w="691" w:type="dxa"/>
            <w:tcBorders>
              <w:top w:val="nil"/>
              <w:left w:val="nil"/>
              <w:bottom w:val="nil"/>
              <w:right w:val="nil"/>
            </w:tcBorders>
            <w:shd w:val="clear" w:color="000000" w:fill="FFFFFF"/>
            <w:noWrap/>
            <w:hideMark/>
          </w:tcPr>
          <w:p w14:paraId="726B2ED4" w14:textId="7C7DE3A6"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12</w:t>
            </w:r>
          </w:p>
        </w:tc>
        <w:tc>
          <w:tcPr>
            <w:tcW w:w="585" w:type="dxa"/>
            <w:tcBorders>
              <w:top w:val="nil"/>
              <w:left w:val="nil"/>
              <w:bottom w:val="nil"/>
              <w:right w:val="nil"/>
            </w:tcBorders>
            <w:shd w:val="clear" w:color="000000" w:fill="FFFFFF"/>
            <w:noWrap/>
            <w:hideMark/>
          </w:tcPr>
          <w:p w14:paraId="14F07839"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F12B</w:t>
            </w:r>
          </w:p>
        </w:tc>
        <w:tc>
          <w:tcPr>
            <w:tcW w:w="4639" w:type="dxa"/>
            <w:tcBorders>
              <w:top w:val="nil"/>
              <w:left w:val="nil"/>
              <w:bottom w:val="nil"/>
              <w:right w:val="nil"/>
            </w:tcBorders>
            <w:shd w:val="clear" w:color="000000" w:fill="FFFFFF"/>
            <w:noWrap/>
            <w:hideMark/>
          </w:tcPr>
          <w:p w14:paraId="6840EA43"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Implantation and Replacement of Pacemaker, Total System, Minor Complexity</w:t>
            </w:r>
          </w:p>
        </w:tc>
        <w:tc>
          <w:tcPr>
            <w:tcW w:w="752" w:type="dxa"/>
            <w:tcBorders>
              <w:top w:val="nil"/>
              <w:left w:val="nil"/>
              <w:bottom w:val="nil"/>
              <w:right w:val="nil"/>
            </w:tcBorders>
            <w:shd w:val="clear" w:color="000000" w:fill="FFFFFF"/>
            <w:noWrap/>
            <w:hideMark/>
          </w:tcPr>
          <w:p w14:paraId="1D67F817" w14:textId="77777777" w:rsidR="00A24567" w:rsidRPr="00D62C98" w:rsidRDefault="00A24567" w:rsidP="00CD460D">
            <w:pPr>
              <w:spacing w:after="0"/>
              <w:jc w:val="right"/>
              <w:rPr>
                <w:b/>
                <w:bCs/>
                <w:color w:val="000000"/>
                <w:sz w:val="15"/>
                <w:szCs w:val="13"/>
                <w:lang w:val="en-US" w:eastAsia="en-US"/>
              </w:rPr>
            </w:pPr>
            <w:r w:rsidRPr="00D62C98">
              <w:rPr>
                <w:b/>
                <w:bCs/>
                <w:color w:val="000000"/>
                <w:sz w:val="15"/>
                <w:szCs w:val="13"/>
                <w:lang w:val="en-US" w:eastAsia="en-US"/>
              </w:rPr>
              <w:t>3.66</w:t>
            </w:r>
          </w:p>
        </w:tc>
        <w:tc>
          <w:tcPr>
            <w:tcW w:w="897" w:type="dxa"/>
            <w:tcBorders>
              <w:top w:val="nil"/>
              <w:left w:val="nil"/>
              <w:bottom w:val="nil"/>
              <w:right w:val="nil"/>
            </w:tcBorders>
            <w:shd w:val="clear" w:color="000000" w:fill="FFFFFF"/>
            <w:noWrap/>
            <w:hideMark/>
          </w:tcPr>
          <w:p w14:paraId="38A5457A"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6,582</w:t>
            </w:r>
          </w:p>
        </w:tc>
        <w:tc>
          <w:tcPr>
            <w:tcW w:w="735" w:type="dxa"/>
            <w:tcBorders>
              <w:top w:val="nil"/>
              <w:left w:val="nil"/>
              <w:bottom w:val="nil"/>
              <w:right w:val="nil"/>
            </w:tcBorders>
            <w:shd w:val="clear" w:color="000000" w:fill="FFFFFF"/>
            <w:noWrap/>
            <w:hideMark/>
          </w:tcPr>
          <w:p w14:paraId="376718DC"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5.23</w:t>
            </w:r>
          </w:p>
        </w:tc>
        <w:tc>
          <w:tcPr>
            <w:tcW w:w="679" w:type="dxa"/>
            <w:tcBorders>
              <w:top w:val="nil"/>
              <w:left w:val="nil"/>
              <w:bottom w:val="nil"/>
              <w:right w:val="nil"/>
            </w:tcBorders>
            <w:shd w:val="clear" w:color="000000" w:fill="FFFFFF"/>
            <w:noWrap/>
            <w:hideMark/>
          </w:tcPr>
          <w:p w14:paraId="09318AF7"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2.4</w:t>
            </w:r>
          </w:p>
        </w:tc>
        <w:tc>
          <w:tcPr>
            <w:tcW w:w="691" w:type="dxa"/>
            <w:tcBorders>
              <w:top w:val="nil"/>
              <w:left w:val="single" w:sz="4" w:space="0" w:color="000000"/>
              <w:bottom w:val="nil"/>
              <w:right w:val="nil"/>
            </w:tcBorders>
            <w:shd w:val="clear" w:color="000000" w:fill="FFFFFF"/>
            <w:noWrap/>
            <w:hideMark/>
          </w:tcPr>
          <w:p w14:paraId="4CACCD71"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14%</w:t>
            </w:r>
          </w:p>
        </w:tc>
        <w:tc>
          <w:tcPr>
            <w:tcW w:w="735" w:type="dxa"/>
            <w:tcBorders>
              <w:top w:val="nil"/>
              <w:left w:val="nil"/>
              <w:bottom w:val="nil"/>
              <w:right w:val="nil"/>
            </w:tcBorders>
            <w:shd w:val="clear" w:color="000000" w:fill="FFFFFF"/>
            <w:noWrap/>
            <w:hideMark/>
          </w:tcPr>
          <w:p w14:paraId="1C524C3B"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4%</w:t>
            </w:r>
          </w:p>
        </w:tc>
        <w:tc>
          <w:tcPr>
            <w:tcW w:w="752" w:type="dxa"/>
            <w:tcBorders>
              <w:top w:val="nil"/>
              <w:left w:val="nil"/>
              <w:bottom w:val="nil"/>
              <w:right w:val="nil"/>
            </w:tcBorders>
            <w:shd w:val="clear" w:color="000000" w:fill="FFFFFF"/>
            <w:noWrap/>
            <w:hideMark/>
          </w:tcPr>
          <w:p w14:paraId="1C4347A8"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70%</w:t>
            </w:r>
          </w:p>
        </w:tc>
        <w:tc>
          <w:tcPr>
            <w:tcW w:w="779" w:type="dxa"/>
            <w:tcBorders>
              <w:top w:val="nil"/>
              <w:left w:val="nil"/>
              <w:bottom w:val="nil"/>
              <w:right w:val="nil"/>
            </w:tcBorders>
            <w:shd w:val="clear" w:color="000000" w:fill="FFFFFF"/>
            <w:noWrap/>
            <w:hideMark/>
          </w:tcPr>
          <w:p w14:paraId="5C20B1CD"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11%</w:t>
            </w:r>
          </w:p>
        </w:tc>
        <w:tc>
          <w:tcPr>
            <w:tcW w:w="989" w:type="dxa"/>
            <w:tcBorders>
              <w:top w:val="nil"/>
              <w:left w:val="single" w:sz="4" w:space="0" w:color="auto"/>
              <w:bottom w:val="nil"/>
              <w:right w:val="nil"/>
            </w:tcBorders>
            <w:shd w:val="clear" w:color="000000" w:fill="FFFFFF"/>
            <w:noWrap/>
            <w:hideMark/>
          </w:tcPr>
          <w:p w14:paraId="6D51E108"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4.53</w:t>
            </w:r>
          </w:p>
        </w:tc>
        <w:tc>
          <w:tcPr>
            <w:tcW w:w="701" w:type="dxa"/>
            <w:tcBorders>
              <w:top w:val="nil"/>
              <w:left w:val="nil"/>
              <w:bottom w:val="nil"/>
              <w:right w:val="nil"/>
            </w:tcBorders>
            <w:shd w:val="clear" w:color="000000" w:fill="FFFFFF"/>
            <w:noWrap/>
            <w:hideMark/>
          </w:tcPr>
          <w:p w14:paraId="7932EEC2"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 xml:space="preserve">16 </w:t>
            </w:r>
          </w:p>
        </w:tc>
      </w:tr>
      <w:tr w:rsidR="00D62C98" w:rsidRPr="00D62C98" w14:paraId="6ACDD9E2" w14:textId="77777777" w:rsidTr="008C0756">
        <w:trPr>
          <w:trHeight w:hRule="exact" w:val="284"/>
          <w:tblHeader/>
        </w:trPr>
        <w:tc>
          <w:tcPr>
            <w:tcW w:w="709" w:type="dxa"/>
            <w:tcBorders>
              <w:top w:val="nil"/>
              <w:left w:val="nil"/>
              <w:bottom w:val="nil"/>
              <w:right w:val="nil"/>
            </w:tcBorders>
            <w:shd w:val="clear" w:color="000000" w:fill="FFFFFF"/>
            <w:noWrap/>
            <w:hideMark/>
          </w:tcPr>
          <w:p w14:paraId="0A0B2CC7"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Yes</w:t>
            </w:r>
          </w:p>
        </w:tc>
        <w:tc>
          <w:tcPr>
            <w:tcW w:w="691" w:type="dxa"/>
            <w:tcBorders>
              <w:top w:val="nil"/>
              <w:left w:val="nil"/>
              <w:bottom w:val="nil"/>
              <w:right w:val="nil"/>
            </w:tcBorders>
            <w:shd w:val="clear" w:color="000000" w:fill="FFFFFF"/>
            <w:noWrap/>
            <w:hideMark/>
          </w:tcPr>
          <w:p w14:paraId="69C17242"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13</w:t>
            </w:r>
          </w:p>
        </w:tc>
        <w:tc>
          <w:tcPr>
            <w:tcW w:w="585" w:type="dxa"/>
            <w:tcBorders>
              <w:top w:val="nil"/>
              <w:left w:val="nil"/>
              <w:bottom w:val="nil"/>
              <w:right w:val="nil"/>
            </w:tcBorders>
            <w:shd w:val="clear" w:color="000000" w:fill="FFFFFF"/>
            <w:noWrap/>
            <w:hideMark/>
          </w:tcPr>
          <w:p w14:paraId="3D492F02"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I32A</w:t>
            </w:r>
          </w:p>
        </w:tc>
        <w:tc>
          <w:tcPr>
            <w:tcW w:w="4639" w:type="dxa"/>
            <w:tcBorders>
              <w:top w:val="nil"/>
              <w:left w:val="nil"/>
              <w:bottom w:val="nil"/>
              <w:right w:val="nil"/>
            </w:tcBorders>
            <w:shd w:val="clear" w:color="000000" w:fill="FFFFFF"/>
            <w:noWrap/>
            <w:hideMark/>
          </w:tcPr>
          <w:p w14:paraId="3B9D422F"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Revision of Knee Replacement, Major Complexity</w:t>
            </w:r>
          </w:p>
        </w:tc>
        <w:tc>
          <w:tcPr>
            <w:tcW w:w="752" w:type="dxa"/>
            <w:tcBorders>
              <w:top w:val="nil"/>
              <w:left w:val="nil"/>
              <w:bottom w:val="nil"/>
              <w:right w:val="nil"/>
            </w:tcBorders>
            <w:shd w:val="clear" w:color="000000" w:fill="FFFFFF"/>
            <w:noWrap/>
            <w:hideMark/>
          </w:tcPr>
          <w:p w14:paraId="1B00D27A" w14:textId="77777777" w:rsidR="00A24567" w:rsidRPr="00D62C98" w:rsidRDefault="00A24567" w:rsidP="00CD460D">
            <w:pPr>
              <w:spacing w:after="0"/>
              <w:jc w:val="right"/>
              <w:rPr>
                <w:b/>
                <w:bCs/>
                <w:color w:val="000000"/>
                <w:sz w:val="15"/>
                <w:szCs w:val="13"/>
                <w:lang w:val="en-US" w:eastAsia="en-US"/>
              </w:rPr>
            </w:pPr>
            <w:r w:rsidRPr="00D62C98">
              <w:rPr>
                <w:b/>
                <w:bCs/>
                <w:color w:val="000000"/>
                <w:sz w:val="15"/>
                <w:szCs w:val="13"/>
                <w:lang w:val="en-US" w:eastAsia="en-US"/>
              </w:rPr>
              <w:t>3.55</w:t>
            </w:r>
          </w:p>
        </w:tc>
        <w:tc>
          <w:tcPr>
            <w:tcW w:w="897" w:type="dxa"/>
            <w:tcBorders>
              <w:top w:val="nil"/>
              <w:left w:val="nil"/>
              <w:bottom w:val="nil"/>
              <w:right w:val="nil"/>
            </w:tcBorders>
            <w:shd w:val="clear" w:color="000000" w:fill="FFFFFF"/>
            <w:noWrap/>
            <w:hideMark/>
          </w:tcPr>
          <w:p w14:paraId="09975E27"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737</w:t>
            </w:r>
          </w:p>
        </w:tc>
        <w:tc>
          <w:tcPr>
            <w:tcW w:w="735" w:type="dxa"/>
            <w:tcBorders>
              <w:top w:val="nil"/>
              <w:left w:val="nil"/>
              <w:bottom w:val="nil"/>
              <w:right w:val="nil"/>
            </w:tcBorders>
            <w:shd w:val="clear" w:color="000000" w:fill="FFFFFF"/>
            <w:noWrap/>
            <w:hideMark/>
          </w:tcPr>
          <w:p w14:paraId="0F03AAC1"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8.08</w:t>
            </w:r>
          </w:p>
        </w:tc>
        <w:tc>
          <w:tcPr>
            <w:tcW w:w="679" w:type="dxa"/>
            <w:tcBorders>
              <w:top w:val="nil"/>
              <w:left w:val="nil"/>
              <w:bottom w:val="nil"/>
              <w:right w:val="nil"/>
            </w:tcBorders>
            <w:shd w:val="clear" w:color="000000" w:fill="FFFFFF"/>
            <w:noWrap/>
            <w:hideMark/>
          </w:tcPr>
          <w:p w14:paraId="1ABA6484"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12.5</w:t>
            </w:r>
          </w:p>
        </w:tc>
        <w:tc>
          <w:tcPr>
            <w:tcW w:w="691" w:type="dxa"/>
            <w:tcBorders>
              <w:top w:val="nil"/>
              <w:left w:val="single" w:sz="4" w:space="0" w:color="000000"/>
              <w:bottom w:val="nil"/>
              <w:right w:val="nil"/>
            </w:tcBorders>
            <w:shd w:val="clear" w:color="000000" w:fill="FFFFFF"/>
            <w:noWrap/>
            <w:hideMark/>
          </w:tcPr>
          <w:p w14:paraId="7BAECA7B"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15%</w:t>
            </w:r>
          </w:p>
        </w:tc>
        <w:tc>
          <w:tcPr>
            <w:tcW w:w="735" w:type="dxa"/>
            <w:tcBorders>
              <w:top w:val="nil"/>
              <w:left w:val="nil"/>
              <w:bottom w:val="nil"/>
              <w:right w:val="nil"/>
            </w:tcBorders>
            <w:shd w:val="clear" w:color="000000" w:fill="FFFFFF"/>
            <w:noWrap/>
            <w:hideMark/>
          </w:tcPr>
          <w:p w14:paraId="7B9AC92A"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6%</w:t>
            </w:r>
          </w:p>
        </w:tc>
        <w:tc>
          <w:tcPr>
            <w:tcW w:w="752" w:type="dxa"/>
            <w:tcBorders>
              <w:top w:val="nil"/>
              <w:left w:val="nil"/>
              <w:bottom w:val="nil"/>
              <w:right w:val="nil"/>
            </w:tcBorders>
            <w:shd w:val="clear" w:color="000000" w:fill="FFFFFF"/>
            <w:noWrap/>
            <w:hideMark/>
          </w:tcPr>
          <w:p w14:paraId="7C245374"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44%</w:t>
            </w:r>
          </w:p>
        </w:tc>
        <w:tc>
          <w:tcPr>
            <w:tcW w:w="779" w:type="dxa"/>
            <w:tcBorders>
              <w:top w:val="nil"/>
              <w:left w:val="nil"/>
              <w:bottom w:val="nil"/>
              <w:right w:val="nil"/>
            </w:tcBorders>
            <w:shd w:val="clear" w:color="000000" w:fill="FFFFFF"/>
            <w:noWrap/>
            <w:hideMark/>
          </w:tcPr>
          <w:p w14:paraId="18A28B72"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35%</w:t>
            </w:r>
          </w:p>
        </w:tc>
        <w:tc>
          <w:tcPr>
            <w:tcW w:w="989" w:type="dxa"/>
            <w:tcBorders>
              <w:top w:val="nil"/>
              <w:left w:val="single" w:sz="4" w:space="0" w:color="auto"/>
              <w:bottom w:val="nil"/>
              <w:right w:val="nil"/>
            </w:tcBorders>
            <w:shd w:val="clear" w:color="000000" w:fill="FFFFFF"/>
            <w:noWrap/>
            <w:hideMark/>
          </w:tcPr>
          <w:p w14:paraId="2ECC4319"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4.66</w:t>
            </w:r>
          </w:p>
        </w:tc>
        <w:tc>
          <w:tcPr>
            <w:tcW w:w="701" w:type="dxa"/>
            <w:tcBorders>
              <w:top w:val="nil"/>
              <w:left w:val="nil"/>
              <w:bottom w:val="nil"/>
              <w:right w:val="nil"/>
            </w:tcBorders>
            <w:shd w:val="clear" w:color="000000" w:fill="FFFFFF"/>
            <w:noWrap/>
            <w:hideMark/>
          </w:tcPr>
          <w:p w14:paraId="6D36CFC6"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 xml:space="preserve">15 </w:t>
            </w:r>
          </w:p>
        </w:tc>
      </w:tr>
      <w:tr w:rsidR="00D62C98" w:rsidRPr="00D62C98" w14:paraId="3AFA4991" w14:textId="77777777" w:rsidTr="008C0756">
        <w:trPr>
          <w:trHeight w:hRule="exact" w:val="284"/>
          <w:tblHeader/>
        </w:trPr>
        <w:tc>
          <w:tcPr>
            <w:tcW w:w="709" w:type="dxa"/>
            <w:tcBorders>
              <w:top w:val="nil"/>
              <w:left w:val="nil"/>
              <w:bottom w:val="nil"/>
              <w:right w:val="nil"/>
            </w:tcBorders>
            <w:shd w:val="clear" w:color="000000" w:fill="FFFFFF"/>
            <w:noWrap/>
            <w:hideMark/>
          </w:tcPr>
          <w:p w14:paraId="762CB626"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No</w:t>
            </w:r>
          </w:p>
        </w:tc>
        <w:tc>
          <w:tcPr>
            <w:tcW w:w="691" w:type="dxa"/>
            <w:tcBorders>
              <w:top w:val="nil"/>
              <w:left w:val="nil"/>
              <w:bottom w:val="nil"/>
              <w:right w:val="nil"/>
            </w:tcBorders>
            <w:shd w:val="clear" w:color="000000" w:fill="FFFFFF"/>
            <w:noWrap/>
            <w:hideMark/>
          </w:tcPr>
          <w:p w14:paraId="2C54C42B"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14</w:t>
            </w:r>
          </w:p>
        </w:tc>
        <w:tc>
          <w:tcPr>
            <w:tcW w:w="585" w:type="dxa"/>
            <w:tcBorders>
              <w:top w:val="nil"/>
              <w:left w:val="nil"/>
              <w:bottom w:val="nil"/>
              <w:right w:val="nil"/>
            </w:tcBorders>
            <w:shd w:val="clear" w:color="000000" w:fill="FFFFFF"/>
            <w:noWrap/>
            <w:hideMark/>
          </w:tcPr>
          <w:p w14:paraId="4AF682E8"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I09C</w:t>
            </w:r>
          </w:p>
        </w:tc>
        <w:tc>
          <w:tcPr>
            <w:tcW w:w="4639" w:type="dxa"/>
            <w:tcBorders>
              <w:top w:val="nil"/>
              <w:left w:val="nil"/>
              <w:bottom w:val="nil"/>
              <w:right w:val="nil"/>
            </w:tcBorders>
            <w:shd w:val="clear" w:color="000000" w:fill="FFFFFF"/>
            <w:noWrap/>
            <w:hideMark/>
          </w:tcPr>
          <w:p w14:paraId="6E08DD96"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Spinal Fusion, Minor Complexity</w:t>
            </w:r>
          </w:p>
        </w:tc>
        <w:tc>
          <w:tcPr>
            <w:tcW w:w="752" w:type="dxa"/>
            <w:tcBorders>
              <w:top w:val="nil"/>
              <w:left w:val="nil"/>
              <w:bottom w:val="nil"/>
              <w:right w:val="nil"/>
            </w:tcBorders>
            <w:shd w:val="clear" w:color="000000" w:fill="FFFFFF"/>
            <w:noWrap/>
            <w:hideMark/>
          </w:tcPr>
          <w:p w14:paraId="6529C57E" w14:textId="77777777" w:rsidR="00A24567" w:rsidRPr="00D62C98" w:rsidRDefault="00A24567" w:rsidP="00CD460D">
            <w:pPr>
              <w:spacing w:after="0"/>
              <w:jc w:val="right"/>
              <w:rPr>
                <w:b/>
                <w:bCs/>
                <w:color w:val="000000"/>
                <w:sz w:val="15"/>
                <w:szCs w:val="13"/>
                <w:lang w:val="en-US" w:eastAsia="en-US"/>
              </w:rPr>
            </w:pPr>
            <w:r w:rsidRPr="00D62C98">
              <w:rPr>
                <w:b/>
                <w:bCs/>
                <w:color w:val="000000"/>
                <w:sz w:val="15"/>
                <w:szCs w:val="13"/>
                <w:lang w:val="en-US" w:eastAsia="en-US"/>
              </w:rPr>
              <w:t>3.52</w:t>
            </w:r>
          </w:p>
        </w:tc>
        <w:tc>
          <w:tcPr>
            <w:tcW w:w="897" w:type="dxa"/>
            <w:tcBorders>
              <w:top w:val="nil"/>
              <w:left w:val="nil"/>
              <w:bottom w:val="nil"/>
              <w:right w:val="nil"/>
            </w:tcBorders>
            <w:shd w:val="clear" w:color="000000" w:fill="FFFFFF"/>
            <w:noWrap/>
            <w:hideMark/>
          </w:tcPr>
          <w:p w14:paraId="0E8A524F"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8,853</w:t>
            </w:r>
          </w:p>
        </w:tc>
        <w:tc>
          <w:tcPr>
            <w:tcW w:w="735" w:type="dxa"/>
            <w:tcBorders>
              <w:top w:val="nil"/>
              <w:left w:val="nil"/>
              <w:bottom w:val="nil"/>
              <w:right w:val="nil"/>
            </w:tcBorders>
            <w:shd w:val="clear" w:color="000000" w:fill="FFFFFF"/>
            <w:noWrap/>
            <w:hideMark/>
          </w:tcPr>
          <w:p w14:paraId="6B846AE0"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6.31</w:t>
            </w:r>
          </w:p>
        </w:tc>
        <w:tc>
          <w:tcPr>
            <w:tcW w:w="679" w:type="dxa"/>
            <w:tcBorders>
              <w:top w:val="nil"/>
              <w:left w:val="nil"/>
              <w:bottom w:val="nil"/>
              <w:right w:val="nil"/>
            </w:tcBorders>
            <w:shd w:val="clear" w:color="000000" w:fill="FFFFFF"/>
            <w:noWrap/>
            <w:hideMark/>
          </w:tcPr>
          <w:p w14:paraId="52050CD5"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5.3</w:t>
            </w:r>
          </w:p>
        </w:tc>
        <w:tc>
          <w:tcPr>
            <w:tcW w:w="691" w:type="dxa"/>
            <w:tcBorders>
              <w:top w:val="nil"/>
              <w:left w:val="single" w:sz="4" w:space="0" w:color="000000"/>
              <w:bottom w:val="nil"/>
              <w:right w:val="nil"/>
            </w:tcBorders>
            <w:shd w:val="clear" w:color="000000" w:fill="FFFFFF"/>
            <w:noWrap/>
            <w:hideMark/>
          </w:tcPr>
          <w:p w14:paraId="26CA3227"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19%</w:t>
            </w:r>
          </w:p>
        </w:tc>
        <w:tc>
          <w:tcPr>
            <w:tcW w:w="735" w:type="dxa"/>
            <w:tcBorders>
              <w:top w:val="nil"/>
              <w:left w:val="nil"/>
              <w:bottom w:val="nil"/>
              <w:right w:val="nil"/>
            </w:tcBorders>
            <w:shd w:val="clear" w:color="000000" w:fill="FFFFFF"/>
            <w:noWrap/>
            <w:hideMark/>
          </w:tcPr>
          <w:p w14:paraId="35F2D5CA"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3%</w:t>
            </w:r>
          </w:p>
        </w:tc>
        <w:tc>
          <w:tcPr>
            <w:tcW w:w="752" w:type="dxa"/>
            <w:tcBorders>
              <w:top w:val="nil"/>
              <w:left w:val="nil"/>
              <w:bottom w:val="nil"/>
              <w:right w:val="nil"/>
            </w:tcBorders>
            <w:shd w:val="clear" w:color="000000" w:fill="FFFFFF"/>
            <w:noWrap/>
            <w:hideMark/>
          </w:tcPr>
          <w:p w14:paraId="40007522"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56%</w:t>
            </w:r>
          </w:p>
        </w:tc>
        <w:tc>
          <w:tcPr>
            <w:tcW w:w="779" w:type="dxa"/>
            <w:tcBorders>
              <w:top w:val="nil"/>
              <w:left w:val="nil"/>
              <w:bottom w:val="nil"/>
              <w:right w:val="nil"/>
            </w:tcBorders>
            <w:shd w:val="clear" w:color="000000" w:fill="FFFFFF"/>
            <w:noWrap/>
            <w:hideMark/>
          </w:tcPr>
          <w:p w14:paraId="6C9A6F84"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22%</w:t>
            </w:r>
          </w:p>
        </w:tc>
        <w:tc>
          <w:tcPr>
            <w:tcW w:w="989" w:type="dxa"/>
            <w:tcBorders>
              <w:top w:val="nil"/>
              <w:left w:val="single" w:sz="4" w:space="0" w:color="auto"/>
              <w:bottom w:val="nil"/>
              <w:right w:val="nil"/>
            </w:tcBorders>
            <w:shd w:val="clear" w:color="000000" w:fill="FFFFFF"/>
            <w:noWrap/>
            <w:hideMark/>
          </w:tcPr>
          <w:p w14:paraId="7BB516CE"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3.98</w:t>
            </w:r>
          </w:p>
        </w:tc>
        <w:tc>
          <w:tcPr>
            <w:tcW w:w="701" w:type="dxa"/>
            <w:tcBorders>
              <w:top w:val="nil"/>
              <w:left w:val="nil"/>
              <w:bottom w:val="nil"/>
              <w:right w:val="nil"/>
            </w:tcBorders>
            <w:shd w:val="clear" w:color="000000" w:fill="FFFFFF"/>
            <w:noWrap/>
            <w:hideMark/>
          </w:tcPr>
          <w:p w14:paraId="6D38E6C7"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 xml:space="preserve">22 </w:t>
            </w:r>
          </w:p>
        </w:tc>
      </w:tr>
      <w:tr w:rsidR="00D62C98" w:rsidRPr="00D62C98" w14:paraId="7263C392" w14:textId="77777777" w:rsidTr="008C0756">
        <w:trPr>
          <w:trHeight w:hRule="exact" w:val="284"/>
          <w:tblHeader/>
        </w:trPr>
        <w:tc>
          <w:tcPr>
            <w:tcW w:w="709" w:type="dxa"/>
            <w:tcBorders>
              <w:top w:val="nil"/>
              <w:left w:val="nil"/>
              <w:bottom w:val="nil"/>
              <w:right w:val="nil"/>
            </w:tcBorders>
            <w:shd w:val="clear" w:color="000000" w:fill="FFFFFF"/>
            <w:noWrap/>
            <w:hideMark/>
          </w:tcPr>
          <w:p w14:paraId="2EE52175"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Yes</w:t>
            </w:r>
          </w:p>
        </w:tc>
        <w:tc>
          <w:tcPr>
            <w:tcW w:w="691" w:type="dxa"/>
            <w:tcBorders>
              <w:top w:val="nil"/>
              <w:left w:val="nil"/>
              <w:bottom w:val="nil"/>
              <w:right w:val="nil"/>
            </w:tcBorders>
            <w:shd w:val="clear" w:color="000000" w:fill="FFFFFF"/>
            <w:noWrap/>
            <w:hideMark/>
          </w:tcPr>
          <w:p w14:paraId="274160EB"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15</w:t>
            </w:r>
          </w:p>
        </w:tc>
        <w:tc>
          <w:tcPr>
            <w:tcW w:w="585" w:type="dxa"/>
            <w:tcBorders>
              <w:top w:val="nil"/>
              <w:left w:val="nil"/>
              <w:bottom w:val="nil"/>
              <w:right w:val="nil"/>
            </w:tcBorders>
            <w:shd w:val="clear" w:color="000000" w:fill="FFFFFF"/>
            <w:noWrap/>
            <w:hideMark/>
          </w:tcPr>
          <w:p w14:paraId="122FE1EE"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F17A</w:t>
            </w:r>
          </w:p>
        </w:tc>
        <w:tc>
          <w:tcPr>
            <w:tcW w:w="4639" w:type="dxa"/>
            <w:tcBorders>
              <w:top w:val="nil"/>
              <w:left w:val="nil"/>
              <w:bottom w:val="nil"/>
              <w:right w:val="nil"/>
            </w:tcBorders>
            <w:shd w:val="clear" w:color="000000" w:fill="FFFFFF"/>
            <w:noWrap/>
            <w:hideMark/>
          </w:tcPr>
          <w:p w14:paraId="51FB10AC"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Insertion and Replacement of Pacemaker Generator, Major Complexity</w:t>
            </w:r>
          </w:p>
        </w:tc>
        <w:tc>
          <w:tcPr>
            <w:tcW w:w="752" w:type="dxa"/>
            <w:tcBorders>
              <w:top w:val="nil"/>
              <w:left w:val="nil"/>
              <w:bottom w:val="nil"/>
              <w:right w:val="nil"/>
            </w:tcBorders>
            <w:shd w:val="clear" w:color="000000" w:fill="FFFFFF"/>
            <w:noWrap/>
            <w:hideMark/>
          </w:tcPr>
          <w:p w14:paraId="27BB6C94" w14:textId="77777777" w:rsidR="00A24567" w:rsidRPr="00D62C98" w:rsidRDefault="00A24567" w:rsidP="00CD460D">
            <w:pPr>
              <w:spacing w:after="0"/>
              <w:jc w:val="right"/>
              <w:rPr>
                <w:b/>
                <w:bCs/>
                <w:color w:val="000000"/>
                <w:sz w:val="15"/>
                <w:szCs w:val="13"/>
                <w:lang w:val="en-US" w:eastAsia="en-US"/>
              </w:rPr>
            </w:pPr>
            <w:r w:rsidRPr="00D62C98">
              <w:rPr>
                <w:b/>
                <w:bCs/>
                <w:color w:val="000000"/>
                <w:sz w:val="15"/>
                <w:szCs w:val="13"/>
                <w:lang w:val="en-US" w:eastAsia="en-US"/>
              </w:rPr>
              <w:t>3.45</w:t>
            </w:r>
          </w:p>
        </w:tc>
        <w:tc>
          <w:tcPr>
            <w:tcW w:w="897" w:type="dxa"/>
            <w:tcBorders>
              <w:top w:val="nil"/>
              <w:left w:val="nil"/>
              <w:bottom w:val="nil"/>
              <w:right w:val="nil"/>
            </w:tcBorders>
            <w:shd w:val="clear" w:color="000000" w:fill="FFFFFF"/>
            <w:noWrap/>
            <w:hideMark/>
          </w:tcPr>
          <w:p w14:paraId="5C41384A"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143</w:t>
            </w:r>
          </w:p>
        </w:tc>
        <w:tc>
          <w:tcPr>
            <w:tcW w:w="735" w:type="dxa"/>
            <w:tcBorders>
              <w:top w:val="nil"/>
              <w:left w:val="nil"/>
              <w:bottom w:val="nil"/>
              <w:right w:val="nil"/>
            </w:tcBorders>
            <w:shd w:val="clear" w:color="000000" w:fill="FFFFFF"/>
            <w:noWrap/>
            <w:hideMark/>
          </w:tcPr>
          <w:p w14:paraId="4D195682"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5.84</w:t>
            </w:r>
          </w:p>
        </w:tc>
        <w:tc>
          <w:tcPr>
            <w:tcW w:w="679" w:type="dxa"/>
            <w:tcBorders>
              <w:top w:val="nil"/>
              <w:left w:val="nil"/>
              <w:bottom w:val="nil"/>
              <w:right w:val="nil"/>
            </w:tcBorders>
            <w:shd w:val="clear" w:color="000000" w:fill="FFFFFF"/>
            <w:noWrap/>
            <w:hideMark/>
          </w:tcPr>
          <w:p w14:paraId="60189B15"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6.7</w:t>
            </w:r>
          </w:p>
        </w:tc>
        <w:tc>
          <w:tcPr>
            <w:tcW w:w="691" w:type="dxa"/>
            <w:tcBorders>
              <w:top w:val="nil"/>
              <w:left w:val="single" w:sz="4" w:space="0" w:color="000000"/>
              <w:bottom w:val="nil"/>
              <w:right w:val="nil"/>
            </w:tcBorders>
            <w:shd w:val="clear" w:color="000000" w:fill="FFFFFF"/>
            <w:noWrap/>
            <w:hideMark/>
          </w:tcPr>
          <w:p w14:paraId="2B025703"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12%</w:t>
            </w:r>
          </w:p>
        </w:tc>
        <w:tc>
          <w:tcPr>
            <w:tcW w:w="735" w:type="dxa"/>
            <w:tcBorders>
              <w:top w:val="nil"/>
              <w:left w:val="nil"/>
              <w:bottom w:val="nil"/>
              <w:right w:val="nil"/>
            </w:tcBorders>
            <w:shd w:val="clear" w:color="000000" w:fill="FFFFFF"/>
            <w:noWrap/>
            <w:hideMark/>
          </w:tcPr>
          <w:p w14:paraId="13D0D487"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5%</w:t>
            </w:r>
          </w:p>
        </w:tc>
        <w:tc>
          <w:tcPr>
            <w:tcW w:w="752" w:type="dxa"/>
            <w:tcBorders>
              <w:top w:val="nil"/>
              <w:left w:val="nil"/>
              <w:bottom w:val="nil"/>
              <w:right w:val="nil"/>
            </w:tcBorders>
            <w:shd w:val="clear" w:color="000000" w:fill="FFFFFF"/>
            <w:noWrap/>
            <w:hideMark/>
          </w:tcPr>
          <w:p w14:paraId="4D75E8A1"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59%</w:t>
            </w:r>
          </w:p>
        </w:tc>
        <w:tc>
          <w:tcPr>
            <w:tcW w:w="779" w:type="dxa"/>
            <w:tcBorders>
              <w:top w:val="nil"/>
              <w:left w:val="nil"/>
              <w:bottom w:val="nil"/>
              <w:right w:val="nil"/>
            </w:tcBorders>
            <w:shd w:val="clear" w:color="000000" w:fill="FFFFFF"/>
            <w:noWrap/>
            <w:hideMark/>
          </w:tcPr>
          <w:p w14:paraId="3F6A3B0F"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24%</w:t>
            </w:r>
          </w:p>
        </w:tc>
        <w:tc>
          <w:tcPr>
            <w:tcW w:w="989" w:type="dxa"/>
            <w:tcBorders>
              <w:top w:val="nil"/>
              <w:left w:val="single" w:sz="4" w:space="0" w:color="auto"/>
              <w:bottom w:val="nil"/>
              <w:right w:val="nil"/>
            </w:tcBorders>
            <w:shd w:val="clear" w:color="000000" w:fill="FFFFFF"/>
            <w:noWrap/>
            <w:hideMark/>
          </w:tcPr>
          <w:p w14:paraId="69688EBB"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4.84</w:t>
            </w:r>
          </w:p>
        </w:tc>
        <w:tc>
          <w:tcPr>
            <w:tcW w:w="701" w:type="dxa"/>
            <w:tcBorders>
              <w:top w:val="nil"/>
              <w:left w:val="nil"/>
              <w:bottom w:val="nil"/>
              <w:right w:val="nil"/>
            </w:tcBorders>
            <w:shd w:val="clear" w:color="000000" w:fill="FFFFFF"/>
            <w:noWrap/>
            <w:hideMark/>
          </w:tcPr>
          <w:p w14:paraId="6B38856E"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 xml:space="preserve">14 </w:t>
            </w:r>
          </w:p>
        </w:tc>
      </w:tr>
      <w:tr w:rsidR="00D62C98" w:rsidRPr="00D62C98" w14:paraId="2F3CFA84" w14:textId="77777777" w:rsidTr="008C0756">
        <w:trPr>
          <w:trHeight w:hRule="exact" w:val="284"/>
          <w:tblHeader/>
        </w:trPr>
        <w:tc>
          <w:tcPr>
            <w:tcW w:w="709" w:type="dxa"/>
            <w:tcBorders>
              <w:top w:val="nil"/>
              <w:left w:val="nil"/>
              <w:bottom w:val="nil"/>
              <w:right w:val="nil"/>
            </w:tcBorders>
            <w:shd w:val="clear" w:color="000000" w:fill="FFFFFF"/>
            <w:noWrap/>
            <w:hideMark/>
          </w:tcPr>
          <w:p w14:paraId="7852A68E"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Yes</w:t>
            </w:r>
          </w:p>
        </w:tc>
        <w:tc>
          <w:tcPr>
            <w:tcW w:w="691" w:type="dxa"/>
            <w:tcBorders>
              <w:top w:val="nil"/>
              <w:left w:val="nil"/>
              <w:bottom w:val="nil"/>
              <w:right w:val="nil"/>
            </w:tcBorders>
            <w:shd w:val="clear" w:color="000000" w:fill="FFFFFF"/>
            <w:noWrap/>
            <w:hideMark/>
          </w:tcPr>
          <w:p w14:paraId="15CC92CB"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16</w:t>
            </w:r>
          </w:p>
        </w:tc>
        <w:tc>
          <w:tcPr>
            <w:tcW w:w="585" w:type="dxa"/>
            <w:tcBorders>
              <w:top w:val="nil"/>
              <w:left w:val="nil"/>
              <w:bottom w:val="nil"/>
              <w:right w:val="nil"/>
            </w:tcBorders>
            <w:shd w:val="clear" w:color="000000" w:fill="FFFFFF"/>
            <w:noWrap/>
            <w:hideMark/>
          </w:tcPr>
          <w:p w14:paraId="64283D4D"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A11B</w:t>
            </w:r>
          </w:p>
        </w:tc>
        <w:tc>
          <w:tcPr>
            <w:tcW w:w="4639" w:type="dxa"/>
            <w:tcBorders>
              <w:top w:val="nil"/>
              <w:left w:val="nil"/>
              <w:bottom w:val="nil"/>
              <w:right w:val="nil"/>
            </w:tcBorders>
            <w:shd w:val="clear" w:color="000000" w:fill="FFFFFF"/>
            <w:noWrap/>
            <w:hideMark/>
          </w:tcPr>
          <w:p w14:paraId="76C49EB7"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Insertion of Implantable Spinal Infusion Device, Minor Complexity</w:t>
            </w:r>
          </w:p>
        </w:tc>
        <w:tc>
          <w:tcPr>
            <w:tcW w:w="752" w:type="dxa"/>
            <w:tcBorders>
              <w:top w:val="nil"/>
              <w:left w:val="nil"/>
              <w:bottom w:val="nil"/>
              <w:right w:val="nil"/>
            </w:tcBorders>
            <w:shd w:val="clear" w:color="000000" w:fill="FFFFFF"/>
            <w:noWrap/>
            <w:hideMark/>
          </w:tcPr>
          <w:p w14:paraId="7009DA53" w14:textId="77777777" w:rsidR="00A24567" w:rsidRPr="00D62C98" w:rsidRDefault="00A24567" w:rsidP="00CD460D">
            <w:pPr>
              <w:spacing w:after="0"/>
              <w:jc w:val="right"/>
              <w:rPr>
                <w:b/>
                <w:bCs/>
                <w:color w:val="000000"/>
                <w:sz w:val="15"/>
                <w:szCs w:val="13"/>
                <w:lang w:val="en-US" w:eastAsia="en-US"/>
              </w:rPr>
            </w:pPr>
            <w:r w:rsidRPr="00D62C98">
              <w:rPr>
                <w:b/>
                <w:bCs/>
                <w:color w:val="000000"/>
                <w:sz w:val="15"/>
                <w:szCs w:val="13"/>
                <w:lang w:val="en-US" w:eastAsia="en-US"/>
              </w:rPr>
              <w:t>3.41</w:t>
            </w:r>
          </w:p>
        </w:tc>
        <w:tc>
          <w:tcPr>
            <w:tcW w:w="897" w:type="dxa"/>
            <w:tcBorders>
              <w:top w:val="nil"/>
              <w:left w:val="nil"/>
              <w:bottom w:val="nil"/>
              <w:right w:val="nil"/>
            </w:tcBorders>
            <w:shd w:val="clear" w:color="000000" w:fill="FFFFFF"/>
            <w:noWrap/>
            <w:hideMark/>
          </w:tcPr>
          <w:p w14:paraId="45098821"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32</w:t>
            </w:r>
          </w:p>
        </w:tc>
        <w:tc>
          <w:tcPr>
            <w:tcW w:w="735" w:type="dxa"/>
            <w:tcBorders>
              <w:top w:val="nil"/>
              <w:left w:val="nil"/>
              <w:bottom w:val="nil"/>
              <w:right w:val="nil"/>
            </w:tcBorders>
            <w:shd w:val="clear" w:color="000000" w:fill="FFFFFF"/>
            <w:noWrap/>
            <w:hideMark/>
          </w:tcPr>
          <w:p w14:paraId="19B83C12"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5.65</w:t>
            </w:r>
          </w:p>
        </w:tc>
        <w:tc>
          <w:tcPr>
            <w:tcW w:w="679" w:type="dxa"/>
            <w:tcBorders>
              <w:top w:val="nil"/>
              <w:left w:val="nil"/>
              <w:bottom w:val="nil"/>
              <w:right w:val="nil"/>
            </w:tcBorders>
            <w:shd w:val="clear" w:color="000000" w:fill="FFFFFF"/>
            <w:noWrap/>
            <w:hideMark/>
          </w:tcPr>
          <w:p w14:paraId="4BE54F76"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5.1</w:t>
            </w:r>
          </w:p>
        </w:tc>
        <w:tc>
          <w:tcPr>
            <w:tcW w:w="691" w:type="dxa"/>
            <w:tcBorders>
              <w:top w:val="nil"/>
              <w:left w:val="single" w:sz="4" w:space="0" w:color="000000"/>
              <w:bottom w:val="nil"/>
              <w:right w:val="nil"/>
            </w:tcBorders>
            <w:shd w:val="clear" w:color="000000" w:fill="FFFFFF"/>
            <w:noWrap/>
            <w:hideMark/>
          </w:tcPr>
          <w:p w14:paraId="3726424D"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13%</w:t>
            </w:r>
          </w:p>
        </w:tc>
        <w:tc>
          <w:tcPr>
            <w:tcW w:w="735" w:type="dxa"/>
            <w:tcBorders>
              <w:top w:val="nil"/>
              <w:left w:val="nil"/>
              <w:bottom w:val="nil"/>
              <w:right w:val="nil"/>
            </w:tcBorders>
            <w:shd w:val="clear" w:color="000000" w:fill="FFFFFF"/>
            <w:noWrap/>
            <w:hideMark/>
          </w:tcPr>
          <w:p w14:paraId="51CA550B"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w:t>
            </w:r>
          </w:p>
        </w:tc>
        <w:tc>
          <w:tcPr>
            <w:tcW w:w="752" w:type="dxa"/>
            <w:tcBorders>
              <w:top w:val="nil"/>
              <w:left w:val="nil"/>
              <w:bottom w:val="nil"/>
              <w:right w:val="nil"/>
            </w:tcBorders>
            <w:shd w:val="clear" w:color="000000" w:fill="FFFFFF"/>
            <w:noWrap/>
            <w:hideMark/>
          </w:tcPr>
          <w:p w14:paraId="5A2D755D"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60%</w:t>
            </w:r>
          </w:p>
        </w:tc>
        <w:tc>
          <w:tcPr>
            <w:tcW w:w="779" w:type="dxa"/>
            <w:tcBorders>
              <w:top w:val="nil"/>
              <w:left w:val="nil"/>
              <w:bottom w:val="nil"/>
              <w:right w:val="nil"/>
            </w:tcBorders>
            <w:shd w:val="clear" w:color="000000" w:fill="FFFFFF"/>
            <w:noWrap/>
            <w:hideMark/>
          </w:tcPr>
          <w:p w14:paraId="1CFC5FFB"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26%</w:t>
            </w:r>
          </w:p>
        </w:tc>
        <w:tc>
          <w:tcPr>
            <w:tcW w:w="989" w:type="dxa"/>
            <w:tcBorders>
              <w:top w:val="nil"/>
              <w:left w:val="single" w:sz="4" w:space="0" w:color="auto"/>
              <w:bottom w:val="nil"/>
              <w:right w:val="nil"/>
            </w:tcBorders>
            <w:shd w:val="clear" w:color="000000" w:fill="FFFFFF"/>
            <w:noWrap/>
            <w:hideMark/>
          </w:tcPr>
          <w:p w14:paraId="18FAE8F1"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6.15</w:t>
            </w:r>
          </w:p>
        </w:tc>
        <w:tc>
          <w:tcPr>
            <w:tcW w:w="701" w:type="dxa"/>
            <w:tcBorders>
              <w:top w:val="nil"/>
              <w:left w:val="nil"/>
              <w:bottom w:val="nil"/>
              <w:right w:val="nil"/>
            </w:tcBorders>
            <w:shd w:val="clear" w:color="000000" w:fill="FFFFFF"/>
            <w:noWrap/>
            <w:hideMark/>
          </w:tcPr>
          <w:p w14:paraId="6CC72756"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 xml:space="preserve">9 </w:t>
            </w:r>
          </w:p>
        </w:tc>
      </w:tr>
      <w:tr w:rsidR="00D62C98" w:rsidRPr="00D62C98" w14:paraId="2F3C3074" w14:textId="77777777" w:rsidTr="008C0756">
        <w:trPr>
          <w:trHeight w:hRule="exact" w:val="284"/>
          <w:tblHeader/>
        </w:trPr>
        <w:tc>
          <w:tcPr>
            <w:tcW w:w="709" w:type="dxa"/>
            <w:tcBorders>
              <w:top w:val="nil"/>
              <w:left w:val="nil"/>
              <w:bottom w:val="nil"/>
              <w:right w:val="nil"/>
            </w:tcBorders>
            <w:shd w:val="clear" w:color="000000" w:fill="FFFFFF"/>
            <w:noWrap/>
            <w:hideMark/>
          </w:tcPr>
          <w:p w14:paraId="51635F90"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Yes</w:t>
            </w:r>
          </w:p>
        </w:tc>
        <w:tc>
          <w:tcPr>
            <w:tcW w:w="691" w:type="dxa"/>
            <w:tcBorders>
              <w:top w:val="nil"/>
              <w:left w:val="nil"/>
              <w:bottom w:val="nil"/>
              <w:right w:val="nil"/>
            </w:tcBorders>
            <w:shd w:val="clear" w:color="000000" w:fill="FFFFFF"/>
            <w:noWrap/>
            <w:hideMark/>
          </w:tcPr>
          <w:p w14:paraId="6C55E755"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17</w:t>
            </w:r>
          </w:p>
        </w:tc>
        <w:tc>
          <w:tcPr>
            <w:tcW w:w="585" w:type="dxa"/>
            <w:tcBorders>
              <w:top w:val="nil"/>
              <w:left w:val="nil"/>
              <w:bottom w:val="nil"/>
              <w:right w:val="nil"/>
            </w:tcBorders>
            <w:shd w:val="clear" w:color="000000" w:fill="FFFFFF"/>
            <w:noWrap/>
            <w:hideMark/>
          </w:tcPr>
          <w:p w14:paraId="3698A7C8"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I31A</w:t>
            </w:r>
          </w:p>
        </w:tc>
        <w:tc>
          <w:tcPr>
            <w:tcW w:w="4639" w:type="dxa"/>
            <w:tcBorders>
              <w:top w:val="nil"/>
              <w:left w:val="nil"/>
              <w:bottom w:val="nil"/>
              <w:right w:val="nil"/>
            </w:tcBorders>
            <w:shd w:val="clear" w:color="000000" w:fill="FFFFFF"/>
            <w:noWrap/>
            <w:hideMark/>
          </w:tcPr>
          <w:p w14:paraId="19697FE5"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Revision of Hip Replacement, Major Complexity</w:t>
            </w:r>
          </w:p>
        </w:tc>
        <w:tc>
          <w:tcPr>
            <w:tcW w:w="752" w:type="dxa"/>
            <w:tcBorders>
              <w:top w:val="nil"/>
              <w:left w:val="nil"/>
              <w:bottom w:val="nil"/>
              <w:right w:val="nil"/>
            </w:tcBorders>
            <w:shd w:val="clear" w:color="000000" w:fill="FFFFFF"/>
            <w:noWrap/>
            <w:hideMark/>
          </w:tcPr>
          <w:p w14:paraId="7F5C3EAB" w14:textId="77777777" w:rsidR="00A24567" w:rsidRPr="00D62C98" w:rsidRDefault="00A24567" w:rsidP="00CD460D">
            <w:pPr>
              <w:spacing w:after="0"/>
              <w:jc w:val="right"/>
              <w:rPr>
                <w:b/>
                <w:bCs/>
                <w:color w:val="000000"/>
                <w:sz w:val="15"/>
                <w:szCs w:val="13"/>
                <w:lang w:val="en-US" w:eastAsia="en-US"/>
              </w:rPr>
            </w:pPr>
            <w:r w:rsidRPr="00D62C98">
              <w:rPr>
                <w:b/>
                <w:bCs/>
                <w:color w:val="000000"/>
                <w:sz w:val="15"/>
                <w:szCs w:val="13"/>
                <w:lang w:val="en-US" w:eastAsia="en-US"/>
              </w:rPr>
              <w:t>3.29</w:t>
            </w:r>
          </w:p>
        </w:tc>
        <w:tc>
          <w:tcPr>
            <w:tcW w:w="897" w:type="dxa"/>
            <w:tcBorders>
              <w:top w:val="nil"/>
              <w:left w:val="nil"/>
              <w:bottom w:val="nil"/>
              <w:right w:val="nil"/>
            </w:tcBorders>
            <w:shd w:val="clear" w:color="000000" w:fill="FFFFFF"/>
            <w:noWrap/>
            <w:hideMark/>
          </w:tcPr>
          <w:p w14:paraId="10DD1518"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283</w:t>
            </w:r>
          </w:p>
        </w:tc>
        <w:tc>
          <w:tcPr>
            <w:tcW w:w="735" w:type="dxa"/>
            <w:tcBorders>
              <w:top w:val="nil"/>
              <w:left w:val="nil"/>
              <w:bottom w:val="nil"/>
              <w:right w:val="nil"/>
            </w:tcBorders>
            <w:shd w:val="clear" w:color="000000" w:fill="FFFFFF"/>
            <w:noWrap/>
            <w:hideMark/>
          </w:tcPr>
          <w:p w14:paraId="0C7EEDA6"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11.91</w:t>
            </w:r>
          </w:p>
        </w:tc>
        <w:tc>
          <w:tcPr>
            <w:tcW w:w="679" w:type="dxa"/>
            <w:tcBorders>
              <w:top w:val="nil"/>
              <w:left w:val="nil"/>
              <w:bottom w:val="nil"/>
              <w:right w:val="nil"/>
            </w:tcBorders>
            <w:shd w:val="clear" w:color="000000" w:fill="FFFFFF"/>
            <w:noWrap/>
            <w:hideMark/>
          </w:tcPr>
          <w:p w14:paraId="7C6FA80E"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23.7</w:t>
            </w:r>
          </w:p>
        </w:tc>
        <w:tc>
          <w:tcPr>
            <w:tcW w:w="691" w:type="dxa"/>
            <w:tcBorders>
              <w:top w:val="nil"/>
              <w:left w:val="single" w:sz="4" w:space="0" w:color="000000"/>
              <w:bottom w:val="nil"/>
              <w:right w:val="nil"/>
            </w:tcBorders>
            <w:shd w:val="clear" w:color="000000" w:fill="FFFFFF"/>
            <w:noWrap/>
            <w:hideMark/>
          </w:tcPr>
          <w:p w14:paraId="628F2E79"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13%</w:t>
            </w:r>
          </w:p>
        </w:tc>
        <w:tc>
          <w:tcPr>
            <w:tcW w:w="735" w:type="dxa"/>
            <w:tcBorders>
              <w:top w:val="nil"/>
              <w:left w:val="nil"/>
              <w:bottom w:val="nil"/>
              <w:right w:val="nil"/>
            </w:tcBorders>
            <w:shd w:val="clear" w:color="000000" w:fill="FFFFFF"/>
            <w:noWrap/>
            <w:hideMark/>
          </w:tcPr>
          <w:p w14:paraId="29F6CEDF"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15%</w:t>
            </w:r>
          </w:p>
        </w:tc>
        <w:tc>
          <w:tcPr>
            <w:tcW w:w="752" w:type="dxa"/>
            <w:tcBorders>
              <w:top w:val="nil"/>
              <w:left w:val="nil"/>
              <w:bottom w:val="nil"/>
              <w:right w:val="nil"/>
            </w:tcBorders>
            <w:shd w:val="clear" w:color="000000" w:fill="FFFFFF"/>
            <w:noWrap/>
            <w:hideMark/>
          </w:tcPr>
          <w:p w14:paraId="7C6AFE99"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28%</w:t>
            </w:r>
          </w:p>
        </w:tc>
        <w:tc>
          <w:tcPr>
            <w:tcW w:w="779" w:type="dxa"/>
            <w:tcBorders>
              <w:top w:val="nil"/>
              <w:left w:val="nil"/>
              <w:bottom w:val="nil"/>
              <w:right w:val="nil"/>
            </w:tcBorders>
            <w:shd w:val="clear" w:color="000000" w:fill="FFFFFF"/>
            <w:noWrap/>
            <w:hideMark/>
          </w:tcPr>
          <w:p w14:paraId="2FB63FA0"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44%</w:t>
            </w:r>
          </w:p>
        </w:tc>
        <w:tc>
          <w:tcPr>
            <w:tcW w:w="989" w:type="dxa"/>
            <w:tcBorders>
              <w:top w:val="nil"/>
              <w:left w:val="single" w:sz="4" w:space="0" w:color="auto"/>
              <w:bottom w:val="nil"/>
              <w:right w:val="nil"/>
            </w:tcBorders>
            <w:shd w:val="clear" w:color="000000" w:fill="FFFFFF"/>
            <w:noWrap/>
            <w:hideMark/>
          </w:tcPr>
          <w:p w14:paraId="7DB3A354"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4.13</w:t>
            </w:r>
          </w:p>
        </w:tc>
        <w:tc>
          <w:tcPr>
            <w:tcW w:w="701" w:type="dxa"/>
            <w:tcBorders>
              <w:top w:val="nil"/>
              <w:left w:val="nil"/>
              <w:bottom w:val="nil"/>
              <w:right w:val="nil"/>
            </w:tcBorders>
            <w:shd w:val="clear" w:color="000000" w:fill="FFFFFF"/>
            <w:noWrap/>
            <w:hideMark/>
          </w:tcPr>
          <w:p w14:paraId="6F8DD548"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 xml:space="preserve">20 </w:t>
            </w:r>
          </w:p>
        </w:tc>
      </w:tr>
      <w:tr w:rsidR="00D62C98" w:rsidRPr="00D62C98" w14:paraId="4CC19104" w14:textId="77777777" w:rsidTr="008C0756">
        <w:trPr>
          <w:trHeight w:hRule="exact" w:val="284"/>
          <w:tblHeader/>
        </w:trPr>
        <w:tc>
          <w:tcPr>
            <w:tcW w:w="709" w:type="dxa"/>
            <w:tcBorders>
              <w:top w:val="nil"/>
              <w:left w:val="nil"/>
              <w:bottom w:val="nil"/>
              <w:right w:val="nil"/>
            </w:tcBorders>
            <w:shd w:val="clear" w:color="000000" w:fill="FFFFFF"/>
            <w:noWrap/>
            <w:hideMark/>
          </w:tcPr>
          <w:p w14:paraId="331BB160"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No</w:t>
            </w:r>
          </w:p>
        </w:tc>
        <w:tc>
          <w:tcPr>
            <w:tcW w:w="691" w:type="dxa"/>
            <w:tcBorders>
              <w:top w:val="nil"/>
              <w:left w:val="nil"/>
              <w:bottom w:val="nil"/>
              <w:right w:val="nil"/>
            </w:tcBorders>
            <w:shd w:val="clear" w:color="000000" w:fill="FFFFFF"/>
            <w:noWrap/>
            <w:hideMark/>
          </w:tcPr>
          <w:p w14:paraId="4870848B"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18</w:t>
            </w:r>
          </w:p>
        </w:tc>
        <w:tc>
          <w:tcPr>
            <w:tcW w:w="585" w:type="dxa"/>
            <w:tcBorders>
              <w:top w:val="nil"/>
              <w:left w:val="nil"/>
              <w:bottom w:val="nil"/>
              <w:right w:val="nil"/>
            </w:tcBorders>
            <w:shd w:val="clear" w:color="000000" w:fill="FFFFFF"/>
            <w:noWrap/>
            <w:hideMark/>
          </w:tcPr>
          <w:p w14:paraId="1F99AC14"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F17B</w:t>
            </w:r>
          </w:p>
        </w:tc>
        <w:tc>
          <w:tcPr>
            <w:tcW w:w="4639" w:type="dxa"/>
            <w:tcBorders>
              <w:top w:val="nil"/>
              <w:left w:val="nil"/>
              <w:bottom w:val="nil"/>
              <w:right w:val="nil"/>
            </w:tcBorders>
            <w:shd w:val="clear" w:color="000000" w:fill="FFFFFF"/>
            <w:noWrap/>
            <w:hideMark/>
          </w:tcPr>
          <w:p w14:paraId="656B3E1A"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Insertion and Replacement of Pacemaker Generator, Minor Complexity</w:t>
            </w:r>
          </w:p>
        </w:tc>
        <w:tc>
          <w:tcPr>
            <w:tcW w:w="752" w:type="dxa"/>
            <w:tcBorders>
              <w:top w:val="nil"/>
              <w:left w:val="nil"/>
              <w:bottom w:val="nil"/>
              <w:right w:val="nil"/>
            </w:tcBorders>
            <w:shd w:val="clear" w:color="000000" w:fill="FFFFFF"/>
            <w:noWrap/>
            <w:hideMark/>
          </w:tcPr>
          <w:p w14:paraId="5E3A462F" w14:textId="77777777" w:rsidR="00A24567" w:rsidRPr="00D62C98" w:rsidRDefault="00A24567" w:rsidP="00CD460D">
            <w:pPr>
              <w:spacing w:after="0"/>
              <w:jc w:val="right"/>
              <w:rPr>
                <w:b/>
                <w:bCs/>
                <w:color w:val="000000"/>
                <w:sz w:val="15"/>
                <w:szCs w:val="13"/>
                <w:lang w:val="en-US" w:eastAsia="en-US"/>
              </w:rPr>
            </w:pPr>
            <w:r w:rsidRPr="00D62C98">
              <w:rPr>
                <w:b/>
                <w:bCs/>
                <w:color w:val="000000"/>
                <w:sz w:val="15"/>
                <w:szCs w:val="13"/>
                <w:lang w:val="en-US" w:eastAsia="en-US"/>
              </w:rPr>
              <w:t>3.25</w:t>
            </w:r>
          </w:p>
        </w:tc>
        <w:tc>
          <w:tcPr>
            <w:tcW w:w="897" w:type="dxa"/>
            <w:tcBorders>
              <w:top w:val="nil"/>
              <w:left w:val="nil"/>
              <w:bottom w:val="nil"/>
              <w:right w:val="nil"/>
            </w:tcBorders>
            <w:shd w:val="clear" w:color="000000" w:fill="FFFFFF"/>
            <w:noWrap/>
            <w:hideMark/>
          </w:tcPr>
          <w:p w14:paraId="7CA351A3"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1,918</w:t>
            </w:r>
          </w:p>
        </w:tc>
        <w:tc>
          <w:tcPr>
            <w:tcW w:w="735" w:type="dxa"/>
            <w:tcBorders>
              <w:top w:val="nil"/>
              <w:left w:val="nil"/>
              <w:bottom w:val="nil"/>
              <w:right w:val="nil"/>
            </w:tcBorders>
            <w:shd w:val="clear" w:color="000000" w:fill="FFFFFF"/>
            <w:noWrap/>
            <w:hideMark/>
          </w:tcPr>
          <w:p w14:paraId="207FCEE1"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4.08</w:t>
            </w:r>
          </w:p>
        </w:tc>
        <w:tc>
          <w:tcPr>
            <w:tcW w:w="679" w:type="dxa"/>
            <w:tcBorders>
              <w:top w:val="nil"/>
              <w:left w:val="nil"/>
              <w:bottom w:val="nil"/>
              <w:right w:val="nil"/>
            </w:tcBorders>
            <w:shd w:val="clear" w:color="000000" w:fill="FFFFFF"/>
            <w:noWrap/>
            <w:hideMark/>
          </w:tcPr>
          <w:p w14:paraId="62306088"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1.2</w:t>
            </w:r>
          </w:p>
        </w:tc>
        <w:tc>
          <w:tcPr>
            <w:tcW w:w="691" w:type="dxa"/>
            <w:tcBorders>
              <w:top w:val="nil"/>
              <w:left w:val="single" w:sz="4" w:space="0" w:color="000000"/>
              <w:bottom w:val="nil"/>
              <w:right w:val="nil"/>
            </w:tcBorders>
            <w:shd w:val="clear" w:color="000000" w:fill="FFFFFF"/>
            <w:noWrap/>
            <w:hideMark/>
          </w:tcPr>
          <w:p w14:paraId="74F43697"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12%</w:t>
            </w:r>
          </w:p>
        </w:tc>
        <w:tc>
          <w:tcPr>
            <w:tcW w:w="735" w:type="dxa"/>
            <w:tcBorders>
              <w:top w:val="nil"/>
              <w:left w:val="nil"/>
              <w:bottom w:val="nil"/>
              <w:right w:val="nil"/>
            </w:tcBorders>
            <w:shd w:val="clear" w:color="000000" w:fill="FFFFFF"/>
            <w:noWrap/>
            <w:hideMark/>
          </w:tcPr>
          <w:p w14:paraId="57DF425A"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w:t>
            </w:r>
          </w:p>
        </w:tc>
        <w:tc>
          <w:tcPr>
            <w:tcW w:w="752" w:type="dxa"/>
            <w:tcBorders>
              <w:top w:val="nil"/>
              <w:left w:val="nil"/>
              <w:bottom w:val="nil"/>
              <w:right w:val="nil"/>
            </w:tcBorders>
            <w:shd w:val="clear" w:color="000000" w:fill="FFFFFF"/>
            <w:noWrap/>
            <w:hideMark/>
          </w:tcPr>
          <w:p w14:paraId="2B016E82"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80%</w:t>
            </w:r>
          </w:p>
        </w:tc>
        <w:tc>
          <w:tcPr>
            <w:tcW w:w="779" w:type="dxa"/>
            <w:tcBorders>
              <w:top w:val="nil"/>
              <w:left w:val="nil"/>
              <w:bottom w:val="nil"/>
              <w:right w:val="nil"/>
            </w:tcBorders>
            <w:shd w:val="clear" w:color="000000" w:fill="FFFFFF"/>
            <w:noWrap/>
            <w:hideMark/>
          </w:tcPr>
          <w:p w14:paraId="70F935B5"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7%</w:t>
            </w:r>
          </w:p>
        </w:tc>
        <w:tc>
          <w:tcPr>
            <w:tcW w:w="989" w:type="dxa"/>
            <w:tcBorders>
              <w:top w:val="nil"/>
              <w:left w:val="single" w:sz="4" w:space="0" w:color="auto"/>
              <w:bottom w:val="nil"/>
              <w:right w:val="nil"/>
            </w:tcBorders>
            <w:shd w:val="clear" w:color="000000" w:fill="FFFFFF"/>
            <w:noWrap/>
            <w:hideMark/>
          </w:tcPr>
          <w:p w14:paraId="238E61B5"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3.94</w:t>
            </w:r>
          </w:p>
        </w:tc>
        <w:tc>
          <w:tcPr>
            <w:tcW w:w="701" w:type="dxa"/>
            <w:tcBorders>
              <w:top w:val="nil"/>
              <w:left w:val="nil"/>
              <w:bottom w:val="nil"/>
              <w:right w:val="nil"/>
            </w:tcBorders>
            <w:shd w:val="clear" w:color="000000" w:fill="FFFFFF"/>
            <w:noWrap/>
            <w:hideMark/>
          </w:tcPr>
          <w:p w14:paraId="28472776"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 xml:space="preserve">23 </w:t>
            </w:r>
          </w:p>
        </w:tc>
      </w:tr>
      <w:tr w:rsidR="00D62C98" w:rsidRPr="00D62C98" w14:paraId="1DC05C0D" w14:textId="77777777" w:rsidTr="008C0756">
        <w:trPr>
          <w:trHeight w:hRule="exact" w:val="284"/>
          <w:tblHeader/>
        </w:trPr>
        <w:tc>
          <w:tcPr>
            <w:tcW w:w="709" w:type="dxa"/>
            <w:tcBorders>
              <w:top w:val="nil"/>
              <w:left w:val="nil"/>
              <w:bottom w:val="nil"/>
              <w:right w:val="nil"/>
            </w:tcBorders>
            <w:shd w:val="clear" w:color="000000" w:fill="FFFFFF"/>
            <w:noWrap/>
            <w:hideMark/>
          </w:tcPr>
          <w:p w14:paraId="38E5144E"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Yes</w:t>
            </w:r>
          </w:p>
        </w:tc>
        <w:tc>
          <w:tcPr>
            <w:tcW w:w="691" w:type="dxa"/>
            <w:tcBorders>
              <w:top w:val="nil"/>
              <w:left w:val="nil"/>
              <w:bottom w:val="nil"/>
              <w:right w:val="nil"/>
            </w:tcBorders>
            <w:shd w:val="clear" w:color="000000" w:fill="FFFFFF"/>
            <w:noWrap/>
            <w:hideMark/>
          </w:tcPr>
          <w:p w14:paraId="4748C39C" w14:textId="77777777"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19</w:t>
            </w:r>
          </w:p>
        </w:tc>
        <w:tc>
          <w:tcPr>
            <w:tcW w:w="585" w:type="dxa"/>
            <w:tcBorders>
              <w:top w:val="nil"/>
              <w:left w:val="nil"/>
              <w:bottom w:val="nil"/>
              <w:right w:val="nil"/>
            </w:tcBorders>
            <w:shd w:val="clear" w:color="000000" w:fill="FFFFFF"/>
            <w:noWrap/>
            <w:hideMark/>
          </w:tcPr>
          <w:p w14:paraId="4D851841"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F04A</w:t>
            </w:r>
          </w:p>
        </w:tc>
        <w:tc>
          <w:tcPr>
            <w:tcW w:w="4639" w:type="dxa"/>
            <w:tcBorders>
              <w:top w:val="nil"/>
              <w:left w:val="nil"/>
              <w:bottom w:val="nil"/>
              <w:right w:val="nil"/>
            </w:tcBorders>
            <w:shd w:val="clear" w:color="000000" w:fill="FFFFFF"/>
            <w:noWrap/>
            <w:hideMark/>
          </w:tcPr>
          <w:p w14:paraId="060054A0"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Cardiac Valve Procedures W CPB Pump W/O Invasive Cardiac Invest, Major Comp</w:t>
            </w:r>
          </w:p>
        </w:tc>
        <w:tc>
          <w:tcPr>
            <w:tcW w:w="752" w:type="dxa"/>
            <w:tcBorders>
              <w:top w:val="nil"/>
              <w:left w:val="nil"/>
              <w:bottom w:val="nil"/>
              <w:right w:val="nil"/>
            </w:tcBorders>
            <w:shd w:val="clear" w:color="000000" w:fill="FFFFFF"/>
            <w:noWrap/>
            <w:hideMark/>
          </w:tcPr>
          <w:p w14:paraId="55BB3DE3" w14:textId="77777777" w:rsidR="00A24567" w:rsidRPr="00D62C98" w:rsidRDefault="00A24567" w:rsidP="00CD460D">
            <w:pPr>
              <w:spacing w:after="0"/>
              <w:jc w:val="right"/>
              <w:rPr>
                <w:b/>
                <w:bCs/>
                <w:color w:val="000000"/>
                <w:sz w:val="15"/>
                <w:szCs w:val="13"/>
                <w:lang w:val="en-US" w:eastAsia="en-US"/>
              </w:rPr>
            </w:pPr>
            <w:r w:rsidRPr="00D62C98">
              <w:rPr>
                <w:b/>
                <w:bCs/>
                <w:color w:val="000000"/>
                <w:sz w:val="15"/>
                <w:szCs w:val="13"/>
                <w:lang w:val="en-US" w:eastAsia="en-US"/>
              </w:rPr>
              <w:t>3.15</w:t>
            </w:r>
          </w:p>
        </w:tc>
        <w:tc>
          <w:tcPr>
            <w:tcW w:w="897" w:type="dxa"/>
            <w:tcBorders>
              <w:top w:val="nil"/>
              <w:left w:val="nil"/>
              <w:bottom w:val="nil"/>
              <w:right w:val="nil"/>
            </w:tcBorders>
            <w:shd w:val="clear" w:color="000000" w:fill="FFFFFF"/>
            <w:noWrap/>
            <w:hideMark/>
          </w:tcPr>
          <w:p w14:paraId="0B421D69"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291</w:t>
            </w:r>
          </w:p>
        </w:tc>
        <w:tc>
          <w:tcPr>
            <w:tcW w:w="735" w:type="dxa"/>
            <w:tcBorders>
              <w:top w:val="nil"/>
              <w:left w:val="nil"/>
              <w:bottom w:val="nil"/>
              <w:right w:val="nil"/>
            </w:tcBorders>
            <w:shd w:val="clear" w:color="000000" w:fill="FFFFFF"/>
            <w:noWrap/>
            <w:hideMark/>
          </w:tcPr>
          <w:p w14:paraId="026F06DC"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16.52</w:t>
            </w:r>
          </w:p>
        </w:tc>
        <w:tc>
          <w:tcPr>
            <w:tcW w:w="679" w:type="dxa"/>
            <w:tcBorders>
              <w:top w:val="nil"/>
              <w:left w:val="nil"/>
              <w:bottom w:val="nil"/>
              <w:right w:val="nil"/>
            </w:tcBorders>
            <w:shd w:val="clear" w:color="000000" w:fill="FFFFFF"/>
            <w:noWrap/>
            <w:hideMark/>
          </w:tcPr>
          <w:p w14:paraId="7866E4DC"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24.4</w:t>
            </w:r>
          </w:p>
        </w:tc>
        <w:tc>
          <w:tcPr>
            <w:tcW w:w="691" w:type="dxa"/>
            <w:tcBorders>
              <w:top w:val="nil"/>
              <w:left w:val="single" w:sz="4" w:space="0" w:color="000000"/>
              <w:bottom w:val="nil"/>
              <w:right w:val="nil"/>
            </w:tcBorders>
            <w:shd w:val="clear" w:color="000000" w:fill="FFFFFF"/>
            <w:noWrap/>
            <w:hideMark/>
          </w:tcPr>
          <w:p w14:paraId="1E66BBF2"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14%</w:t>
            </w:r>
          </w:p>
        </w:tc>
        <w:tc>
          <w:tcPr>
            <w:tcW w:w="735" w:type="dxa"/>
            <w:tcBorders>
              <w:top w:val="nil"/>
              <w:left w:val="nil"/>
              <w:bottom w:val="nil"/>
              <w:right w:val="nil"/>
            </w:tcBorders>
            <w:shd w:val="clear" w:color="000000" w:fill="FFFFFF"/>
            <w:noWrap/>
            <w:hideMark/>
          </w:tcPr>
          <w:p w14:paraId="6644EC3B"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35%</w:t>
            </w:r>
          </w:p>
        </w:tc>
        <w:tc>
          <w:tcPr>
            <w:tcW w:w="752" w:type="dxa"/>
            <w:tcBorders>
              <w:top w:val="nil"/>
              <w:left w:val="nil"/>
              <w:bottom w:val="nil"/>
              <w:right w:val="nil"/>
            </w:tcBorders>
            <w:shd w:val="clear" w:color="000000" w:fill="FFFFFF"/>
            <w:noWrap/>
            <w:hideMark/>
          </w:tcPr>
          <w:p w14:paraId="7D2791E9"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19%</w:t>
            </w:r>
          </w:p>
        </w:tc>
        <w:tc>
          <w:tcPr>
            <w:tcW w:w="779" w:type="dxa"/>
            <w:tcBorders>
              <w:top w:val="nil"/>
              <w:left w:val="nil"/>
              <w:bottom w:val="nil"/>
              <w:right w:val="nil"/>
            </w:tcBorders>
            <w:shd w:val="clear" w:color="000000" w:fill="FFFFFF"/>
            <w:noWrap/>
            <w:hideMark/>
          </w:tcPr>
          <w:p w14:paraId="721588DC"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32%</w:t>
            </w:r>
          </w:p>
        </w:tc>
        <w:tc>
          <w:tcPr>
            <w:tcW w:w="989" w:type="dxa"/>
            <w:tcBorders>
              <w:top w:val="nil"/>
              <w:left w:val="single" w:sz="4" w:space="0" w:color="auto"/>
              <w:bottom w:val="nil"/>
              <w:right w:val="nil"/>
            </w:tcBorders>
            <w:shd w:val="clear" w:color="000000" w:fill="FFFFFF"/>
            <w:noWrap/>
            <w:hideMark/>
          </w:tcPr>
          <w:p w14:paraId="3F304B72"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4.91</w:t>
            </w:r>
          </w:p>
        </w:tc>
        <w:tc>
          <w:tcPr>
            <w:tcW w:w="701" w:type="dxa"/>
            <w:tcBorders>
              <w:top w:val="nil"/>
              <w:left w:val="nil"/>
              <w:bottom w:val="nil"/>
              <w:right w:val="nil"/>
            </w:tcBorders>
            <w:shd w:val="clear" w:color="000000" w:fill="FFFFFF"/>
            <w:noWrap/>
            <w:hideMark/>
          </w:tcPr>
          <w:p w14:paraId="3ACB2111"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 xml:space="preserve">13 </w:t>
            </w:r>
          </w:p>
        </w:tc>
      </w:tr>
      <w:tr w:rsidR="00D62C98" w:rsidRPr="00D62C98" w14:paraId="05668E99" w14:textId="77777777" w:rsidTr="008C0756">
        <w:trPr>
          <w:trHeight w:hRule="exact" w:val="284"/>
          <w:tblHeader/>
        </w:trPr>
        <w:tc>
          <w:tcPr>
            <w:tcW w:w="709" w:type="dxa"/>
            <w:tcBorders>
              <w:top w:val="nil"/>
              <w:left w:val="nil"/>
              <w:bottom w:val="nil"/>
              <w:right w:val="nil"/>
            </w:tcBorders>
            <w:shd w:val="clear" w:color="000000" w:fill="FFFFFF"/>
            <w:noWrap/>
            <w:hideMark/>
          </w:tcPr>
          <w:p w14:paraId="77980E26" w14:textId="77777777" w:rsidR="00A24567" w:rsidRPr="00D62C98" w:rsidRDefault="00A24567" w:rsidP="00A24567">
            <w:pPr>
              <w:jc w:val="center"/>
              <w:rPr>
                <w:color w:val="000000"/>
                <w:sz w:val="15"/>
                <w:szCs w:val="13"/>
                <w:lang w:val="en-US" w:eastAsia="en-US"/>
              </w:rPr>
            </w:pPr>
            <w:r w:rsidRPr="00D62C98">
              <w:rPr>
                <w:color w:val="000000"/>
                <w:sz w:val="15"/>
                <w:szCs w:val="13"/>
                <w:lang w:val="en-US" w:eastAsia="en-US"/>
              </w:rPr>
              <w:t>No</w:t>
            </w:r>
          </w:p>
        </w:tc>
        <w:tc>
          <w:tcPr>
            <w:tcW w:w="691" w:type="dxa"/>
            <w:tcBorders>
              <w:top w:val="nil"/>
              <w:left w:val="nil"/>
              <w:bottom w:val="nil"/>
              <w:right w:val="nil"/>
            </w:tcBorders>
            <w:shd w:val="clear" w:color="000000" w:fill="FFFFFF"/>
            <w:noWrap/>
            <w:hideMark/>
          </w:tcPr>
          <w:p w14:paraId="1F63C72F" w14:textId="77777777" w:rsidR="00A24567" w:rsidRPr="00D62C98" w:rsidRDefault="00A24567" w:rsidP="00A24567">
            <w:pPr>
              <w:jc w:val="center"/>
              <w:rPr>
                <w:color w:val="000000"/>
                <w:sz w:val="15"/>
                <w:szCs w:val="13"/>
                <w:lang w:val="en-US" w:eastAsia="en-US"/>
              </w:rPr>
            </w:pPr>
            <w:r w:rsidRPr="00D62C98">
              <w:rPr>
                <w:color w:val="000000"/>
                <w:sz w:val="15"/>
                <w:szCs w:val="13"/>
                <w:lang w:val="en-US" w:eastAsia="en-US"/>
              </w:rPr>
              <w:t>20</w:t>
            </w:r>
          </w:p>
        </w:tc>
        <w:tc>
          <w:tcPr>
            <w:tcW w:w="585" w:type="dxa"/>
            <w:tcBorders>
              <w:top w:val="nil"/>
              <w:left w:val="nil"/>
              <w:bottom w:val="nil"/>
              <w:right w:val="nil"/>
            </w:tcBorders>
            <w:shd w:val="clear" w:color="000000" w:fill="FFFFFF"/>
            <w:noWrap/>
            <w:hideMark/>
          </w:tcPr>
          <w:p w14:paraId="51DD27D2" w14:textId="77777777" w:rsidR="00A24567" w:rsidRPr="00D62C98" w:rsidRDefault="00A24567" w:rsidP="00A24567">
            <w:pPr>
              <w:rPr>
                <w:color w:val="000000"/>
                <w:sz w:val="15"/>
                <w:szCs w:val="13"/>
                <w:lang w:val="en-US" w:eastAsia="en-US"/>
              </w:rPr>
            </w:pPr>
            <w:r w:rsidRPr="00D62C98">
              <w:rPr>
                <w:color w:val="000000"/>
                <w:sz w:val="15"/>
                <w:szCs w:val="13"/>
                <w:lang w:val="en-US" w:eastAsia="en-US"/>
              </w:rPr>
              <w:t>I31B</w:t>
            </w:r>
          </w:p>
        </w:tc>
        <w:tc>
          <w:tcPr>
            <w:tcW w:w="4639" w:type="dxa"/>
            <w:tcBorders>
              <w:top w:val="nil"/>
              <w:left w:val="nil"/>
              <w:bottom w:val="nil"/>
              <w:right w:val="nil"/>
            </w:tcBorders>
            <w:shd w:val="clear" w:color="000000" w:fill="FFFFFF"/>
            <w:noWrap/>
            <w:hideMark/>
          </w:tcPr>
          <w:p w14:paraId="2C4D83A6" w14:textId="77777777" w:rsidR="00A24567" w:rsidRPr="00D62C98" w:rsidRDefault="00A24567" w:rsidP="00A24567">
            <w:pPr>
              <w:rPr>
                <w:color w:val="000000"/>
                <w:sz w:val="15"/>
                <w:szCs w:val="13"/>
                <w:lang w:val="en-US" w:eastAsia="en-US"/>
              </w:rPr>
            </w:pPr>
            <w:r w:rsidRPr="00D62C98">
              <w:rPr>
                <w:color w:val="000000"/>
                <w:sz w:val="15"/>
                <w:szCs w:val="13"/>
                <w:lang w:val="en-US" w:eastAsia="en-US"/>
              </w:rPr>
              <w:t>Revision of Hip Replacement, Intermediate Complexity</w:t>
            </w:r>
          </w:p>
        </w:tc>
        <w:tc>
          <w:tcPr>
            <w:tcW w:w="752" w:type="dxa"/>
            <w:tcBorders>
              <w:top w:val="nil"/>
              <w:left w:val="nil"/>
              <w:bottom w:val="nil"/>
              <w:right w:val="nil"/>
            </w:tcBorders>
            <w:shd w:val="clear" w:color="000000" w:fill="FFFFFF"/>
            <w:noWrap/>
            <w:hideMark/>
          </w:tcPr>
          <w:p w14:paraId="34C04169" w14:textId="77777777" w:rsidR="00A24567" w:rsidRPr="00D62C98" w:rsidRDefault="00A24567" w:rsidP="00A24567">
            <w:pPr>
              <w:jc w:val="right"/>
              <w:rPr>
                <w:b/>
                <w:bCs/>
                <w:color w:val="000000"/>
                <w:sz w:val="15"/>
                <w:szCs w:val="13"/>
                <w:lang w:val="en-US" w:eastAsia="en-US"/>
              </w:rPr>
            </w:pPr>
            <w:r w:rsidRPr="00D62C98">
              <w:rPr>
                <w:b/>
                <w:bCs/>
                <w:color w:val="000000"/>
                <w:sz w:val="15"/>
                <w:szCs w:val="13"/>
                <w:lang w:val="en-US" w:eastAsia="en-US"/>
              </w:rPr>
              <w:t>3.03</w:t>
            </w:r>
          </w:p>
        </w:tc>
        <w:tc>
          <w:tcPr>
            <w:tcW w:w="897" w:type="dxa"/>
            <w:tcBorders>
              <w:top w:val="nil"/>
              <w:left w:val="nil"/>
              <w:bottom w:val="nil"/>
              <w:right w:val="nil"/>
            </w:tcBorders>
            <w:shd w:val="clear" w:color="000000" w:fill="FFFFFF"/>
            <w:noWrap/>
            <w:hideMark/>
          </w:tcPr>
          <w:p w14:paraId="4E9A2545" w14:textId="77777777" w:rsidR="00A24567" w:rsidRPr="00D62C98" w:rsidRDefault="00A24567" w:rsidP="00A24567">
            <w:pPr>
              <w:jc w:val="right"/>
              <w:rPr>
                <w:color w:val="000000"/>
                <w:sz w:val="15"/>
                <w:szCs w:val="13"/>
                <w:lang w:val="en-US" w:eastAsia="en-US"/>
              </w:rPr>
            </w:pPr>
            <w:r w:rsidRPr="00D62C98">
              <w:rPr>
                <w:color w:val="000000"/>
                <w:sz w:val="15"/>
                <w:szCs w:val="13"/>
                <w:lang w:val="en-US" w:eastAsia="en-US"/>
              </w:rPr>
              <w:t>991</w:t>
            </w:r>
          </w:p>
        </w:tc>
        <w:tc>
          <w:tcPr>
            <w:tcW w:w="735" w:type="dxa"/>
            <w:tcBorders>
              <w:top w:val="nil"/>
              <w:left w:val="nil"/>
              <w:bottom w:val="nil"/>
              <w:right w:val="nil"/>
            </w:tcBorders>
            <w:shd w:val="clear" w:color="000000" w:fill="FFFFFF"/>
            <w:noWrap/>
            <w:hideMark/>
          </w:tcPr>
          <w:p w14:paraId="0A94B6E4" w14:textId="6C05F111" w:rsidR="00A24567" w:rsidRPr="00D62C98" w:rsidRDefault="00A24567" w:rsidP="00A24567">
            <w:pPr>
              <w:jc w:val="right"/>
              <w:rPr>
                <w:color w:val="000000"/>
                <w:sz w:val="15"/>
                <w:szCs w:val="13"/>
                <w:lang w:val="en-US" w:eastAsia="en-US"/>
              </w:rPr>
            </w:pPr>
            <w:r w:rsidRPr="00D62C98">
              <w:rPr>
                <w:color w:val="000000"/>
                <w:sz w:val="15"/>
                <w:szCs w:val="13"/>
                <w:lang w:val="en-US" w:eastAsia="en-US"/>
              </w:rPr>
              <w:t>7.39</w:t>
            </w:r>
          </w:p>
        </w:tc>
        <w:tc>
          <w:tcPr>
            <w:tcW w:w="679" w:type="dxa"/>
            <w:tcBorders>
              <w:top w:val="nil"/>
              <w:left w:val="nil"/>
              <w:bottom w:val="nil"/>
              <w:right w:val="nil"/>
            </w:tcBorders>
            <w:shd w:val="clear" w:color="000000" w:fill="FFFFFF"/>
            <w:noWrap/>
            <w:hideMark/>
          </w:tcPr>
          <w:p w14:paraId="0638EEBF" w14:textId="77777777" w:rsidR="00A24567" w:rsidRPr="00D62C98" w:rsidRDefault="00A24567" w:rsidP="00A24567">
            <w:pPr>
              <w:jc w:val="right"/>
              <w:rPr>
                <w:color w:val="000000"/>
                <w:sz w:val="15"/>
                <w:szCs w:val="13"/>
                <w:lang w:val="en-US" w:eastAsia="en-US"/>
              </w:rPr>
            </w:pPr>
            <w:r w:rsidRPr="00D62C98">
              <w:rPr>
                <w:color w:val="000000"/>
                <w:sz w:val="15"/>
                <w:szCs w:val="13"/>
                <w:lang w:val="en-US" w:eastAsia="en-US"/>
              </w:rPr>
              <w:t>11.0</w:t>
            </w:r>
          </w:p>
        </w:tc>
        <w:tc>
          <w:tcPr>
            <w:tcW w:w="691" w:type="dxa"/>
            <w:tcBorders>
              <w:top w:val="nil"/>
              <w:left w:val="single" w:sz="4" w:space="0" w:color="000000"/>
              <w:bottom w:val="nil"/>
              <w:right w:val="nil"/>
            </w:tcBorders>
            <w:shd w:val="clear" w:color="000000" w:fill="FFFFFF"/>
            <w:noWrap/>
            <w:hideMark/>
          </w:tcPr>
          <w:p w14:paraId="512BC56A" w14:textId="77777777" w:rsidR="00A24567" w:rsidRPr="00D62C98" w:rsidRDefault="00A24567" w:rsidP="00A24567">
            <w:pPr>
              <w:jc w:val="right"/>
              <w:rPr>
                <w:color w:val="000000"/>
                <w:sz w:val="15"/>
                <w:szCs w:val="13"/>
                <w:lang w:val="en-US" w:eastAsia="en-US"/>
              </w:rPr>
            </w:pPr>
            <w:r w:rsidRPr="00D62C98">
              <w:rPr>
                <w:color w:val="000000"/>
                <w:sz w:val="15"/>
                <w:szCs w:val="13"/>
                <w:lang w:val="en-US" w:eastAsia="en-US"/>
              </w:rPr>
              <w:t>17%</w:t>
            </w:r>
          </w:p>
        </w:tc>
        <w:tc>
          <w:tcPr>
            <w:tcW w:w="735" w:type="dxa"/>
            <w:tcBorders>
              <w:top w:val="nil"/>
              <w:left w:val="nil"/>
              <w:bottom w:val="nil"/>
              <w:right w:val="nil"/>
            </w:tcBorders>
            <w:shd w:val="clear" w:color="000000" w:fill="FFFFFF"/>
            <w:noWrap/>
            <w:hideMark/>
          </w:tcPr>
          <w:p w14:paraId="17415DE9" w14:textId="77777777" w:rsidR="00A24567" w:rsidRPr="00D62C98" w:rsidRDefault="00A24567" w:rsidP="00A24567">
            <w:pPr>
              <w:jc w:val="right"/>
              <w:rPr>
                <w:color w:val="000000"/>
                <w:sz w:val="15"/>
                <w:szCs w:val="13"/>
                <w:lang w:val="en-US" w:eastAsia="en-US"/>
              </w:rPr>
            </w:pPr>
            <w:r w:rsidRPr="00D62C98">
              <w:rPr>
                <w:color w:val="000000"/>
                <w:sz w:val="15"/>
                <w:szCs w:val="13"/>
                <w:lang w:val="en-US" w:eastAsia="en-US"/>
              </w:rPr>
              <w:t>8%</w:t>
            </w:r>
          </w:p>
        </w:tc>
        <w:tc>
          <w:tcPr>
            <w:tcW w:w="752" w:type="dxa"/>
            <w:tcBorders>
              <w:top w:val="nil"/>
              <w:left w:val="nil"/>
              <w:bottom w:val="nil"/>
              <w:right w:val="nil"/>
            </w:tcBorders>
            <w:shd w:val="clear" w:color="000000" w:fill="FFFFFF"/>
            <w:noWrap/>
            <w:hideMark/>
          </w:tcPr>
          <w:p w14:paraId="41BC646C" w14:textId="77777777" w:rsidR="00A24567" w:rsidRPr="00D62C98" w:rsidRDefault="00A24567" w:rsidP="00A24567">
            <w:pPr>
              <w:jc w:val="right"/>
              <w:rPr>
                <w:color w:val="000000"/>
                <w:sz w:val="15"/>
                <w:szCs w:val="13"/>
                <w:lang w:val="en-US" w:eastAsia="en-US"/>
              </w:rPr>
            </w:pPr>
            <w:r w:rsidRPr="00D62C98">
              <w:rPr>
                <w:color w:val="000000"/>
                <w:sz w:val="15"/>
                <w:szCs w:val="13"/>
                <w:lang w:val="en-US" w:eastAsia="en-US"/>
              </w:rPr>
              <w:t>41%</w:t>
            </w:r>
          </w:p>
        </w:tc>
        <w:tc>
          <w:tcPr>
            <w:tcW w:w="779" w:type="dxa"/>
            <w:tcBorders>
              <w:top w:val="nil"/>
              <w:left w:val="nil"/>
              <w:bottom w:val="nil"/>
              <w:right w:val="nil"/>
            </w:tcBorders>
            <w:shd w:val="clear" w:color="000000" w:fill="FFFFFF"/>
            <w:noWrap/>
            <w:hideMark/>
          </w:tcPr>
          <w:p w14:paraId="73656696" w14:textId="77777777" w:rsidR="00A24567" w:rsidRPr="00D62C98" w:rsidRDefault="00A24567" w:rsidP="00A24567">
            <w:pPr>
              <w:jc w:val="right"/>
              <w:rPr>
                <w:color w:val="000000"/>
                <w:sz w:val="15"/>
                <w:szCs w:val="13"/>
                <w:lang w:val="en-US" w:eastAsia="en-US"/>
              </w:rPr>
            </w:pPr>
            <w:r w:rsidRPr="00D62C98">
              <w:rPr>
                <w:color w:val="000000"/>
                <w:sz w:val="15"/>
                <w:szCs w:val="13"/>
                <w:lang w:val="en-US" w:eastAsia="en-US"/>
              </w:rPr>
              <w:t>35%</w:t>
            </w:r>
          </w:p>
        </w:tc>
        <w:tc>
          <w:tcPr>
            <w:tcW w:w="989" w:type="dxa"/>
            <w:tcBorders>
              <w:top w:val="nil"/>
              <w:left w:val="single" w:sz="4" w:space="0" w:color="auto"/>
              <w:bottom w:val="nil"/>
              <w:right w:val="nil"/>
            </w:tcBorders>
            <w:shd w:val="clear" w:color="000000" w:fill="FFFFFF"/>
            <w:noWrap/>
            <w:hideMark/>
          </w:tcPr>
          <w:p w14:paraId="141D8327" w14:textId="77777777" w:rsidR="00A24567" w:rsidRPr="00D62C98" w:rsidRDefault="00A24567" w:rsidP="00A24567">
            <w:pPr>
              <w:jc w:val="right"/>
              <w:rPr>
                <w:color w:val="000000"/>
                <w:sz w:val="15"/>
                <w:szCs w:val="13"/>
                <w:lang w:val="en-US" w:eastAsia="en-US"/>
              </w:rPr>
            </w:pPr>
            <w:r w:rsidRPr="00D62C98">
              <w:rPr>
                <w:color w:val="000000"/>
                <w:sz w:val="15"/>
                <w:szCs w:val="13"/>
                <w:lang w:val="en-US" w:eastAsia="en-US"/>
              </w:rPr>
              <w:t>3.74</w:t>
            </w:r>
          </w:p>
        </w:tc>
        <w:tc>
          <w:tcPr>
            <w:tcW w:w="701" w:type="dxa"/>
            <w:tcBorders>
              <w:top w:val="nil"/>
              <w:left w:val="nil"/>
              <w:bottom w:val="nil"/>
              <w:right w:val="nil"/>
            </w:tcBorders>
            <w:shd w:val="clear" w:color="000000" w:fill="FFFFFF"/>
            <w:noWrap/>
            <w:hideMark/>
          </w:tcPr>
          <w:p w14:paraId="4B3D2FFB" w14:textId="77777777" w:rsidR="00A24567" w:rsidRPr="00D62C98" w:rsidRDefault="00A24567" w:rsidP="00A24567">
            <w:pPr>
              <w:jc w:val="right"/>
              <w:rPr>
                <w:color w:val="000000"/>
                <w:sz w:val="15"/>
                <w:szCs w:val="13"/>
                <w:lang w:val="en-US" w:eastAsia="en-US"/>
              </w:rPr>
            </w:pPr>
            <w:r w:rsidRPr="00D62C98">
              <w:rPr>
                <w:color w:val="000000"/>
                <w:sz w:val="15"/>
                <w:szCs w:val="13"/>
                <w:lang w:val="en-US" w:eastAsia="en-US"/>
              </w:rPr>
              <w:t xml:space="preserve">26 </w:t>
            </w:r>
          </w:p>
        </w:tc>
      </w:tr>
      <w:tr w:rsidR="00D62C98" w:rsidRPr="00D62C98" w14:paraId="55AE1311" w14:textId="77777777" w:rsidTr="008C0756">
        <w:trPr>
          <w:trHeight w:val="193"/>
          <w:tblHeader/>
        </w:trPr>
        <w:tc>
          <w:tcPr>
            <w:tcW w:w="709" w:type="dxa"/>
            <w:tcBorders>
              <w:top w:val="single" w:sz="4" w:space="0" w:color="auto"/>
              <w:left w:val="nil"/>
              <w:bottom w:val="nil"/>
              <w:right w:val="nil"/>
            </w:tcBorders>
            <w:shd w:val="clear" w:color="000000" w:fill="FFFFFF"/>
            <w:noWrap/>
            <w:hideMark/>
          </w:tcPr>
          <w:p w14:paraId="4A7931F6" w14:textId="0DC9E189" w:rsidR="00A24567" w:rsidRPr="00D62C98" w:rsidRDefault="00A24567" w:rsidP="00CD460D">
            <w:pPr>
              <w:spacing w:after="0"/>
              <w:jc w:val="center"/>
              <w:rPr>
                <w:color w:val="000000"/>
                <w:sz w:val="15"/>
                <w:szCs w:val="13"/>
                <w:lang w:val="en-US" w:eastAsia="en-US"/>
              </w:rPr>
            </w:pPr>
            <w:r w:rsidRPr="00D62C98">
              <w:rPr>
                <w:color w:val="000000"/>
                <w:sz w:val="15"/>
                <w:szCs w:val="13"/>
                <w:lang w:val="en-US" w:eastAsia="en-US"/>
              </w:rPr>
              <w:t>16</w:t>
            </w:r>
            <w:r w:rsidR="00D62C98">
              <w:rPr>
                <w:color w:val="000000"/>
                <w:sz w:val="15"/>
                <w:szCs w:val="13"/>
                <w:lang w:val="en-US" w:eastAsia="en-US"/>
              </w:rPr>
              <w:t xml:space="preserve"> in top 20</w:t>
            </w:r>
          </w:p>
        </w:tc>
        <w:tc>
          <w:tcPr>
            <w:tcW w:w="691" w:type="dxa"/>
            <w:tcBorders>
              <w:top w:val="single" w:sz="4" w:space="0" w:color="000000"/>
              <w:left w:val="nil"/>
              <w:bottom w:val="nil"/>
              <w:right w:val="nil"/>
            </w:tcBorders>
            <w:shd w:val="clear" w:color="000000" w:fill="FFFFFF"/>
            <w:noWrap/>
            <w:hideMark/>
          </w:tcPr>
          <w:p w14:paraId="267E94EB"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 </w:t>
            </w:r>
          </w:p>
        </w:tc>
        <w:tc>
          <w:tcPr>
            <w:tcW w:w="5224" w:type="dxa"/>
            <w:gridSpan w:val="2"/>
            <w:tcBorders>
              <w:top w:val="single" w:sz="4" w:space="0" w:color="000000"/>
              <w:left w:val="nil"/>
              <w:bottom w:val="nil"/>
              <w:right w:val="nil"/>
            </w:tcBorders>
            <w:shd w:val="clear" w:color="000000" w:fill="FFFFFF"/>
            <w:noWrap/>
            <w:hideMark/>
          </w:tcPr>
          <w:p w14:paraId="6123BA16" w14:textId="77777777" w:rsidR="00A24567" w:rsidRPr="00D62C98" w:rsidRDefault="00A24567" w:rsidP="00CD460D">
            <w:pPr>
              <w:spacing w:after="0"/>
              <w:rPr>
                <w:b/>
                <w:bCs/>
                <w:color w:val="000000"/>
                <w:sz w:val="15"/>
                <w:szCs w:val="13"/>
                <w:lang w:val="en-US" w:eastAsia="en-US"/>
              </w:rPr>
            </w:pPr>
            <w:r w:rsidRPr="00D62C98">
              <w:rPr>
                <w:b/>
                <w:bCs/>
                <w:color w:val="000000"/>
                <w:sz w:val="15"/>
                <w:szCs w:val="13"/>
                <w:lang w:val="en-US" w:eastAsia="en-US"/>
              </w:rPr>
              <w:t>Sub-total, top 20 highest prosthetic cost-weight DRGs</w:t>
            </w:r>
          </w:p>
        </w:tc>
        <w:tc>
          <w:tcPr>
            <w:tcW w:w="752" w:type="dxa"/>
            <w:tcBorders>
              <w:top w:val="single" w:sz="4" w:space="0" w:color="000000"/>
              <w:left w:val="nil"/>
              <w:bottom w:val="nil"/>
              <w:right w:val="nil"/>
            </w:tcBorders>
            <w:shd w:val="clear" w:color="000000" w:fill="FFFFFF"/>
            <w:noWrap/>
            <w:hideMark/>
          </w:tcPr>
          <w:p w14:paraId="32A6B91B" w14:textId="77777777" w:rsidR="00A24567" w:rsidRPr="00D62C98" w:rsidRDefault="00A24567" w:rsidP="00CD460D">
            <w:pPr>
              <w:spacing w:after="0"/>
              <w:jc w:val="right"/>
              <w:rPr>
                <w:b/>
                <w:bCs/>
                <w:color w:val="000000"/>
                <w:sz w:val="15"/>
                <w:szCs w:val="13"/>
                <w:lang w:val="en-US" w:eastAsia="en-US"/>
              </w:rPr>
            </w:pPr>
            <w:r w:rsidRPr="00D62C98">
              <w:rPr>
                <w:b/>
                <w:bCs/>
                <w:color w:val="000000"/>
                <w:sz w:val="15"/>
                <w:szCs w:val="13"/>
                <w:lang w:val="en-US" w:eastAsia="en-US"/>
              </w:rPr>
              <w:t>5.02</w:t>
            </w:r>
          </w:p>
        </w:tc>
        <w:tc>
          <w:tcPr>
            <w:tcW w:w="897" w:type="dxa"/>
            <w:tcBorders>
              <w:top w:val="single" w:sz="4" w:space="0" w:color="000000"/>
              <w:left w:val="nil"/>
              <w:bottom w:val="nil"/>
              <w:right w:val="nil"/>
            </w:tcBorders>
            <w:shd w:val="clear" w:color="000000" w:fill="FFFFFF"/>
            <w:noWrap/>
            <w:hideMark/>
          </w:tcPr>
          <w:p w14:paraId="411815DA" w14:textId="77777777" w:rsidR="00A24567" w:rsidRPr="00D62C98" w:rsidRDefault="00A24567" w:rsidP="00CD460D">
            <w:pPr>
              <w:spacing w:after="0"/>
              <w:jc w:val="right"/>
              <w:rPr>
                <w:b/>
                <w:bCs/>
                <w:color w:val="000000"/>
                <w:sz w:val="15"/>
                <w:szCs w:val="13"/>
                <w:lang w:val="en-US" w:eastAsia="en-US"/>
              </w:rPr>
            </w:pPr>
            <w:r w:rsidRPr="00D62C98">
              <w:rPr>
                <w:b/>
                <w:bCs/>
                <w:color w:val="000000"/>
                <w:sz w:val="15"/>
                <w:szCs w:val="13"/>
                <w:lang w:val="en-US" w:eastAsia="en-US"/>
              </w:rPr>
              <w:t>37,193</w:t>
            </w:r>
          </w:p>
        </w:tc>
        <w:tc>
          <w:tcPr>
            <w:tcW w:w="735" w:type="dxa"/>
            <w:tcBorders>
              <w:top w:val="single" w:sz="4" w:space="0" w:color="000000"/>
              <w:left w:val="nil"/>
              <w:bottom w:val="nil"/>
              <w:right w:val="nil"/>
            </w:tcBorders>
            <w:shd w:val="clear" w:color="000000" w:fill="FFFFFF"/>
            <w:noWrap/>
            <w:hideMark/>
          </w:tcPr>
          <w:p w14:paraId="540B2C41" w14:textId="3ECCBA82" w:rsidR="00A24567" w:rsidRPr="00D62C98" w:rsidRDefault="00A24567" w:rsidP="00CD460D">
            <w:pPr>
              <w:spacing w:after="0"/>
              <w:jc w:val="right"/>
              <w:rPr>
                <w:b/>
                <w:bCs/>
                <w:color w:val="000000"/>
                <w:sz w:val="15"/>
                <w:szCs w:val="13"/>
                <w:lang w:val="en-US" w:eastAsia="en-US"/>
              </w:rPr>
            </w:pPr>
            <w:r w:rsidRPr="00D62C98">
              <w:rPr>
                <w:b/>
                <w:bCs/>
                <w:color w:val="000000"/>
                <w:sz w:val="15"/>
                <w:szCs w:val="13"/>
                <w:lang w:val="en-US" w:eastAsia="en-US"/>
              </w:rPr>
              <w:t>7.93</w:t>
            </w:r>
          </w:p>
        </w:tc>
        <w:tc>
          <w:tcPr>
            <w:tcW w:w="679" w:type="dxa"/>
            <w:tcBorders>
              <w:top w:val="single" w:sz="4" w:space="0" w:color="000000"/>
              <w:left w:val="nil"/>
              <w:bottom w:val="nil"/>
              <w:right w:val="nil"/>
            </w:tcBorders>
            <w:shd w:val="clear" w:color="000000" w:fill="FFFFFF"/>
            <w:noWrap/>
            <w:hideMark/>
          </w:tcPr>
          <w:p w14:paraId="4BAD8E35" w14:textId="77777777" w:rsidR="00A24567" w:rsidRPr="00D62C98" w:rsidRDefault="00A24567" w:rsidP="00CD460D">
            <w:pPr>
              <w:spacing w:after="0"/>
              <w:jc w:val="right"/>
              <w:rPr>
                <w:b/>
                <w:bCs/>
                <w:color w:val="000000"/>
                <w:sz w:val="15"/>
                <w:szCs w:val="13"/>
                <w:lang w:val="en-US" w:eastAsia="en-US"/>
              </w:rPr>
            </w:pPr>
            <w:r w:rsidRPr="00D62C98">
              <w:rPr>
                <w:b/>
                <w:bCs/>
                <w:color w:val="000000"/>
                <w:sz w:val="15"/>
                <w:szCs w:val="13"/>
                <w:lang w:val="en-US" w:eastAsia="en-US"/>
              </w:rPr>
              <w:t>5.7</w:t>
            </w:r>
          </w:p>
        </w:tc>
        <w:tc>
          <w:tcPr>
            <w:tcW w:w="691" w:type="dxa"/>
            <w:tcBorders>
              <w:top w:val="single" w:sz="4" w:space="0" w:color="auto"/>
              <w:left w:val="single" w:sz="4" w:space="0" w:color="000000"/>
              <w:bottom w:val="nil"/>
              <w:right w:val="nil"/>
            </w:tcBorders>
            <w:shd w:val="clear" w:color="000000" w:fill="FFFFFF"/>
            <w:noWrap/>
            <w:hideMark/>
          </w:tcPr>
          <w:p w14:paraId="5C3563DD"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14%</w:t>
            </w:r>
          </w:p>
        </w:tc>
        <w:tc>
          <w:tcPr>
            <w:tcW w:w="735" w:type="dxa"/>
            <w:tcBorders>
              <w:top w:val="single" w:sz="4" w:space="0" w:color="auto"/>
              <w:left w:val="nil"/>
              <w:bottom w:val="nil"/>
              <w:right w:val="nil"/>
            </w:tcBorders>
            <w:shd w:val="clear" w:color="000000" w:fill="FFFFFF"/>
            <w:noWrap/>
            <w:hideMark/>
          </w:tcPr>
          <w:p w14:paraId="0745029C"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5%</w:t>
            </w:r>
          </w:p>
        </w:tc>
        <w:tc>
          <w:tcPr>
            <w:tcW w:w="752" w:type="dxa"/>
            <w:tcBorders>
              <w:top w:val="single" w:sz="4" w:space="0" w:color="auto"/>
              <w:left w:val="nil"/>
              <w:bottom w:val="nil"/>
              <w:right w:val="nil"/>
            </w:tcBorders>
            <w:shd w:val="clear" w:color="000000" w:fill="FFFFFF"/>
            <w:noWrap/>
            <w:hideMark/>
          </w:tcPr>
          <w:p w14:paraId="7D81CEAB"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63%</w:t>
            </w:r>
          </w:p>
        </w:tc>
        <w:tc>
          <w:tcPr>
            <w:tcW w:w="779" w:type="dxa"/>
            <w:tcBorders>
              <w:top w:val="single" w:sz="4" w:space="0" w:color="auto"/>
              <w:left w:val="nil"/>
              <w:bottom w:val="nil"/>
              <w:right w:val="nil"/>
            </w:tcBorders>
            <w:shd w:val="clear" w:color="000000" w:fill="FFFFFF"/>
            <w:noWrap/>
            <w:hideMark/>
          </w:tcPr>
          <w:p w14:paraId="77E27891" w14:textId="77777777" w:rsidR="00A24567" w:rsidRPr="00D62C98" w:rsidRDefault="00A24567" w:rsidP="00CD460D">
            <w:pPr>
              <w:spacing w:after="0"/>
              <w:jc w:val="right"/>
              <w:rPr>
                <w:color w:val="000000"/>
                <w:sz w:val="15"/>
                <w:szCs w:val="13"/>
                <w:lang w:val="en-US" w:eastAsia="en-US"/>
              </w:rPr>
            </w:pPr>
            <w:r w:rsidRPr="00D62C98">
              <w:rPr>
                <w:color w:val="000000"/>
                <w:sz w:val="15"/>
                <w:szCs w:val="13"/>
                <w:lang w:val="en-US" w:eastAsia="en-US"/>
              </w:rPr>
              <w:t>18%</w:t>
            </w:r>
          </w:p>
        </w:tc>
        <w:tc>
          <w:tcPr>
            <w:tcW w:w="989" w:type="dxa"/>
            <w:tcBorders>
              <w:top w:val="single" w:sz="4" w:space="0" w:color="auto"/>
              <w:left w:val="single" w:sz="4" w:space="0" w:color="auto"/>
              <w:bottom w:val="nil"/>
              <w:right w:val="nil"/>
            </w:tcBorders>
            <w:shd w:val="clear" w:color="000000" w:fill="FFFFFF"/>
            <w:noWrap/>
            <w:hideMark/>
          </w:tcPr>
          <w:p w14:paraId="46385C05" w14:textId="77777777" w:rsidR="00A24567" w:rsidRPr="00D62C98" w:rsidRDefault="00A24567" w:rsidP="00CD460D">
            <w:pPr>
              <w:spacing w:after="0"/>
              <w:rPr>
                <w:b/>
                <w:bCs/>
                <w:color w:val="000000"/>
                <w:sz w:val="15"/>
                <w:szCs w:val="13"/>
                <w:lang w:val="en-US" w:eastAsia="en-US"/>
              </w:rPr>
            </w:pPr>
            <w:r w:rsidRPr="00D62C98">
              <w:rPr>
                <w:b/>
                <w:bCs/>
                <w:color w:val="000000"/>
                <w:sz w:val="15"/>
                <w:szCs w:val="13"/>
                <w:lang w:val="en-US" w:eastAsia="en-US"/>
              </w:rPr>
              <w:t> </w:t>
            </w:r>
          </w:p>
        </w:tc>
        <w:tc>
          <w:tcPr>
            <w:tcW w:w="701" w:type="dxa"/>
            <w:tcBorders>
              <w:top w:val="single" w:sz="4" w:space="0" w:color="auto"/>
              <w:left w:val="nil"/>
              <w:bottom w:val="nil"/>
              <w:right w:val="nil"/>
            </w:tcBorders>
            <w:shd w:val="clear" w:color="000000" w:fill="FFFFFF"/>
            <w:noWrap/>
            <w:hideMark/>
          </w:tcPr>
          <w:p w14:paraId="7B2F03B4" w14:textId="77777777" w:rsidR="00A24567" w:rsidRPr="00D62C98" w:rsidRDefault="00A24567" w:rsidP="00CD460D">
            <w:pPr>
              <w:spacing w:after="0"/>
              <w:rPr>
                <w:b/>
                <w:bCs/>
                <w:color w:val="000000"/>
                <w:sz w:val="15"/>
                <w:szCs w:val="13"/>
                <w:lang w:val="en-US" w:eastAsia="en-US"/>
              </w:rPr>
            </w:pPr>
            <w:r w:rsidRPr="00D62C98">
              <w:rPr>
                <w:b/>
                <w:bCs/>
                <w:color w:val="000000"/>
                <w:sz w:val="15"/>
                <w:szCs w:val="13"/>
                <w:lang w:val="en-US" w:eastAsia="en-US"/>
              </w:rPr>
              <w:t> </w:t>
            </w:r>
          </w:p>
        </w:tc>
      </w:tr>
      <w:tr w:rsidR="00D62C98" w:rsidRPr="00D62C98" w14:paraId="4831BF85" w14:textId="77777777" w:rsidTr="008C0756">
        <w:trPr>
          <w:trHeight w:val="312"/>
          <w:tblHeader/>
        </w:trPr>
        <w:tc>
          <w:tcPr>
            <w:tcW w:w="709" w:type="dxa"/>
            <w:tcBorders>
              <w:top w:val="nil"/>
              <w:left w:val="nil"/>
              <w:bottom w:val="nil"/>
              <w:right w:val="nil"/>
            </w:tcBorders>
            <w:shd w:val="clear" w:color="000000" w:fill="FFFFFF"/>
            <w:noWrap/>
          </w:tcPr>
          <w:p w14:paraId="121E44A0" w14:textId="158433A3" w:rsidR="00D62C98" w:rsidRPr="00D62C98" w:rsidRDefault="00D62C98" w:rsidP="00CD460D">
            <w:pPr>
              <w:spacing w:after="0"/>
              <w:jc w:val="center"/>
              <w:rPr>
                <w:color w:val="000000"/>
                <w:sz w:val="15"/>
                <w:szCs w:val="13"/>
                <w:lang w:val="en-US" w:eastAsia="en-US"/>
              </w:rPr>
            </w:pPr>
          </w:p>
        </w:tc>
        <w:tc>
          <w:tcPr>
            <w:tcW w:w="691" w:type="dxa"/>
            <w:tcBorders>
              <w:top w:val="nil"/>
              <w:left w:val="nil"/>
              <w:bottom w:val="nil"/>
              <w:right w:val="nil"/>
            </w:tcBorders>
            <w:shd w:val="clear" w:color="000000" w:fill="FFFFFF"/>
            <w:noWrap/>
          </w:tcPr>
          <w:p w14:paraId="2E3B729C" w14:textId="73300D89" w:rsidR="00D62C98" w:rsidRPr="00D62C98" w:rsidRDefault="00D62C98" w:rsidP="00CD460D">
            <w:pPr>
              <w:spacing w:after="0"/>
              <w:jc w:val="right"/>
              <w:rPr>
                <w:color w:val="000000"/>
                <w:sz w:val="15"/>
                <w:szCs w:val="13"/>
                <w:lang w:val="en-US" w:eastAsia="en-US"/>
              </w:rPr>
            </w:pPr>
          </w:p>
        </w:tc>
        <w:tc>
          <w:tcPr>
            <w:tcW w:w="5224" w:type="dxa"/>
            <w:gridSpan w:val="2"/>
            <w:tcBorders>
              <w:top w:val="nil"/>
              <w:left w:val="nil"/>
              <w:bottom w:val="nil"/>
              <w:right w:val="nil"/>
            </w:tcBorders>
            <w:shd w:val="clear" w:color="000000" w:fill="FFFFFF"/>
            <w:noWrap/>
            <w:hideMark/>
          </w:tcPr>
          <w:p w14:paraId="15D8C5F9" w14:textId="4EE27432" w:rsidR="00D62C98" w:rsidRPr="00D62C98" w:rsidRDefault="00D62C98" w:rsidP="00CD460D">
            <w:pPr>
              <w:spacing w:after="0"/>
              <w:rPr>
                <w:b/>
                <w:bCs/>
                <w:color w:val="000000"/>
                <w:sz w:val="15"/>
                <w:szCs w:val="13"/>
                <w:lang w:val="en-US" w:eastAsia="en-US"/>
              </w:rPr>
            </w:pPr>
            <w:r>
              <w:rPr>
                <w:b/>
                <w:bCs/>
                <w:color w:val="000000"/>
                <w:sz w:val="15"/>
                <w:szCs w:val="13"/>
                <w:lang w:val="en-US" w:eastAsia="en-US"/>
              </w:rPr>
              <w:t>All DRGs</w:t>
            </w:r>
          </w:p>
        </w:tc>
        <w:tc>
          <w:tcPr>
            <w:tcW w:w="752" w:type="dxa"/>
            <w:tcBorders>
              <w:top w:val="nil"/>
              <w:left w:val="nil"/>
              <w:bottom w:val="nil"/>
              <w:right w:val="nil"/>
            </w:tcBorders>
            <w:shd w:val="clear" w:color="000000" w:fill="FFFFFF"/>
            <w:noWrap/>
            <w:hideMark/>
          </w:tcPr>
          <w:p w14:paraId="382F91A3" w14:textId="77777777" w:rsidR="00D62C98" w:rsidRPr="00D62C98" w:rsidRDefault="00D62C98" w:rsidP="00CD460D">
            <w:pPr>
              <w:spacing w:after="0"/>
              <w:jc w:val="right"/>
              <w:rPr>
                <w:b/>
                <w:bCs/>
                <w:color w:val="000000"/>
                <w:sz w:val="15"/>
                <w:szCs w:val="13"/>
                <w:lang w:val="en-US" w:eastAsia="en-US"/>
              </w:rPr>
            </w:pPr>
            <w:r w:rsidRPr="00D62C98">
              <w:rPr>
                <w:b/>
                <w:bCs/>
                <w:color w:val="000000"/>
                <w:sz w:val="15"/>
                <w:szCs w:val="13"/>
                <w:lang w:val="en-US" w:eastAsia="en-US"/>
              </w:rPr>
              <w:t>0.19</w:t>
            </w:r>
          </w:p>
        </w:tc>
        <w:tc>
          <w:tcPr>
            <w:tcW w:w="897" w:type="dxa"/>
            <w:tcBorders>
              <w:top w:val="nil"/>
              <w:left w:val="nil"/>
              <w:bottom w:val="nil"/>
              <w:right w:val="nil"/>
            </w:tcBorders>
            <w:shd w:val="clear" w:color="000000" w:fill="FFFFFF"/>
            <w:noWrap/>
            <w:hideMark/>
          </w:tcPr>
          <w:p w14:paraId="13F2EC30" w14:textId="744D99B3" w:rsidR="00D62C98" w:rsidRPr="00D62C98" w:rsidRDefault="00D62C98" w:rsidP="00CD460D">
            <w:pPr>
              <w:spacing w:after="0"/>
              <w:jc w:val="right"/>
              <w:rPr>
                <w:b/>
                <w:bCs/>
                <w:color w:val="000000"/>
                <w:sz w:val="15"/>
                <w:szCs w:val="13"/>
                <w:lang w:val="en-US" w:eastAsia="en-US"/>
              </w:rPr>
            </w:pPr>
            <w:r w:rsidRPr="00D62C98">
              <w:rPr>
                <w:b/>
                <w:bCs/>
                <w:color w:val="000000"/>
                <w:sz w:val="15"/>
                <w:szCs w:val="13"/>
                <w:lang w:val="en-US" w:eastAsia="en-US"/>
              </w:rPr>
              <w:t>3,051,681</w:t>
            </w:r>
          </w:p>
        </w:tc>
        <w:tc>
          <w:tcPr>
            <w:tcW w:w="735" w:type="dxa"/>
            <w:tcBorders>
              <w:top w:val="nil"/>
              <w:left w:val="nil"/>
              <w:bottom w:val="nil"/>
              <w:right w:val="nil"/>
            </w:tcBorders>
            <w:shd w:val="clear" w:color="000000" w:fill="FFFFFF"/>
            <w:noWrap/>
            <w:hideMark/>
          </w:tcPr>
          <w:p w14:paraId="695BBC56" w14:textId="2B39040A" w:rsidR="00D62C98" w:rsidRPr="00D62C98" w:rsidRDefault="00D62C98" w:rsidP="00CD460D">
            <w:pPr>
              <w:spacing w:after="0"/>
              <w:jc w:val="right"/>
              <w:rPr>
                <w:b/>
                <w:bCs/>
                <w:color w:val="000000"/>
                <w:sz w:val="15"/>
                <w:szCs w:val="13"/>
                <w:lang w:val="en-US" w:eastAsia="en-US"/>
              </w:rPr>
            </w:pPr>
            <w:r w:rsidRPr="00D62C98">
              <w:rPr>
                <w:b/>
                <w:bCs/>
                <w:color w:val="000000"/>
                <w:sz w:val="15"/>
                <w:szCs w:val="13"/>
                <w:lang w:val="en-US" w:eastAsia="en-US"/>
              </w:rPr>
              <w:t>1.00</w:t>
            </w:r>
          </w:p>
        </w:tc>
        <w:tc>
          <w:tcPr>
            <w:tcW w:w="679" w:type="dxa"/>
            <w:tcBorders>
              <w:top w:val="nil"/>
              <w:left w:val="nil"/>
              <w:bottom w:val="nil"/>
              <w:right w:val="nil"/>
            </w:tcBorders>
            <w:shd w:val="clear" w:color="000000" w:fill="FFFFFF"/>
            <w:noWrap/>
            <w:hideMark/>
          </w:tcPr>
          <w:p w14:paraId="7F551358" w14:textId="77777777" w:rsidR="00D62C98" w:rsidRPr="00D62C98" w:rsidRDefault="00D62C98" w:rsidP="00CD460D">
            <w:pPr>
              <w:spacing w:after="0"/>
              <w:jc w:val="right"/>
              <w:rPr>
                <w:b/>
                <w:bCs/>
                <w:color w:val="000000"/>
                <w:sz w:val="15"/>
                <w:szCs w:val="13"/>
                <w:lang w:val="en-US" w:eastAsia="en-US"/>
              </w:rPr>
            </w:pPr>
            <w:r w:rsidRPr="00D62C98">
              <w:rPr>
                <w:b/>
                <w:bCs/>
                <w:color w:val="000000"/>
                <w:sz w:val="15"/>
                <w:szCs w:val="13"/>
                <w:lang w:val="en-US" w:eastAsia="en-US"/>
              </w:rPr>
              <w:t>2.3</w:t>
            </w:r>
          </w:p>
        </w:tc>
        <w:tc>
          <w:tcPr>
            <w:tcW w:w="691" w:type="dxa"/>
            <w:tcBorders>
              <w:top w:val="nil"/>
              <w:left w:val="single" w:sz="4" w:space="0" w:color="000000"/>
              <w:bottom w:val="nil"/>
              <w:right w:val="nil"/>
            </w:tcBorders>
            <w:shd w:val="clear" w:color="000000" w:fill="FFFFFF"/>
            <w:noWrap/>
            <w:hideMark/>
          </w:tcPr>
          <w:p w14:paraId="7DD40A94" w14:textId="77777777" w:rsidR="00D62C98" w:rsidRPr="00D62C98" w:rsidRDefault="00D62C98" w:rsidP="00CD460D">
            <w:pPr>
              <w:spacing w:after="0"/>
              <w:jc w:val="right"/>
              <w:rPr>
                <w:color w:val="000000"/>
                <w:sz w:val="15"/>
                <w:szCs w:val="13"/>
                <w:lang w:val="en-US" w:eastAsia="en-US"/>
              </w:rPr>
            </w:pPr>
            <w:r w:rsidRPr="00D62C98">
              <w:rPr>
                <w:color w:val="000000"/>
                <w:sz w:val="15"/>
                <w:szCs w:val="13"/>
                <w:lang w:val="en-US" w:eastAsia="en-US"/>
              </w:rPr>
              <w:t>26%</w:t>
            </w:r>
          </w:p>
        </w:tc>
        <w:tc>
          <w:tcPr>
            <w:tcW w:w="735" w:type="dxa"/>
            <w:tcBorders>
              <w:top w:val="nil"/>
              <w:left w:val="nil"/>
              <w:bottom w:val="nil"/>
              <w:right w:val="nil"/>
            </w:tcBorders>
            <w:shd w:val="clear" w:color="000000" w:fill="FFFFFF"/>
            <w:noWrap/>
            <w:hideMark/>
          </w:tcPr>
          <w:p w14:paraId="4AA6DA75" w14:textId="77777777" w:rsidR="00D62C98" w:rsidRPr="00D62C98" w:rsidRDefault="00D62C98" w:rsidP="00CD460D">
            <w:pPr>
              <w:spacing w:after="0"/>
              <w:jc w:val="right"/>
              <w:rPr>
                <w:color w:val="000000"/>
                <w:sz w:val="15"/>
                <w:szCs w:val="13"/>
                <w:lang w:val="en-US" w:eastAsia="en-US"/>
              </w:rPr>
            </w:pPr>
            <w:r w:rsidRPr="00D62C98">
              <w:rPr>
                <w:color w:val="000000"/>
                <w:sz w:val="15"/>
                <w:szCs w:val="13"/>
                <w:lang w:val="en-US" w:eastAsia="en-US"/>
              </w:rPr>
              <w:t>6%</w:t>
            </w:r>
          </w:p>
        </w:tc>
        <w:tc>
          <w:tcPr>
            <w:tcW w:w="752" w:type="dxa"/>
            <w:tcBorders>
              <w:top w:val="nil"/>
              <w:left w:val="nil"/>
              <w:bottom w:val="nil"/>
              <w:right w:val="nil"/>
            </w:tcBorders>
            <w:shd w:val="clear" w:color="000000" w:fill="FFFFFF"/>
            <w:noWrap/>
            <w:hideMark/>
          </w:tcPr>
          <w:p w14:paraId="7E179CBB" w14:textId="77777777" w:rsidR="00D62C98" w:rsidRPr="00D62C98" w:rsidRDefault="00D62C98" w:rsidP="00CD460D">
            <w:pPr>
              <w:spacing w:after="0"/>
              <w:jc w:val="right"/>
              <w:rPr>
                <w:color w:val="000000"/>
                <w:sz w:val="15"/>
                <w:szCs w:val="13"/>
                <w:lang w:val="en-US" w:eastAsia="en-US"/>
              </w:rPr>
            </w:pPr>
            <w:r w:rsidRPr="00D62C98">
              <w:rPr>
                <w:color w:val="000000"/>
                <w:sz w:val="15"/>
                <w:szCs w:val="13"/>
                <w:lang w:val="en-US" w:eastAsia="en-US"/>
              </w:rPr>
              <w:t>19%</w:t>
            </w:r>
          </w:p>
        </w:tc>
        <w:tc>
          <w:tcPr>
            <w:tcW w:w="779" w:type="dxa"/>
            <w:tcBorders>
              <w:top w:val="nil"/>
              <w:left w:val="nil"/>
              <w:bottom w:val="nil"/>
              <w:right w:val="nil"/>
            </w:tcBorders>
            <w:shd w:val="clear" w:color="000000" w:fill="FFFFFF"/>
            <w:noWrap/>
            <w:hideMark/>
          </w:tcPr>
          <w:p w14:paraId="6AE4B727" w14:textId="77777777" w:rsidR="00D62C98" w:rsidRPr="00D62C98" w:rsidRDefault="00D62C98" w:rsidP="00CD460D">
            <w:pPr>
              <w:spacing w:after="0"/>
              <w:jc w:val="right"/>
              <w:rPr>
                <w:color w:val="000000"/>
                <w:sz w:val="15"/>
                <w:szCs w:val="13"/>
                <w:lang w:val="en-US" w:eastAsia="en-US"/>
              </w:rPr>
            </w:pPr>
            <w:r w:rsidRPr="00D62C98">
              <w:rPr>
                <w:color w:val="000000"/>
                <w:sz w:val="15"/>
                <w:szCs w:val="13"/>
                <w:lang w:val="en-US" w:eastAsia="en-US"/>
              </w:rPr>
              <w:t>48%</w:t>
            </w:r>
          </w:p>
        </w:tc>
        <w:tc>
          <w:tcPr>
            <w:tcW w:w="989" w:type="dxa"/>
            <w:tcBorders>
              <w:top w:val="nil"/>
              <w:left w:val="single" w:sz="4" w:space="0" w:color="auto"/>
              <w:bottom w:val="nil"/>
              <w:right w:val="nil"/>
            </w:tcBorders>
            <w:shd w:val="clear" w:color="000000" w:fill="FFFFFF"/>
            <w:noWrap/>
            <w:hideMark/>
          </w:tcPr>
          <w:p w14:paraId="635351DF" w14:textId="77777777" w:rsidR="00D62C98" w:rsidRPr="00D62C98" w:rsidRDefault="00D62C98" w:rsidP="00CD460D">
            <w:pPr>
              <w:spacing w:after="0"/>
              <w:rPr>
                <w:b/>
                <w:bCs/>
                <w:color w:val="000000"/>
                <w:sz w:val="15"/>
                <w:szCs w:val="13"/>
                <w:lang w:val="en-US" w:eastAsia="en-US"/>
              </w:rPr>
            </w:pPr>
            <w:r w:rsidRPr="00D62C98">
              <w:rPr>
                <w:b/>
                <w:bCs/>
                <w:color w:val="000000"/>
                <w:sz w:val="15"/>
                <w:szCs w:val="13"/>
                <w:lang w:val="en-US" w:eastAsia="en-US"/>
              </w:rPr>
              <w:t> </w:t>
            </w:r>
          </w:p>
        </w:tc>
        <w:tc>
          <w:tcPr>
            <w:tcW w:w="701" w:type="dxa"/>
            <w:tcBorders>
              <w:top w:val="nil"/>
              <w:left w:val="nil"/>
              <w:bottom w:val="nil"/>
              <w:right w:val="nil"/>
            </w:tcBorders>
            <w:shd w:val="clear" w:color="000000" w:fill="FFFFFF"/>
            <w:noWrap/>
            <w:hideMark/>
          </w:tcPr>
          <w:p w14:paraId="0E78B7D9" w14:textId="77777777" w:rsidR="00D62C98" w:rsidRPr="00D62C98" w:rsidRDefault="00D62C98" w:rsidP="00CD460D">
            <w:pPr>
              <w:spacing w:after="0"/>
              <w:rPr>
                <w:b/>
                <w:bCs/>
                <w:color w:val="000000"/>
                <w:sz w:val="15"/>
                <w:szCs w:val="13"/>
                <w:lang w:val="en-US" w:eastAsia="en-US"/>
              </w:rPr>
            </w:pPr>
            <w:r w:rsidRPr="00D62C98">
              <w:rPr>
                <w:b/>
                <w:bCs/>
                <w:color w:val="000000"/>
                <w:sz w:val="15"/>
                <w:szCs w:val="13"/>
                <w:lang w:val="en-US" w:eastAsia="en-US"/>
              </w:rPr>
              <w:t> </w:t>
            </w:r>
          </w:p>
        </w:tc>
      </w:tr>
      <w:tr w:rsidR="00D62C98" w:rsidRPr="00D62C98" w14:paraId="5B63CD35" w14:textId="77777777" w:rsidTr="008C0756">
        <w:trPr>
          <w:trHeight w:val="204"/>
          <w:tblHeader/>
        </w:trPr>
        <w:tc>
          <w:tcPr>
            <w:tcW w:w="709" w:type="dxa"/>
            <w:tcBorders>
              <w:top w:val="nil"/>
              <w:left w:val="nil"/>
              <w:bottom w:val="single" w:sz="4" w:space="0" w:color="auto"/>
              <w:right w:val="nil"/>
            </w:tcBorders>
            <w:shd w:val="clear" w:color="000000" w:fill="FFFFFF"/>
            <w:noWrap/>
          </w:tcPr>
          <w:p w14:paraId="378D3A4B" w14:textId="0877A4B7" w:rsidR="00A24567" w:rsidRPr="00D62C98" w:rsidRDefault="00A24567" w:rsidP="00CD460D">
            <w:pPr>
              <w:spacing w:after="0"/>
              <w:jc w:val="center"/>
              <w:rPr>
                <w:color w:val="000000"/>
                <w:sz w:val="15"/>
                <w:szCs w:val="13"/>
                <w:lang w:val="en-US" w:eastAsia="en-US"/>
              </w:rPr>
            </w:pPr>
          </w:p>
        </w:tc>
        <w:tc>
          <w:tcPr>
            <w:tcW w:w="691" w:type="dxa"/>
            <w:tcBorders>
              <w:top w:val="nil"/>
              <w:left w:val="nil"/>
              <w:bottom w:val="single" w:sz="4" w:space="0" w:color="auto"/>
              <w:right w:val="nil"/>
            </w:tcBorders>
            <w:shd w:val="clear" w:color="000000" w:fill="FFFFFF"/>
            <w:noWrap/>
          </w:tcPr>
          <w:p w14:paraId="40021514" w14:textId="0BBDB93A" w:rsidR="00A24567" w:rsidRPr="00D62C98" w:rsidRDefault="00A24567" w:rsidP="00CD460D">
            <w:pPr>
              <w:spacing w:after="0"/>
              <w:jc w:val="right"/>
              <w:rPr>
                <w:color w:val="000000"/>
                <w:sz w:val="15"/>
                <w:szCs w:val="13"/>
                <w:lang w:val="en-US" w:eastAsia="en-US"/>
              </w:rPr>
            </w:pPr>
          </w:p>
        </w:tc>
        <w:tc>
          <w:tcPr>
            <w:tcW w:w="5224" w:type="dxa"/>
            <w:gridSpan w:val="2"/>
            <w:tcBorders>
              <w:top w:val="nil"/>
              <w:left w:val="nil"/>
              <w:bottom w:val="single" w:sz="4" w:space="0" w:color="auto"/>
              <w:right w:val="nil"/>
            </w:tcBorders>
            <w:shd w:val="clear" w:color="000000" w:fill="FFFFFF"/>
            <w:noWrap/>
            <w:hideMark/>
          </w:tcPr>
          <w:p w14:paraId="2AEF8532" w14:textId="77777777" w:rsidR="00A24567" w:rsidRPr="00D62C98" w:rsidRDefault="00A24567" w:rsidP="00CD460D">
            <w:pPr>
              <w:spacing w:after="0"/>
              <w:rPr>
                <w:b/>
                <w:bCs/>
                <w:color w:val="000000"/>
                <w:sz w:val="15"/>
                <w:szCs w:val="13"/>
                <w:lang w:val="en-US" w:eastAsia="en-US"/>
              </w:rPr>
            </w:pPr>
            <w:r w:rsidRPr="00D62C98">
              <w:rPr>
                <w:b/>
                <w:bCs/>
                <w:color w:val="000000"/>
                <w:sz w:val="15"/>
                <w:szCs w:val="13"/>
                <w:lang w:val="en-US" w:eastAsia="en-US"/>
              </w:rPr>
              <w:t>Top 20 Prosthesis cost-weight DRGs, % of all DRGs</w:t>
            </w:r>
          </w:p>
        </w:tc>
        <w:tc>
          <w:tcPr>
            <w:tcW w:w="752" w:type="dxa"/>
            <w:tcBorders>
              <w:top w:val="nil"/>
              <w:left w:val="nil"/>
              <w:bottom w:val="single" w:sz="4" w:space="0" w:color="auto"/>
              <w:right w:val="nil"/>
            </w:tcBorders>
            <w:shd w:val="clear" w:color="000000" w:fill="FFFFFF"/>
            <w:noWrap/>
            <w:hideMark/>
          </w:tcPr>
          <w:p w14:paraId="41D59C57" w14:textId="77777777" w:rsidR="00A24567" w:rsidRPr="00D62C98" w:rsidRDefault="00A24567" w:rsidP="00CD460D">
            <w:pPr>
              <w:spacing w:after="0"/>
              <w:rPr>
                <w:b/>
                <w:bCs/>
                <w:color w:val="000000"/>
                <w:sz w:val="15"/>
                <w:szCs w:val="13"/>
                <w:lang w:val="en-US" w:eastAsia="en-US"/>
              </w:rPr>
            </w:pPr>
            <w:r w:rsidRPr="00D62C98">
              <w:rPr>
                <w:b/>
                <w:bCs/>
                <w:color w:val="000000"/>
                <w:sz w:val="15"/>
                <w:szCs w:val="13"/>
                <w:lang w:val="en-US" w:eastAsia="en-US"/>
              </w:rPr>
              <w:t> </w:t>
            </w:r>
          </w:p>
        </w:tc>
        <w:tc>
          <w:tcPr>
            <w:tcW w:w="897" w:type="dxa"/>
            <w:tcBorders>
              <w:top w:val="nil"/>
              <w:left w:val="nil"/>
              <w:bottom w:val="single" w:sz="4" w:space="0" w:color="auto"/>
              <w:right w:val="nil"/>
            </w:tcBorders>
            <w:shd w:val="clear" w:color="000000" w:fill="FFFFFF"/>
            <w:noWrap/>
            <w:hideMark/>
          </w:tcPr>
          <w:p w14:paraId="3ADB92E4" w14:textId="13EAB786" w:rsidR="00A24567" w:rsidRPr="00D62C98" w:rsidRDefault="00A24567" w:rsidP="00CD460D">
            <w:pPr>
              <w:spacing w:after="0"/>
              <w:jc w:val="right"/>
              <w:rPr>
                <w:b/>
                <w:bCs/>
                <w:color w:val="000000"/>
                <w:sz w:val="15"/>
                <w:szCs w:val="13"/>
                <w:lang w:val="en-US" w:eastAsia="en-US"/>
              </w:rPr>
            </w:pPr>
            <w:r w:rsidRPr="00D62C98">
              <w:rPr>
                <w:b/>
                <w:bCs/>
                <w:color w:val="000000"/>
                <w:sz w:val="15"/>
                <w:szCs w:val="13"/>
                <w:lang w:val="en-US" w:eastAsia="en-US"/>
              </w:rPr>
              <w:t>1.2%</w:t>
            </w:r>
          </w:p>
        </w:tc>
        <w:tc>
          <w:tcPr>
            <w:tcW w:w="735" w:type="dxa"/>
            <w:tcBorders>
              <w:top w:val="nil"/>
              <w:left w:val="nil"/>
              <w:bottom w:val="single" w:sz="4" w:space="0" w:color="auto"/>
              <w:right w:val="nil"/>
            </w:tcBorders>
            <w:shd w:val="clear" w:color="000000" w:fill="FFFFFF"/>
            <w:noWrap/>
            <w:hideMark/>
          </w:tcPr>
          <w:p w14:paraId="149F1424" w14:textId="271918F9"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 </w:t>
            </w:r>
          </w:p>
        </w:tc>
        <w:tc>
          <w:tcPr>
            <w:tcW w:w="679" w:type="dxa"/>
            <w:tcBorders>
              <w:top w:val="nil"/>
              <w:left w:val="nil"/>
              <w:bottom w:val="single" w:sz="4" w:space="0" w:color="auto"/>
              <w:right w:val="nil"/>
            </w:tcBorders>
            <w:shd w:val="clear" w:color="000000" w:fill="FFFFFF"/>
            <w:noWrap/>
            <w:hideMark/>
          </w:tcPr>
          <w:p w14:paraId="35D45E5A"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 </w:t>
            </w:r>
          </w:p>
        </w:tc>
        <w:tc>
          <w:tcPr>
            <w:tcW w:w="691" w:type="dxa"/>
            <w:tcBorders>
              <w:top w:val="nil"/>
              <w:left w:val="single" w:sz="4" w:space="0" w:color="000000"/>
              <w:bottom w:val="single" w:sz="4" w:space="0" w:color="000000"/>
              <w:right w:val="nil"/>
            </w:tcBorders>
            <w:shd w:val="clear" w:color="000000" w:fill="FFFFFF"/>
            <w:noWrap/>
            <w:hideMark/>
          </w:tcPr>
          <w:p w14:paraId="2F348228"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 </w:t>
            </w:r>
          </w:p>
        </w:tc>
        <w:tc>
          <w:tcPr>
            <w:tcW w:w="735" w:type="dxa"/>
            <w:tcBorders>
              <w:top w:val="nil"/>
              <w:left w:val="nil"/>
              <w:bottom w:val="single" w:sz="4" w:space="0" w:color="000000"/>
              <w:right w:val="nil"/>
            </w:tcBorders>
            <w:shd w:val="clear" w:color="000000" w:fill="FFFFFF"/>
            <w:noWrap/>
            <w:hideMark/>
          </w:tcPr>
          <w:p w14:paraId="0C71FBBF"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 </w:t>
            </w:r>
          </w:p>
        </w:tc>
        <w:tc>
          <w:tcPr>
            <w:tcW w:w="752" w:type="dxa"/>
            <w:tcBorders>
              <w:top w:val="nil"/>
              <w:left w:val="nil"/>
              <w:bottom w:val="single" w:sz="4" w:space="0" w:color="000000"/>
              <w:right w:val="nil"/>
            </w:tcBorders>
            <w:shd w:val="clear" w:color="000000" w:fill="FFFFFF"/>
            <w:noWrap/>
            <w:hideMark/>
          </w:tcPr>
          <w:p w14:paraId="0BD37F3E"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 </w:t>
            </w:r>
          </w:p>
        </w:tc>
        <w:tc>
          <w:tcPr>
            <w:tcW w:w="779" w:type="dxa"/>
            <w:tcBorders>
              <w:top w:val="nil"/>
              <w:left w:val="nil"/>
              <w:bottom w:val="single" w:sz="4" w:space="0" w:color="000000"/>
              <w:right w:val="nil"/>
            </w:tcBorders>
            <w:shd w:val="clear" w:color="000000" w:fill="FFFFFF"/>
            <w:noWrap/>
            <w:hideMark/>
          </w:tcPr>
          <w:p w14:paraId="4BC5317C"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 </w:t>
            </w:r>
          </w:p>
        </w:tc>
        <w:tc>
          <w:tcPr>
            <w:tcW w:w="989" w:type="dxa"/>
            <w:tcBorders>
              <w:top w:val="nil"/>
              <w:left w:val="single" w:sz="4" w:space="0" w:color="auto"/>
              <w:bottom w:val="single" w:sz="4" w:space="0" w:color="auto"/>
              <w:right w:val="nil"/>
            </w:tcBorders>
            <w:shd w:val="clear" w:color="000000" w:fill="FFFFFF"/>
            <w:noWrap/>
            <w:hideMark/>
          </w:tcPr>
          <w:p w14:paraId="67083238"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 </w:t>
            </w:r>
          </w:p>
        </w:tc>
        <w:tc>
          <w:tcPr>
            <w:tcW w:w="701" w:type="dxa"/>
            <w:tcBorders>
              <w:top w:val="nil"/>
              <w:left w:val="nil"/>
              <w:bottom w:val="single" w:sz="4" w:space="0" w:color="auto"/>
              <w:right w:val="nil"/>
            </w:tcBorders>
            <w:shd w:val="clear" w:color="000000" w:fill="FFFFFF"/>
            <w:noWrap/>
            <w:hideMark/>
          </w:tcPr>
          <w:p w14:paraId="407B75D2" w14:textId="77777777" w:rsidR="00A24567" w:rsidRPr="00D62C98" w:rsidRDefault="00A24567" w:rsidP="00CD460D">
            <w:pPr>
              <w:spacing w:after="0"/>
              <w:rPr>
                <w:color w:val="000000"/>
                <w:sz w:val="15"/>
                <w:szCs w:val="13"/>
                <w:lang w:val="en-US" w:eastAsia="en-US"/>
              </w:rPr>
            </w:pPr>
            <w:r w:rsidRPr="00D62C98">
              <w:rPr>
                <w:color w:val="000000"/>
                <w:sz w:val="15"/>
                <w:szCs w:val="13"/>
                <w:lang w:val="en-US" w:eastAsia="en-US"/>
              </w:rPr>
              <w:t> </w:t>
            </w:r>
          </w:p>
        </w:tc>
      </w:tr>
    </w:tbl>
    <w:p w14:paraId="3BD84B7F" w14:textId="50B9524A" w:rsidR="00A24567" w:rsidRPr="00272A9E" w:rsidRDefault="00A24567" w:rsidP="00A24567">
      <w:pPr>
        <w:rPr>
          <w:rFonts w:asciiTheme="minorHAnsi" w:hAnsiTheme="minorHAnsi" w:cstheme="minorHAnsi"/>
          <w:color w:val="008A00" w:themeColor="accent2"/>
          <w:sz w:val="16"/>
        </w:rPr>
      </w:pPr>
      <w:r w:rsidRPr="00272A9E">
        <w:rPr>
          <w:rFonts w:asciiTheme="minorHAnsi" w:hAnsiTheme="minorHAnsi" w:cstheme="minorHAnsi"/>
          <w:color w:val="008A00" w:themeColor="accent2"/>
          <w:sz w:val="16"/>
        </w:rPr>
        <w:t>Notes</w:t>
      </w:r>
      <w:r w:rsidRPr="00272A9E">
        <w:rPr>
          <w:rFonts w:asciiTheme="minorHAnsi" w:hAnsiTheme="minorHAnsi" w:cstheme="minorHAnsi"/>
          <w:color w:val="008A00" w:themeColor="accent2"/>
          <w:sz w:val="16"/>
        </w:rPr>
        <w:tab/>
      </w:r>
      <w:r w:rsidRPr="00272A9E">
        <w:rPr>
          <w:rFonts w:asciiTheme="minorHAnsi" w:hAnsiTheme="minorHAnsi" w:cstheme="minorHAnsi"/>
          <w:color w:val="008A00" w:themeColor="accent2"/>
          <w:sz w:val="16"/>
        </w:rPr>
        <w:tab/>
      </w:r>
    </w:p>
    <w:p w14:paraId="73D51DE7" w14:textId="05884CB9" w:rsidR="00A24567" w:rsidRPr="00272A9E" w:rsidRDefault="00A24567" w:rsidP="006723AA">
      <w:pPr>
        <w:spacing w:after="0"/>
        <w:rPr>
          <w:rFonts w:asciiTheme="minorHAnsi" w:hAnsiTheme="minorHAnsi" w:cstheme="minorHAnsi"/>
          <w:sz w:val="16"/>
        </w:rPr>
      </w:pPr>
      <w:r w:rsidRPr="00272A9E">
        <w:rPr>
          <w:rFonts w:asciiTheme="minorHAnsi" w:hAnsiTheme="minorHAnsi" w:cstheme="minorHAnsi"/>
          <w:sz w:val="16"/>
        </w:rPr>
        <w:t xml:space="preserve">(a) For cost weight (cost bucket specific) calculations please refer to </w:t>
      </w:r>
      <w:r w:rsidR="00544B40" w:rsidRPr="00544B40">
        <w:rPr>
          <w:rFonts w:asciiTheme="minorHAnsi" w:hAnsiTheme="minorHAnsi" w:cstheme="minorHAnsi"/>
          <w:sz w:val="16"/>
        </w:rPr>
        <w:t>Appendix D: Cost weight tables by AR-DRG Version 8.0</w:t>
      </w:r>
      <w:r w:rsidR="00544B40" w:rsidRPr="00544B40">
        <w:rPr>
          <w:rFonts w:asciiTheme="minorHAnsi" w:hAnsiTheme="minorHAnsi" w:cstheme="minorHAnsi"/>
          <w:sz w:val="16"/>
        </w:rPr>
        <w:tab/>
      </w:r>
    </w:p>
    <w:p w14:paraId="51E90DCB" w14:textId="0545FB0F" w:rsidR="00A24567" w:rsidRPr="00272A9E" w:rsidRDefault="00A24567" w:rsidP="00A24567">
      <w:pPr>
        <w:pStyle w:val="Tablesheadings"/>
        <w:rPr>
          <w:rFonts w:asciiTheme="minorHAnsi" w:hAnsiTheme="minorHAnsi" w:cstheme="minorHAnsi"/>
          <w:b w:val="0"/>
          <w:color w:val="auto"/>
          <w:sz w:val="16"/>
        </w:rPr>
      </w:pPr>
      <w:bookmarkStart w:id="227" w:name="_Toc497332782"/>
      <w:bookmarkStart w:id="228" w:name="_Toc497332921"/>
      <w:bookmarkStart w:id="229" w:name="_Toc497486125"/>
      <w:bookmarkStart w:id="230" w:name="_Toc497488045"/>
      <w:r w:rsidRPr="00272A9E">
        <w:rPr>
          <w:rFonts w:asciiTheme="minorHAnsi" w:hAnsiTheme="minorHAnsi" w:cstheme="minorHAnsi"/>
          <w:b w:val="0"/>
          <w:color w:val="auto"/>
          <w:sz w:val="16"/>
        </w:rPr>
        <w:t>(b) Separations shown are strata weighted</w:t>
      </w:r>
      <w:bookmarkEnd w:id="227"/>
      <w:bookmarkEnd w:id="228"/>
      <w:bookmarkEnd w:id="229"/>
      <w:bookmarkEnd w:id="230"/>
      <w:r w:rsidRPr="00272A9E">
        <w:rPr>
          <w:rFonts w:asciiTheme="minorHAnsi" w:hAnsiTheme="minorHAnsi" w:cstheme="minorHAnsi"/>
          <w:b w:val="0"/>
          <w:color w:val="auto"/>
          <w:sz w:val="16"/>
        </w:rPr>
        <w:tab/>
      </w:r>
    </w:p>
    <w:p w14:paraId="74C30DB8" w14:textId="22E22275" w:rsidR="00A24567" w:rsidRPr="00272A9E" w:rsidRDefault="00A24567" w:rsidP="00A24567">
      <w:pPr>
        <w:pStyle w:val="Tablesheadings"/>
        <w:rPr>
          <w:rFonts w:asciiTheme="minorHAnsi" w:hAnsiTheme="minorHAnsi" w:cstheme="minorHAnsi"/>
          <w:b w:val="0"/>
          <w:color w:val="auto"/>
          <w:sz w:val="16"/>
        </w:rPr>
      </w:pPr>
      <w:bookmarkStart w:id="231" w:name="_Toc497332783"/>
      <w:bookmarkStart w:id="232" w:name="_Toc497332922"/>
      <w:bookmarkStart w:id="233" w:name="_Toc497486126"/>
      <w:bookmarkStart w:id="234" w:name="_Toc497488046"/>
      <w:r w:rsidRPr="00272A9E">
        <w:rPr>
          <w:rFonts w:asciiTheme="minorHAnsi" w:hAnsiTheme="minorHAnsi" w:cstheme="minorHAnsi"/>
          <w:b w:val="0"/>
          <w:color w:val="auto"/>
          <w:sz w:val="16"/>
        </w:rPr>
        <w:t xml:space="preserve">(c) DRG-rank for cost weight across all cost buckets. </w:t>
      </w:r>
      <w:proofErr w:type="gramStart"/>
      <w:r w:rsidRPr="00272A9E">
        <w:rPr>
          <w:rFonts w:asciiTheme="minorHAnsi" w:hAnsiTheme="minorHAnsi" w:cstheme="minorHAnsi"/>
          <w:b w:val="0"/>
          <w:color w:val="auto"/>
          <w:sz w:val="16"/>
        </w:rPr>
        <w:t>A rank of 1 means that the DRG has the highest cost weight.</w:t>
      </w:r>
      <w:bookmarkEnd w:id="231"/>
      <w:bookmarkEnd w:id="232"/>
      <w:bookmarkEnd w:id="233"/>
      <w:bookmarkEnd w:id="234"/>
      <w:proofErr w:type="gramEnd"/>
      <w:r w:rsidR="006C4E43">
        <w:rPr>
          <w:rFonts w:asciiTheme="minorHAnsi" w:hAnsiTheme="minorHAnsi" w:cstheme="minorHAnsi"/>
          <w:b w:val="0"/>
          <w:color w:val="auto"/>
          <w:sz w:val="16"/>
        </w:rPr>
        <w:t xml:space="preserve"> </w:t>
      </w:r>
    </w:p>
    <w:p w14:paraId="0D45345D" w14:textId="5FC0A122" w:rsidR="006C4E43" w:rsidRDefault="00A24567" w:rsidP="008C0756">
      <w:pPr>
        <w:pStyle w:val="Tablesheadings"/>
      </w:pPr>
      <w:bookmarkStart w:id="235" w:name="_Toc497332784"/>
      <w:bookmarkStart w:id="236" w:name="_Toc497332923"/>
      <w:bookmarkStart w:id="237" w:name="_Toc497486127"/>
      <w:bookmarkStart w:id="238" w:name="_Toc497488047"/>
      <w:r w:rsidRPr="00272A9E">
        <w:rPr>
          <w:rFonts w:asciiTheme="minorHAnsi" w:hAnsiTheme="minorHAnsi" w:cstheme="minorHAnsi"/>
          <w:b w:val="0"/>
          <w:color w:val="auto"/>
          <w:sz w:val="16"/>
        </w:rPr>
        <w:t xml:space="preserve">(d) </w:t>
      </w:r>
      <w:proofErr w:type="spellStart"/>
      <w:r w:rsidRPr="00272A9E">
        <w:rPr>
          <w:rFonts w:asciiTheme="minorHAnsi" w:hAnsiTheme="minorHAnsi" w:cstheme="minorHAnsi"/>
          <w:b w:val="0"/>
          <w:color w:val="auto"/>
          <w:sz w:val="16"/>
        </w:rPr>
        <w:t>ALoS</w:t>
      </w:r>
      <w:proofErr w:type="spellEnd"/>
      <w:r w:rsidRPr="00272A9E">
        <w:rPr>
          <w:rFonts w:asciiTheme="minorHAnsi" w:hAnsiTheme="minorHAnsi" w:cstheme="minorHAnsi"/>
          <w:b w:val="0"/>
          <w:color w:val="auto"/>
          <w:sz w:val="16"/>
        </w:rPr>
        <w:t xml:space="preserve"> means average length of stay</w:t>
      </w:r>
      <w:bookmarkEnd w:id="235"/>
      <w:bookmarkEnd w:id="236"/>
      <w:bookmarkEnd w:id="237"/>
      <w:bookmarkEnd w:id="238"/>
      <w:r w:rsidR="006C4E43">
        <w:rPr>
          <w:rFonts w:asciiTheme="minorHAnsi" w:hAnsiTheme="minorHAnsi" w:cstheme="minorHAnsi"/>
          <w:b w:val="0"/>
          <w:color w:val="auto"/>
          <w:sz w:val="16"/>
        </w:rPr>
        <w:t xml:space="preserve"> </w:t>
      </w:r>
    </w:p>
    <w:p w14:paraId="063EB71F" w14:textId="77777777" w:rsidR="006C4E43" w:rsidRPr="006C4E43" w:rsidRDefault="006C4E43" w:rsidP="006C4E43">
      <w:pPr>
        <w:rPr>
          <w:lang w:val="en-GB" w:eastAsia="en-US"/>
        </w:rPr>
        <w:sectPr w:rsidR="006C4E43" w:rsidRPr="006C4E43" w:rsidSect="008C0756">
          <w:pgSz w:w="16840" w:h="11907" w:orient="landscape" w:code="9"/>
          <w:pgMar w:top="1701" w:right="1843" w:bottom="1134" w:left="993" w:header="680" w:footer="510" w:gutter="0"/>
          <w:cols w:space="708"/>
          <w:docGrid w:linePitch="360"/>
        </w:sectPr>
      </w:pPr>
    </w:p>
    <w:p w14:paraId="09C0B501" w14:textId="6E31D37B" w:rsidR="005D7320" w:rsidRDefault="005D7320" w:rsidP="00823FE0">
      <w:pPr>
        <w:pStyle w:val="Heading3"/>
        <w:rPr>
          <w:rFonts w:ascii="Georgia" w:hAnsi="Georgia"/>
          <w:sz w:val="20"/>
          <w:szCs w:val="20"/>
        </w:rPr>
      </w:pPr>
      <w:bookmarkStart w:id="239" w:name="_Toc496857587"/>
      <w:r>
        <w:lastRenderedPageBreak/>
        <w:t>Miscellaneous cost bucket</w:t>
      </w:r>
      <w:bookmarkEnd w:id="239"/>
    </w:p>
    <w:p w14:paraId="40ECA302" w14:textId="77777777" w:rsidR="005D7320" w:rsidRDefault="005D7320" w:rsidP="005D7320">
      <w:pPr>
        <w:pStyle w:val="Intro"/>
      </w:pPr>
      <w:r>
        <w:t>Key findings</w:t>
      </w:r>
    </w:p>
    <w:p w14:paraId="63E86CE1" w14:textId="61C6BBBA" w:rsidR="00E7439E" w:rsidRDefault="00532BC8" w:rsidP="005D7320">
      <w:r>
        <w:t xml:space="preserve">This cost bucket is the most volatile in rankings of all the buckets </w:t>
      </w:r>
      <w:r w:rsidR="006723AA">
        <w:t>in</w:t>
      </w:r>
      <w:r>
        <w:t xml:space="preserve"> </w:t>
      </w:r>
      <w:r w:rsidR="00580247">
        <w:t>R</w:t>
      </w:r>
      <w:r>
        <w:t xml:space="preserve">ound </w:t>
      </w:r>
      <w:r w:rsidR="006723AA">
        <w:t xml:space="preserve">20 </w:t>
      </w:r>
      <w:r w:rsidR="00580247">
        <w:t>driven by the</w:t>
      </w:r>
      <w:r>
        <w:t xml:space="preserve"> sample size</w:t>
      </w:r>
      <w:r w:rsidR="005D3E1D">
        <w:t>, different hospitals participating</w:t>
      </w:r>
      <w:r>
        <w:t xml:space="preserve"> and the different approach to costing.  </w:t>
      </w:r>
      <w:r w:rsidR="006654BA">
        <w:t>Table 13</w:t>
      </w:r>
      <w:r w:rsidR="005D7320" w:rsidRPr="00532BC8">
        <w:t xml:space="preserve"> illustrates</w:t>
      </w:r>
      <w:r w:rsidR="00580247">
        <w:t xml:space="preserve"> that</w:t>
      </w:r>
      <w:r w:rsidR="006723AA">
        <w:t xml:space="preserve"> the highest cost weight </w:t>
      </w:r>
      <w:r w:rsidR="005D7320" w:rsidRPr="00532BC8">
        <w:t xml:space="preserve">DRG is </w:t>
      </w:r>
      <w:r w:rsidRPr="00532BC8">
        <w:t>I02A</w:t>
      </w:r>
      <w:r>
        <w:t xml:space="preserve"> </w:t>
      </w:r>
      <w:r w:rsidRPr="00532BC8">
        <w:t>Microvascular Tissue Transfers or Skin Grafts, E</w:t>
      </w:r>
      <w:r w:rsidR="00281672">
        <w:t>xcluding Hand, Major Complexity</w:t>
      </w:r>
      <w:r w:rsidR="005D7320" w:rsidRPr="00532BC8">
        <w:t xml:space="preserve">. This was ranked number </w:t>
      </w:r>
      <w:r>
        <w:t>five</w:t>
      </w:r>
      <w:r w:rsidR="005D7320" w:rsidRPr="00532BC8">
        <w:t xml:space="preserve"> </w:t>
      </w:r>
      <w:r w:rsidR="006723AA">
        <w:t>in Round 18</w:t>
      </w:r>
      <w:r w:rsidR="00355E24">
        <w:t xml:space="preserve"> </w:t>
      </w:r>
      <w:r w:rsidR="00580247">
        <w:t xml:space="preserve">and the </w:t>
      </w:r>
      <w:r w:rsidR="00355E24">
        <w:t>reason</w:t>
      </w:r>
      <w:r w:rsidR="00580247">
        <w:t xml:space="preserve"> for the change is</w:t>
      </w:r>
      <w:r w:rsidR="00355E24">
        <w:t xml:space="preserve"> the doubling of activity between </w:t>
      </w:r>
      <w:r w:rsidR="006723AA">
        <w:t xml:space="preserve">rounds and that the </w:t>
      </w:r>
      <w:r w:rsidR="00355E24">
        <w:t>DRG is a complex treatment.</w:t>
      </w:r>
    </w:p>
    <w:p w14:paraId="0E775FE7" w14:textId="09DC8EA2" w:rsidR="005D7320" w:rsidRPr="00355E24" w:rsidRDefault="00AA16B4" w:rsidP="005D7320">
      <w:r>
        <w:t xml:space="preserve">As presented in </w:t>
      </w:r>
      <w:r w:rsidR="006654BA">
        <w:t>Table 13</w:t>
      </w:r>
      <w:r w:rsidR="006723AA">
        <w:t xml:space="preserve"> the </w:t>
      </w:r>
      <w:r w:rsidR="005D7320" w:rsidRPr="00355E24">
        <w:t>DRGs listed in the top 20 are anticipated to be within this ranking given that they have high cost weights and low volume separations which are resource intensive treatments and have appeared in the top 20 of previous tables through</w:t>
      </w:r>
      <w:r w:rsidR="00476F62">
        <w:t>out</w:t>
      </w:r>
      <w:r w:rsidR="005D7320" w:rsidRPr="00355E24">
        <w:t xml:space="preserve"> this section. </w:t>
      </w:r>
    </w:p>
    <w:p w14:paraId="66A5E2A1" w14:textId="7C2C7B16" w:rsidR="00E7439E" w:rsidRDefault="005D7320" w:rsidP="005D7320">
      <w:r w:rsidRPr="00355E24">
        <w:t>Additionally these highly com</w:t>
      </w:r>
      <w:r w:rsidR="00355E24">
        <w:t>plex patients only represent 0.2</w:t>
      </w:r>
      <w:r w:rsidR="00BA2940">
        <w:t xml:space="preserve"> per cent</w:t>
      </w:r>
      <w:r w:rsidRPr="00355E24">
        <w:t xml:space="preserve"> (</w:t>
      </w:r>
      <w:r w:rsidR="00355E24">
        <w:t>5,034</w:t>
      </w:r>
      <w:r w:rsidRPr="00355E24">
        <w:t xml:space="preserve"> population-adjusted separations) of the total population-adjusted separations (</w:t>
      </w:r>
      <w:r w:rsidR="00355E24">
        <w:t>3.05</w:t>
      </w:r>
      <w:r w:rsidRPr="00355E24">
        <w:t xml:space="preserve">m population-adjusted separations) </w:t>
      </w:r>
      <w:r w:rsidR="00281672">
        <w:t xml:space="preserve">in </w:t>
      </w:r>
      <w:r w:rsidR="006654BA">
        <w:t>Table 13</w:t>
      </w:r>
      <w:r w:rsidRPr="00355E24">
        <w:t>.</w:t>
      </w:r>
    </w:p>
    <w:p w14:paraId="04F4341A" w14:textId="37AEE718" w:rsidR="00E7439E" w:rsidRDefault="005D7320" w:rsidP="005D7320">
      <w:r>
        <w:t xml:space="preserve">Similar to Round 18, participants were using allocation statistics and feeder data thus improving the quality and accuracy </w:t>
      </w:r>
      <w:r w:rsidR="00580247">
        <w:t xml:space="preserve">of </w:t>
      </w:r>
      <w:r>
        <w:t xml:space="preserve">cost allocation </w:t>
      </w:r>
      <w:r w:rsidR="00580247">
        <w:t>from</w:t>
      </w:r>
      <w:r>
        <w:t xml:space="preserve"> the general ledger to these miscellaneous cost buckets.</w:t>
      </w:r>
    </w:p>
    <w:p w14:paraId="22CA65AE" w14:textId="13E96D51" w:rsidR="005D7320" w:rsidRDefault="005D7320" w:rsidP="005D7320">
      <w:pPr>
        <w:pStyle w:val="Intro"/>
      </w:pPr>
      <w:r>
        <w:t>Consistencies between Round 18 and Round 20</w:t>
      </w:r>
    </w:p>
    <w:p w14:paraId="277F755B" w14:textId="1FF4ECF2" w:rsidR="00E7439E" w:rsidRDefault="00355E24" w:rsidP="005D7320">
      <w:r w:rsidRPr="00355E24">
        <w:t>45</w:t>
      </w:r>
      <w:r w:rsidR="00BA2940">
        <w:t xml:space="preserve"> per cent</w:t>
      </w:r>
      <w:r w:rsidR="005D7320" w:rsidRPr="00355E24">
        <w:t xml:space="preserve"> (</w:t>
      </w:r>
      <w:r w:rsidRPr="00355E24">
        <w:t xml:space="preserve">9 </w:t>
      </w:r>
      <w:r w:rsidR="00476F62">
        <w:t xml:space="preserve">out of 20) of the top 20 </w:t>
      </w:r>
      <w:r w:rsidR="005D7320" w:rsidRPr="00355E24">
        <w:t>DRGs were included in Round 1</w:t>
      </w:r>
      <w:r w:rsidRPr="00355E24">
        <w:t>8</w:t>
      </w:r>
      <w:r w:rsidR="005D7320" w:rsidRPr="00355E24">
        <w:t>’s results, which was expected given the nature of these cost buckets included in this category.</w:t>
      </w:r>
    </w:p>
    <w:p w14:paraId="5FC5E877" w14:textId="44830428" w:rsidR="00E7439E" w:rsidRDefault="005D7320" w:rsidP="005D7320">
      <w:r w:rsidRPr="00355E24">
        <w:t xml:space="preserve">The </w:t>
      </w:r>
      <w:r w:rsidR="00355E24">
        <w:t>greatest</w:t>
      </w:r>
      <w:r w:rsidRPr="00355E24">
        <w:t xml:space="preserve"> reduction was </w:t>
      </w:r>
      <w:r w:rsidR="00355E24" w:rsidRPr="00355E24">
        <w:t>A06A</w:t>
      </w:r>
      <w:r w:rsidR="00355E24">
        <w:t xml:space="preserve"> </w:t>
      </w:r>
      <w:r w:rsidR="00355E24" w:rsidRPr="00355E24">
        <w:t>Tracheostomy and/or Ventilation &gt;=96hours, Major Complexity</w:t>
      </w:r>
      <w:r w:rsidRPr="00355E24">
        <w:t xml:space="preserve"> decreasing its cost weight by </w:t>
      </w:r>
      <w:r w:rsidR="00355E24">
        <w:t>5.3</w:t>
      </w:r>
      <w:r w:rsidR="00D43BE7">
        <w:t>7</w:t>
      </w:r>
      <w:r w:rsidR="00355E24">
        <w:t xml:space="preserve"> which ranked number one in Round 18</w:t>
      </w:r>
      <w:r w:rsidRPr="00355E24">
        <w:t xml:space="preserve">.  The </w:t>
      </w:r>
      <w:r w:rsidR="00355E24">
        <w:t>greatest</w:t>
      </w:r>
      <w:r w:rsidRPr="00355E24">
        <w:t xml:space="preserve"> increase was </w:t>
      </w:r>
      <w:r w:rsidR="00355E24" w:rsidRPr="00532BC8">
        <w:t>I02A</w:t>
      </w:r>
      <w:r w:rsidR="00355E24">
        <w:t xml:space="preserve"> </w:t>
      </w:r>
      <w:r w:rsidR="00355E24" w:rsidRPr="00532BC8">
        <w:t>Microvascular Tissue Transfers or Skin Grafts, Excluding Hand, Major Complexity</w:t>
      </w:r>
      <w:r w:rsidR="00355E24">
        <w:t xml:space="preserve"> </w:t>
      </w:r>
      <w:r w:rsidRPr="00355E24">
        <w:t xml:space="preserve">increasing its cost weight by </w:t>
      </w:r>
      <w:r w:rsidR="00355E24">
        <w:t xml:space="preserve">2.88 ranked </w:t>
      </w:r>
      <w:proofErr w:type="gramStart"/>
      <w:r w:rsidR="00355E24">
        <w:t>number</w:t>
      </w:r>
      <w:proofErr w:type="gramEnd"/>
      <w:r w:rsidR="00355E24">
        <w:t xml:space="preserve"> five in Round </w:t>
      </w:r>
      <w:r w:rsidR="0067161C">
        <w:t>18.</w:t>
      </w:r>
      <w:r w:rsidR="0067161C" w:rsidRPr="00355E24">
        <w:t xml:space="preserve"> These</w:t>
      </w:r>
      <w:r w:rsidRPr="00355E24">
        <w:t xml:space="preserve"> both relate to </w:t>
      </w:r>
      <w:r w:rsidR="00355E24">
        <w:t>costing approach change</w:t>
      </w:r>
      <w:r w:rsidR="008C7855">
        <w:t>s</w:t>
      </w:r>
      <w:r w:rsidR="00355E24">
        <w:t>, sample size</w:t>
      </w:r>
      <w:r w:rsidR="008C7855">
        <w:t xml:space="preserve"> changes and s</w:t>
      </w:r>
      <w:r w:rsidR="00355E24">
        <w:t>ervice weight changes between r</w:t>
      </w:r>
      <w:r w:rsidRPr="00355E24">
        <w:t>ounds.</w:t>
      </w:r>
    </w:p>
    <w:p w14:paraId="60211DC1" w14:textId="77777777" w:rsidR="00BF794D" w:rsidRPr="0012767B" w:rsidRDefault="00BF794D" w:rsidP="00BF794D">
      <w:pPr>
        <w:pStyle w:val="Intro"/>
      </w:pPr>
      <w:r>
        <w:t>Differences</w:t>
      </w:r>
      <w:r w:rsidRPr="0012767B">
        <w:t xml:space="preserve"> between Round 18 and Round 20</w:t>
      </w:r>
    </w:p>
    <w:p w14:paraId="0926B3F6" w14:textId="0A67C73F" w:rsidR="0067161C" w:rsidRDefault="0067161C" w:rsidP="005D7320">
      <w:r>
        <w:t>The greatest swings</w:t>
      </w:r>
      <w:r w:rsidR="008C7855">
        <w:t>,</w:t>
      </w:r>
      <w:r>
        <w:t xml:space="preserve"> as illustrated by </w:t>
      </w:r>
      <w:r w:rsidR="009E6DCF">
        <w:t>Figure</w:t>
      </w:r>
      <w:r w:rsidR="00FD56F8">
        <w:t xml:space="preserve"> 9</w:t>
      </w:r>
      <w:r w:rsidR="008C7855">
        <w:t>,</w:t>
      </w:r>
      <w:r>
        <w:t xml:space="preserve"> are the movements in costs weights for:</w:t>
      </w:r>
    </w:p>
    <w:p w14:paraId="23928A35" w14:textId="71435210" w:rsidR="0067161C" w:rsidRDefault="0067161C" w:rsidP="006B3A78">
      <w:pPr>
        <w:pStyle w:val="ListBullet"/>
      </w:pPr>
      <w:r>
        <w:t xml:space="preserve">A06A </w:t>
      </w:r>
      <w:r w:rsidRPr="0067161C">
        <w:t xml:space="preserve">Tracheostomy and/or Ventilation &gt;=96hours, Major Complexity </w:t>
      </w:r>
      <w:r>
        <w:t>which reduced by 5.3</w:t>
      </w:r>
      <w:r w:rsidR="00D43BE7">
        <w:t>7</w:t>
      </w:r>
      <w:r>
        <w:t xml:space="preserve"> cost weights.</w:t>
      </w:r>
    </w:p>
    <w:p w14:paraId="75C218A5" w14:textId="13250FB7" w:rsidR="0067161C" w:rsidRDefault="0067161C" w:rsidP="006B3A78">
      <w:pPr>
        <w:pStyle w:val="ListBullet"/>
      </w:pPr>
      <w:r w:rsidRPr="0067161C">
        <w:t>A06B</w:t>
      </w:r>
      <w:r>
        <w:t xml:space="preserve"> </w:t>
      </w:r>
      <w:r w:rsidRPr="0067161C">
        <w:t>Tracheostomy and/or Ventilation &gt;=96hou</w:t>
      </w:r>
      <w:r>
        <w:t>rs, Intermediate Complexity which reduced by 2.92 cost weights.</w:t>
      </w:r>
    </w:p>
    <w:p w14:paraId="46741737" w14:textId="3F582308" w:rsidR="00E7439E" w:rsidRDefault="0067161C" w:rsidP="006B3A78">
      <w:pPr>
        <w:pStyle w:val="ListBullet"/>
      </w:pPr>
      <w:r w:rsidRPr="0067161C">
        <w:t>F04A</w:t>
      </w:r>
      <w:r>
        <w:t xml:space="preserve"> </w:t>
      </w:r>
      <w:r w:rsidRPr="0067161C">
        <w:t xml:space="preserve">Cardiac Valve Procedures W CPB Pump W/O Invasive Cardiac Invest, Major Comp </w:t>
      </w:r>
      <w:r>
        <w:t>which reduced by 2.38 cost weights.</w:t>
      </w:r>
    </w:p>
    <w:p w14:paraId="5A5D2840" w14:textId="77777777" w:rsidR="00D42284" w:rsidRDefault="0067161C" w:rsidP="0067161C">
      <w:r>
        <w:t>A reason for these reductions</w:t>
      </w:r>
      <w:r w:rsidR="00476F62">
        <w:t xml:space="preserve"> and increases</w:t>
      </w:r>
      <w:r>
        <w:t xml:space="preserve"> in cost weights is the change in sample size, the approach to costing and </w:t>
      </w:r>
      <w:r w:rsidR="000D6D03">
        <w:t>possibility</w:t>
      </w:r>
      <w:r>
        <w:t xml:space="preserve"> the </w:t>
      </w:r>
      <w:r w:rsidR="000D6D03">
        <w:t xml:space="preserve">reduction in </w:t>
      </w:r>
      <w:proofErr w:type="spellStart"/>
      <w:r w:rsidR="000D6D03">
        <w:t>ALoS</w:t>
      </w:r>
      <w:proofErr w:type="spellEnd"/>
      <w:r w:rsidR="000D6D03">
        <w:t xml:space="preserve"> overall.</w:t>
      </w:r>
    </w:p>
    <w:p w14:paraId="66DA4B6E" w14:textId="3EB0205B" w:rsidR="000C546E" w:rsidRDefault="00D42284" w:rsidP="00D42284">
      <w:r>
        <w:t>U62A Paranoia and Acute Psychotic Disorders, Major Complexity increased by 3.37 cost weights</w:t>
      </w:r>
      <w:r w:rsidR="00F30C33">
        <w:t xml:space="preserve"> (</w:t>
      </w:r>
      <w:r w:rsidR="00281672">
        <w:t>see</w:t>
      </w:r>
      <w:r w:rsidR="00F30C33">
        <w:t xml:space="preserve"> </w:t>
      </w:r>
      <w:r w:rsidR="009E6DCF">
        <w:t>Figure</w:t>
      </w:r>
      <w:r w:rsidR="00F30C33">
        <w:t xml:space="preserve"> </w:t>
      </w:r>
      <w:r w:rsidR="00FD56F8">
        <w:t>9</w:t>
      </w:r>
      <w:r w:rsidR="00F30C33">
        <w:t>)</w:t>
      </w:r>
      <w:r>
        <w:t>. This is due to the low number of weighted separations which appear in this DRG. The low number of separations leads to more volatile results.</w:t>
      </w:r>
    </w:p>
    <w:p w14:paraId="0765CF00" w14:textId="46C23674" w:rsidR="00D363C9" w:rsidRPr="006C4E43" w:rsidRDefault="00D363C9" w:rsidP="00D363C9">
      <w:pPr>
        <w:pStyle w:val="Tableoffigures3"/>
      </w:pPr>
      <w:bookmarkStart w:id="240" w:name="_Toc497750041"/>
      <w:proofErr w:type="gramStart"/>
      <w:r w:rsidRPr="006C4E43">
        <w:lastRenderedPageBreak/>
        <w:t xml:space="preserve">Figure </w:t>
      </w:r>
      <w:r>
        <w:t>9</w:t>
      </w:r>
      <w:r w:rsidR="008C0756">
        <w:t>.</w:t>
      </w:r>
      <w:proofErr w:type="gramEnd"/>
      <w:r w:rsidRPr="006C4E43">
        <w:t xml:space="preserve"> Top 20 DRGs for miscellaneous cost bucket</w:t>
      </w:r>
      <w:bookmarkEnd w:id="240"/>
    </w:p>
    <w:p w14:paraId="67C2F323" w14:textId="77777777" w:rsidR="00D363C9" w:rsidRDefault="00D363C9" w:rsidP="00D363C9">
      <w:r>
        <w:rPr>
          <w:noProof/>
        </w:rPr>
        <w:drawing>
          <wp:inline distT="0" distB="0" distL="0" distR="0" wp14:anchorId="3CF67223" wp14:editId="799EDC75">
            <wp:extent cx="5998210" cy="4000500"/>
            <wp:effectExtent l="0" t="0" r="21590" b="19050"/>
            <wp:docPr id="9" name="Chart 9" descr="This figure shows the 20 diagnosis related groups that have the highest miscellaneous cost weight in Round 20 with associated Round 18 valu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702E8D2" w14:textId="77777777" w:rsidR="00D363C9" w:rsidRDefault="00D363C9" w:rsidP="00D42284"/>
    <w:p w14:paraId="65AA72DD" w14:textId="77777777" w:rsidR="00D363C9" w:rsidRDefault="00D363C9" w:rsidP="00D42284"/>
    <w:p w14:paraId="5705796D" w14:textId="77777777" w:rsidR="00D363C9" w:rsidRDefault="00D363C9" w:rsidP="00D42284">
      <w:pPr>
        <w:sectPr w:rsidR="00D363C9" w:rsidSect="006B3A78">
          <w:pgSz w:w="11907" w:h="16840" w:code="9"/>
          <w:pgMar w:top="2041" w:right="1440" w:bottom="1021" w:left="1021" w:header="680" w:footer="510" w:gutter="0"/>
          <w:cols w:space="708"/>
          <w:docGrid w:linePitch="360"/>
        </w:sectPr>
      </w:pPr>
    </w:p>
    <w:p w14:paraId="0CE4A285" w14:textId="05D61628" w:rsidR="00A24567" w:rsidRDefault="006654BA" w:rsidP="006F21D0">
      <w:pPr>
        <w:pStyle w:val="TableHeadings3"/>
      </w:pPr>
      <w:bookmarkStart w:id="241" w:name="_Toc497488049"/>
      <w:bookmarkStart w:id="242" w:name="_Toc497750027"/>
      <w:proofErr w:type="gramStart"/>
      <w:r>
        <w:lastRenderedPageBreak/>
        <w:t>Table 13</w:t>
      </w:r>
      <w:r w:rsidR="008C0756">
        <w:t>.</w:t>
      </w:r>
      <w:proofErr w:type="gramEnd"/>
      <w:r w:rsidR="00476F62">
        <w:t xml:space="preserve"> Top 20 </w:t>
      </w:r>
      <w:r w:rsidR="005D7320">
        <w:t>DRGs for miscellaneous (Misc.) cost bucket</w:t>
      </w:r>
      <w:bookmarkEnd w:id="241"/>
      <w:bookmarkEnd w:id="242"/>
      <w:r w:rsidR="005D7320">
        <w:t xml:space="preserve"> </w:t>
      </w:r>
    </w:p>
    <w:tbl>
      <w:tblPr>
        <w:tblW w:w="14766" w:type="dxa"/>
        <w:tblInd w:w="59" w:type="dxa"/>
        <w:tblLook w:val="04A0" w:firstRow="1" w:lastRow="0" w:firstColumn="1" w:lastColumn="0" w:noHBand="0" w:noVBand="1"/>
      </w:tblPr>
      <w:tblGrid>
        <w:gridCol w:w="660"/>
        <w:gridCol w:w="758"/>
        <w:gridCol w:w="605"/>
        <w:gridCol w:w="5182"/>
        <w:gridCol w:w="308"/>
        <w:gridCol w:w="567"/>
        <w:gridCol w:w="839"/>
        <w:gridCol w:w="702"/>
        <w:gridCol w:w="702"/>
        <w:gridCol w:w="702"/>
        <w:gridCol w:w="702"/>
        <w:gridCol w:w="706"/>
        <w:gridCol w:w="730"/>
        <w:gridCol w:w="901"/>
        <w:gridCol w:w="702"/>
      </w:tblGrid>
      <w:tr w:rsidR="00532BC8" w:rsidRPr="00532BC8" w14:paraId="6B724DA7" w14:textId="77777777" w:rsidTr="008C0756">
        <w:tc>
          <w:tcPr>
            <w:tcW w:w="660" w:type="dxa"/>
            <w:vMerge w:val="restart"/>
            <w:tcBorders>
              <w:top w:val="single" w:sz="4" w:space="0" w:color="auto"/>
              <w:left w:val="nil"/>
              <w:bottom w:val="single" w:sz="4" w:space="0" w:color="000000"/>
              <w:right w:val="nil"/>
            </w:tcBorders>
            <w:shd w:val="clear" w:color="000000" w:fill="FFFFFF"/>
            <w:hideMark/>
          </w:tcPr>
          <w:p w14:paraId="20BDA3DA" w14:textId="35F97C20" w:rsidR="00532BC8" w:rsidRPr="00532BC8" w:rsidRDefault="00532BC8" w:rsidP="00A66B65">
            <w:pPr>
              <w:spacing w:after="0"/>
              <w:jc w:val="center"/>
              <w:rPr>
                <w:b/>
                <w:bCs/>
                <w:color w:val="000000"/>
                <w:sz w:val="14"/>
                <w:szCs w:val="14"/>
                <w:lang w:val="en-US" w:eastAsia="en-US"/>
              </w:rPr>
            </w:pPr>
            <w:r w:rsidRPr="00532BC8">
              <w:rPr>
                <w:b/>
                <w:bCs/>
                <w:color w:val="000000"/>
                <w:sz w:val="14"/>
                <w:szCs w:val="14"/>
                <w:lang w:val="en-US" w:eastAsia="en-US"/>
              </w:rPr>
              <w:t>Top 20 Round 18</w:t>
            </w:r>
          </w:p>
        </w:tc>
        <w:tc>
          <w:tcPr>
            <w:tcW w:w="758" w:type="dxa"/>
            <w:vMerge w:val="restart"/>
            <w:tcBorders>
              <w:top w:val="single" w:sz="4" w:space="0" w:color="auto"/>
              <w:left w:val="nil"/>
              <w:bottom w:val="single" w:sz="4" w:space="0" w:color="000000"/>
              <w:right w:val="nil"/>
            </w:tcBorders>
            <w:shd w:val="clear" w:color="000000" w:fill="FFFFFF"/>
            <w:hideMark/>
          </w:tcPr>
          <w:p w14:paraId="26439719" w14:textId="0CAE9DDB" w:rsidR="00532BC8" w:rsidRPr="00532BC8" w:rsidRDefault="00532BC8" w:rsidP="00A66B65">
            <w:pPr>
              <w:spacing w:after="0"/>
              <w:jc w:val="center"/>
              <w:rPr>
                <w:b/>
                <w:bCs/>
                <w:color w:val="000000"/>
                <w:sz w:val="14"/>
                <w:szCs w:val="14"/>
                <w:lang w:val="en-US" w:eastAsia="en-US"/>
              </w:rPr>
            </w:pPr>
            <w:r w:rsidRPr="00532BC8">
              <w:rPr>
                <w:b/>
                <w:bCs/>
                <w:color w:val="000000"/>
                <w:sz w:val="14"/>
                <w:szCs w:val="14"/>
                <w:lang w:val="en-US" w:eastAsia="en-US"/>
              </w:rPr>
              <w:t>Rank Round 20</w:t>
            </w:r>
          </w:p>
        </w:tc>
        <w:tc>
          <w:tcPr>
            <w:tcW w:w="605" w:type="dxa"/>
            <w:vMerge w:val="restart"/>
            <w:tcBorders>
              <w:top w:val="single" w:sz="4" w:space="0" w:color="auto"/>
              <w:left w:val="nil"/>
              <w:bottom w:val="single" w:sz="4" w:space="0" w:color="000000"/>
              <w:right w:val="nil"/>
            </w:tcBorders>
            <w:shd w:val="clear" w:color="000000" w:fill="FFFFFF"/>
            <w:hideMark/>
          </w:tcPr>
          <w:p w14:paraId="0A0856B4" w14:textId="6F86E100" w:rsidR="00532BC8" w:rsidRPr="00532BC8" w:rsidRDefault="00532BC8" w:rsidP="00A66B65">
            <w:pPr>
              <w:spacing w:after="0"/>
              <w:rPr>
                <w:b/>
                <w:bCs/>
                <w:color w:val="000000"/>
                <w:sz w:val="14"/>
                <w:szCs w:val="14"/>
                <w:lang w:val="en-US" w:eastAsia="en-US"/>
              </w:rPr>
            </w:pPr>
            <w:r w:rsidRPr="00532BC8">
              <w:rPr>
                <w:b/>
                <w:bCs/>
                <w:color w:val="000000"/>
                <w:sz w:val="14"/>
                <w:szCs w:val="14"/>
                <w:lang w:val="en-US" w:eastAsia="en-US"/>
              </w:rPr>
              <w:t>DRG</w:t>
            </w:r>
          </w:p>
        </w:tc>
        <w:tc>
          <w:tcPr>
            <w:tcW w:w="5182" w:type="dxa"/>
            <w:vMerge w:val="restart"/>
            <w:tcBorders>
              <w:top w:val="single" w:sz="4" w:space="0" w:color="auto"/>
              <w:left w:val="nil"/>
              <w:bottom w:val="single" w:sz="4" w:space="0" w:color="000000"/>
              <w:right w:val="nil"/>
            </w:tcBorders>
            <w:shd w:val="clear" w:color="000000" w:fill="FFFFFF"/>
            <w:noWrap/>
            <w:hideMark/>
          </w:tcPr>
          <w:p w14:paraId="7CF2E8D7" w14:textId="313ADD5D" w:rsidR="00532BC8" w:rsidRPr="00532BC8" w:rsidRDefault="00532BC8" w:rsidP="00A66B65">
            <w:pPr>
              <w:spacing w:after="0"/>
              <w:jc w:val="center"/>
              <w:rPr>
                <w:b/>
                <w:bCs/>
                <w:color w:val="000000"/>
                <w:sz w:val="14"/>
                <w:szCs w:val="14"/>
                <w:lang w:val="en-US" w:eastAsia="en-US"/>
              </w:rPr>
            </w:pPr>
            <w:r w:rsidRPr="00532BC8">
              <w:rPr>
                <w:b/>
                <w:bCs/>
                <w:color w:val="000000"/>
                <w:sz w:val="14"/>
                <w:szCs w:val="14"/>
                <w:lang w:val="en-US" w:eastAsia="en-US"/>
              </w:rPr>
              <w:t>DRG Description</w:t>
            </w:r>
          </w:p>
        </w:tc>
        <w:tc>
          <w:tcPr>
            <w:tcW w:w="875" w:type="dxa"/>
            <w:gridSpan w:val="2"/>
            <w:vMerge w:val="restart"/>
            <w:tcBorders>
              <w:top w:val="single" w:sz="4" w:space="0" w:color="auto"/>
              <w:left w:val="nil"/>
              <w:bottom w:val="single" w:sz="4" w:space="0" w:color="000000"/>
              <w:right w:val="nil"/>
            </w:tcBorders>
            <w:shd w:val="clear" w:color="000000" w:fill="FFFFFF"/>
            <w:hideMark/>
          </w:tcPr>
          <w:p w14:paraId="0DDB7BD1" w14:textId="77777777" w:rsidR="00532BC8" w:rsidRPr="00532BC8" w:rsidRDefault="00532BC8" w:rsidP="00A66B65">
            <w:pPr>
              <w:spacing w:after="0"/>
              <w:jc w:val="center"/>
              <w:rPr>
                <w:b/>
                <w:bCs/>
                <w:color w:val="000000"/>
                <w:sz w:val="14"/>
                <w:szCs w:val="14"/>
                <w:lang w:val="en-US" w:eastAsia="en-US"/>
              </w:rPr>
            </w:pPr>
            <w:proofErr w:type="spellStart"/>
            <w:r w:rsidRPr="00532BC8">
              <w:rPr>
                <w:b/>
                <w:bCs/>
                <w:color w:val="000000"/>
                <w:sz w:val="14"/>
                <w:szCs w:val="14"/>
                <w:lang w:val="en-US" w:eastAsia="en-US"/>
              </w:rPr>
              <w:t>Miscell-aneous</w:t>
            </w:r>
            <w:proofErr w:type="spellEnd"/>
            <w:r w:rsidRPr="00532BC8">
              <w:rPr>
                <w:b/>
                <w:bCs/>
                <w:color w:val="000000"/>
                <w:sz w:val="14"/>
                <w:szCs w:val="14"/>
                <w:lang w:val="en-US" w:eastAsia="en-US"/>
              </w:rPr>
              <w:t xml:space="preserve"> cost weight</w:t>
            </w:r>
            <w:r w:rsidRPr="00532BC8">
              <w:rPr>
                <w:b/>
                <w:bCs/>
                <w:color w:val="000000"/>
                <w:sz w:val="14"/>
                <w:szCs w:val="14"/>
                <w:lang w:val="en-US" w:eastAsia="en-US"/>
              </w:rPr>
              <w:br/>
              <w:t>(a)</w:t>
            </w:r>
          </w:p>
        </w:tc>
        <w:tc>
          <w:tcPr>
            <w:tcW w:w="839" w:type="dxa"/>
            <w:vMerge w:val="restart"/>
            <w:tcBorders>
              <w:top w:val="single" w:sz="4" w:space="0" w:color="auto"/>
              <w:left w:val="nil"/>
              <w:bottom w:val="single" w:sz="4" w:space="0" w:color="000000"/>
              <w:right w:val="nil"/>
            </w:tcBorders>
            <w:shd w:val="clear" w:color="000000" w:fill="FFFFFF"/>
            <w:hideMark/>
          </w:tcPr>
          <w:p w14:paraId="3829B035" w14:textId="77777777" w:rsidR="00532BC8" w:rsidRPr="00532BC8" w:rsidRDefault="00532BC8" w:rsidP="00A66B65">
            <w:pPr>
              <w:spacing w:after="0"/>
              <w:jc w:val="center"/>
              <w:rPr>
                <w:b/>
                <w:bCs/>
                <w:color w:val="000000"/>
                <w:sz w:val="14"/>
                <w:szCs w:val="14"/>
                <w:lang w:val="en-US" w:eastAsia="en-US"/>
              </w:rPr>
            </w:pPr>
            <w:r w:rsidRPr="00532BC8">
              <w:rPr>
                <w:b/>
                <w:bCs/>
                <w:color w:val="000000"/>
                <w:sz w:val="14"/>
                <w:szCs w:val="14"/>
                <w:lang w:val="en-US" w:eastAsia="en-US"/>
              </w:rPr>
              <w:t xml:space="preserve">No. of weighted </w:t>
            </w:r>
            <w:proofErr w:type="spellStart"/>
            <w:r w:rsidRPr="00532BC8">
              <w:rPr>
                <w:b/>
                <w:bCs/>
                <w:color w:val="000000"/>
                <w:sz w:val="14"/>
                <w:szCs w:val="14"/>
                <w:lang w:val="en-US" w:eastAsia="en-US"/>
              </w:rPr>
              <w:t>seps</w:t>
            </w:r>
            <w:proofErr w:type="spellEnd"/>
            <w:r w:rsidRPr="00532BC8">
              <w:rPr>
                <w:b/>
                <w:bCs/>
                <w:color w:val="000000"/>
                <w:sz w:val="14"/>
                <w:szCs w:val="14"/>
                <w:lang w:val="en-US" w:eastAsia="en-US"/>
              </w:rPr>
              <w:br/>
              <w:t>(b)</w:t>
            </w:r>
          </w:p>
        </w:tc>
        <w:tc>
          <w:tcPr>
            <w:tcW w:w="702" w:type="dxa"/>
            <w:vMerge w:val="restart"/>
            <w:tcBorders>
              <w:top w:val="single" w:sz="4" w:space="0" w:color="auto"/>
              <w:left w:val="nil"/>
              <w:bottom w:val="single" w:sz="4" w:space="0" w:color="000000"/>
              <w:right w:val="nil"/>
            </w:tcBorders>
            <w:shd w:val="clear" w:color="000000" w:fill="FFFFFF"/>
            <w:hideMark/>
          </w:tcPr>
          <w:p w14:paraId="3259AC55" w14:textId="77777777" w:rsidR="00532BC8" w:rsidRPr="00532BC8" w:rsidRDefault="00532BC8" w:rsidP="00A66B65">
            <w:pPr>
              <w:spacing w:after="0"/>
              <w:jc w:val="center"/>
              <w:rPr>
                <w:b/>
                <w:bCs/>
                <w:color w:val="000000"/>
                <w:sz w:val="14"/>
                <w:szCs w:val="14"/>
                <w:lang w:val="en-US" w:eastAsia="en-US"/>
              </w:rPr>
            </w:pPr>
            <w:r w:rsidRPr="00532BC8">
              <w:rPr>
                <w:b/>
                <w:bCs/>
                <w:color w:val="000000"/>
                <w:sz w:val="14"/>
                <w:szCs w:val="14"/>
                <w:lang w:val="en-US" w:eastAsia="en-US"/>
              </w:rPr>
              <w:t>Overall cost weight</w:t>
            </w:r>
            <w:r w:rsidRPr="00532BC8">
              <w:rPr>
                <w:b/>
                <w:bCs/>
                <w:color w:val="000000"/>
                <w:sz w:val="14"/>
                <w:szCs w:val="14"/>
                <w:lang w:val="en-US" w:eastAsia="en-US"/>
              </w:rPr>
              <w:br/>
              <w:t>(c)</w:t>
            </w:r>
          </w:p>
        </w:tc>
        <w:tc>
          <w:tcPr>
            <w:tcW w:w="702" w:type="dxa"/>
            <w:vMerge w:val="restart"/>
            <w:tcBorders>
              <w:top w:val="single" w:sz="4" w:space="0" w:color="auto"/>
              <w:left w:val="nil"/>
              <w:bottom w:val="single" w:sz="4" w:space="0" w:color="000000"/>
              <w:right w:val="single" w:sz="4" w:space="0" w:color="000000"/>
            </w:tcBorders>
            <w:shd w:val="clear" w:color="000000" w:fill="FFFFFF"/>
            <w:hideMark/>
          </w:tcPr>
          <w:p w14:paraId="353512DE" w14:textId="77777777" w:rsidR="00532BC8" w:rsidRPr="00532BC8" w:rsidRDefault="00532BC8" w:rsidP="00A66B65">
            <w:pPr>
              <w:spacing w:after="0"/>
              <w:jc w:val="center"/>
              <w:rPr>
                <w:b/>
                <w:bCs/>
                <w:color w:val="000000"/>
                <w:sz w:val="14"/>
                <w:szCs w:val="14"/>
                <w:lang w:val="en-US" w:eastAsia="en-US"/>
              </w:rPr>
            </w:pPr>
            <w:proofErr w:type="spellStart"/>
            <w:r w:rsidRPr="00532BC8">
              <w:rPr>
                <w:b/>
                <w:bCs/>
                <w:color w:val="000000"/>
                <w:sz w:val="14"/>
                <w:szCs w:val="14"/>
                <w:lang w:val="en-US" w:eastAsia="en-US"/>
              </w:rPr>
              <w:t>ALoS</w:t>
            </w:r>
            <w:proofErr w:type="spellEnd"/>
            <w:r w:rsidRPr="00532BC8">
              <w:rPr>
                <w:b/>
                <w:bCs/>
                <w:color w:val="000000"/>
                <w:sz w:val="14"/>
                <w:szCs w:val="14"/>
                <w:lang w:val="en-US" w:eastAsia="en-US"/>
              </w:rPr>
              <w:t xml:space="preserve"> (days)</w:t>
            </w:r>
            <w:r w:rsidRPr="00532BC8">
              <w:rPr>
                <w:b/>
                <w:bCs/>
                <w:color w:val="000000"/>
                <w:sz w:val="14"/>
                <w:szCs w:val="14"/>
                <w:lang w:val="en-US" w:eastAsia="en-US"/>
              </w:rPr>
              <w:br/>
              <w:t>(d)</w:t>
            </w:r>
          </w:p>
        </w:tc>
        <w:tc>
          <w:tcPr>
            <w:tcW w:w="2840" w:type="dxa"/>
            <w:gridSpan w:val="4"/>
            <w:tcBorders>
              <w:top w:val="single" w:sz="4" w:space="0" w:color="auto"/>
              <w:left w:val="single" w:sz="4" w:space="0" w:color="000000"/>
              <w:bottom w:val="single" w:sz="4" w:space="0" w:color="auto"/>
              <w:right w:val="nil"/>
            </w:tcBorders>
            <w:shd w:val="clear" w:color="000000" w:fill="FFFFFF"/>
            <w:noWrap/>
            <w:hideMark/>
          </w:tcPr>
          <w:p w14:paraId="5021AE42" w14:textId="1A7022BD" w:rsidR="00532BC8" w:rsidRPr="00532BC8" w:rsidRDefault="00476F62" w:rsidP="00A66B65">
            <w:pPr>
              <w:spacing w:after="0"/>
              <w:jc w:val="center"/>
              <w:rPr>
                <w:b/>
                <w:bCs/>
                <w:color w:val="000000"/>
                <w:sz w:val="14"/>
                <w:szCs w:val="14"/>
                <w:lang w:val="en-US" w:eastAsia="en-US"/>
              </w:rPr>
            </w:pPr>
            <w:r>
              <w:rPr>
                <w:b/>
                <w:bCs/>
                <w:color w:val="000000"/>
                <w:sz w:val="14"/>
                <w:szCs w:val="14"/>
                <w:lang w:val="en-US" w:eastAsia="en-US"/>
              </w:rPr>
              <w:t xml:space="preserve">% of </w:t>
            </w:r>
            <w:r w:rsidR="00532BC8" w:rsidRPr="00532BC8">
              <w:rPr>
                <w:b/>
                <w:bCs/>
                <w:color w:val="000000"/>
                <w:sz w:val="14"/>
                <w:szCs w:val="14"/>
                <w:lang w:val="en-US" w:eastAsia="en-US"/>
              </w:rPr>
              <w:t>DRG total cost</w:t>
            </w:r>
          </w:p>
        </w:tc>
        <w:tc>
          <w:tcPr>
            <w:tcW w:w="901" w:type="dxa"/>
            <w:vMerge w:val="restart"/>
            <w:tcBorders>
              <w:top w:val="single" w:sz="4" w:space="0" w:color="auto"/>
              <w:left w:val="single" w:sz="4" w:space="0" w:color="auto"/>
              <w:bottom w:val="single" w:sz="4" w:space="0" w:color="000000"/>
              <w:right w:val="nil"/>
            </w:tcBorders>
            <w:shd w:val="clear" w:color="000000" w:fill="FFFFFF"/>
            <w:hideMark/>
          </w:tcPr>
          <w:p w14:paraId="3726EB20" w14:textId="77777777" w:rsidR="00532BC8" w:rsidRPr="00532BC8" w:rsidRDefault="00532BC8" w:rsidP="00A66B65">
            <w:pPr>
              <w:spacing w:after="0"/>
              <w:jc w:val="center"/>
              <w:rPr>
                <w:b/>
                <w:bCs/>
                <w:color w:val="000000"/>
                <w:sz w:val="14"/>
                <w:szCs w:val="14"/>
                <w:lang w:val="en-US" w:eastAsia="en-US"/>
              </w:rPr>
            </w:pPr>
            <w:r w:rsidRPr="00532BC8">
              <w:rPr>
                <w:b/>
                <w:bCs/>
                <w:color w:val="000000"/>
                <w:sz w:val="14"/>
                <w:szCs w:val="14"/>
                <w:lang w:val="en-US" w:eastAsia="en-US"/>
              </w:rPr>
              <w:t xml:space="preserve">Round 18 </w:t>
            </w:r>
            <w:proofErr w:type="spellStart"/>
            <w:r w:rsidRPr="00532BC8">
              <w:rPr>
                <w:b/>
                <w:bCs/>
                <w:color w:val="000000"/>
                <w:sz w:val="14"/>
                <w:szCs w:val="14"/>
                <w:lang w:val="en-US" w:eastAsia="en-US"/>
              </w:rPr>
              <w:t>miscellan-eous</w:t>
            </w:r>
            <w:proofErr w:type="spellEnd"/>
            <w:r w:rsidRPr="00532BC8">
              <w:rPr>
                <w:b/>
                <w:bCs/>
                <w:color w:val="000000"/>
                <w:sz w:val="14"/>
                <w:szCs w:val="14"/>
                <w:lang w:val="en-US" w:eastAsia="en-US"/>
              </w:rPr>
              <w:t xml:space="preserve"> cost weight</w:t>
            </w:r>
          </w:p>
        </w:tc>
        <w:tc>
          <w:tcPr>
            <w:tcW w:w="702" w:type="dxa"/>
            <w:vMerge w:val="restart"/>
            <w:tcBorders>
              <w:top w:val="single" w:sz="4" w:space="0" w:color="auto"/>
              <w:left w:val="nil"/>
              <w:bottom w:val="single" w:sz="4" w:space="0" w:color="000000"/>
              <w:right w:val="nil"/>
            </w:tcBorders>
            <w:shd w:val="clear" w:color="000000" w:fill="FFFFFF"/>
            <w:hideMark/>
          </w:tcPr>
          <w:p w14:paraId="6B16F999" w14:textId="77777777" w:rsidR="00532BC8" w:rsidRPr="00532BC8" w:rsidRDefault="00532BC8" w:rsidP="00A66B65">
            <w:pPr>
              <w:spacing w:after="0"/>
              <w:jc w:val="center"/>
              <w:rPr>
                <w:b/>
                <w:bCs/>
                <w:color w:val="000000"/>
                <w:sz w:val="14"/>
                <w:szCs w:val="14"/>
                <w:lang w:val="en-US" w:eastAsia="en-US"/>
              </w:rPr>
            </w:pPr>
            <w:r w:rsidRPr="00532BC8">
              <w:rPr>
                <w:b/>
                <w:bCs/>
                <w:color w:val="000000"/>
                <w:sz w:val="14"/>
                <w:szCs w:val="14"/>
                <w:lang w:val="en-US" w:eastAsia="en-US"/>
              </w:rPr>
              <w:t>Rank Round 18</w:t>
            </w:r>
          </w:p>
        </w:tc>
      </w:tr>
      <w:tr w:rsidR="00532BC8" w:rsidRPr="00532BC8" w14:paraId="629BEDE1" w14:textId="77777777" w:rsidTr="008C0756">
        <w:trPr>
          <w:trHeight w:val="312"/>
        </w:trPr>
        <w:tc>
          <w:tcPr>
            <w:tcW w:w="660" w:type="dxa"/>
            <w:vMerge/>
            <w:tcBorders>
              <w:top w:val="single" w:sz="4" w:space="0" w:color="auto"/>
              <w:left w:val="nil"/>
              <w:bottom w:val="single" w:sz="4" w:space="0" w:color="000000"/>
              <w:right w:val="nil"/>
            </w:tcBorders>
            <w:vAlign w:val="center"/>
            <w:hideMark/>
          </w:tcPr>
          <w:p w14:paraId="1B19EF3D" w14:textId="77777777" w:rsidR="00532BC8" w:rsidRPr="00532BC8" w:rsidRDefault="00532BC8" w:rsidP="00532BC8">
            <w:pPr>
              <w:rPr>
                <w:b/>
                <w:bCs/>
                <w:color w:val="000000"/>
                <w:sz w:val="14"/>
                <w:szCs w:val="14"/>
                <w:lang w:val="en-US" w:eastAsia="en-US"/>
              </w:rPr>
            </w:pPr>
          </w:p>
        </w:tc>
        <w:tc>
          <w:tcPr>
            <w:tcW w:w="758" w:type="dxa"/>
            <w:vMerge/>
            <w:tcBorders>
              <w:top w:val="single" w:sz="4" w:space="0" w:color="auto"/>
              <w:left w:val="nil"/>
              <w:bottom w:val="single" w:sz="4" w:space="0" w:color="000000"/>
              <w:right w:val="nil"/>
            </w:tcBorders>
            <w:vAlign w:val="center"/>
            <w:hideMark/>
          </w:tcPr>
          <w:p w14:paraId="4CFBBC78" w14:textId="77777777" w:rsidR="00532BC8" w:rsidRPr="00532BC8" w:rsidRDefault="00532BC8" w:rsidP="00532BC8">
            <w:pPr>
              <w:rPr>
                <w:b/>
                <w:bCs/>
                <w:color w:val="000000"/>
                <w:sz w:val="14"/>
                <w:szCs w:val="14"/>
                <w:lang w:val="en-US" w:eastAsia="en-US"/>
              </w:rPr>
            </w:pPr>
          </w:p>
        </w:tc>
        <w:tc>
          <w:tcPr>
            <w:tcW w:w="605" w:type="dxa"/>
            <w:vMerge/>
            <w:tcBorders>
              <w:top w:val="single" w:sz="4" w:space="0" w:color="auto"/>
              <w:left w:val="nil"/>
              <w:bottom w:val="single" w:sz="4" w:space="0" w:color="000000"/>
              <w:right w:val="nil"/>
            </w:tcBorders>
            <w:vAlign w:val="center"/>
            <w:hideMark/>
          </w:tcPr>
          <w:p w14:paraId="707A221B" w14:textId="77777777" w:rsidR="00532BC8" w:rsidRPr="00532BC8" w:rsidRDefault="00532BC8" w:rsidP="00532BC8">
            <w:pPr>
              <w:rPr>
                <w:b/>
                <w:bCs/>
                <w:color w:val="000000"/>
                <w:sz w:val="14"/>
                <w:szCs w:val="14"/>
                <w:lang w:val="en-US" w:eastAsia="en-US"/>
              </w:rPr>
            </w:pPr>
          </w:p>
        </w:tc>
        <w:tc>
          <w:tcPr>
            <w:tcW w:w="5182" w:type="dxa"/>
            <w:vMerge/>
            <w:tcBorders>
              <w:top w:val="single" w:sz="4" w:space="0" w:color="auto"/>
              <w:left w:val="nil"/>
              <w:bottom w:val="single" w:sz="4" w:space="0" w:color="000000"/>
              <w:right w:val="nil"/>
            </w:tcBorders>
            <w:vAlign w:val="center"/>
            <w:hideMark/>
          </w:tcPr>
          <w:p w14:paraId="187B4FD6" w14:textId="77777777" w:rsidR="00532BC8" w:rsidRPr="00532BC8" w:rsidRDefault="00532BC8" w:rsidP="00532BC8">
            <w:pPr>
              <w:rPr>
                <w:b/>
                <w:bCs/>
                <w:color w:val="000000"/>
                <w:sz w:val="14"/>
                <w:szCs w:val="14"/>
                <w:lang w:val="en-US" w:eastAsia="en-US"/>
              </w:rPr>
            </w:pPr>
          </w:p>
        </w:tc>
        <w:tc>
          <w:tcPr>
            <w:tcW w:w="875" w:type="dxa"/>
            <w:gridSpan w:val="2"/>
            <w:vMerge/>
            <w:tcBorders>
              <w:top w:val="single" w:sz="4" w:space="0" w:color="auto"/>
              <w:left w:val="nil"/>
              <w:bottom w:val="single" w:sz="4" w:space="0" w:color="000000"/>
              <w:right w:val="nil"/>
            </w:tcBorders>
            <w:vAlign w:val="center"/>
            <w:hideMark/>
          </w:tcPr>
          <w:p w14:paraId="4DB2791E" w14:textId="77777777" w:rsidR="00532BC8" w:rsidRPr="00532BC8" w:rsidRDefault="00532BC8" w:rsidP="00532BC8">
            <w:pPr>
              <w:rPr>
                <w:b/>
                <w:bCs/>
                <w:color w:val="000000"/>
                <w:sz w:val="14"/>
                <w:szCs w:val="14"/>
                <w:lang w:val="en-US" w:eastAsia="en-US"/>
              </w:rPr>
            </w:pPr>
          </w:p>
        </w:tc>
        <w:tc>
          <w:tcPr>
            <w:tcW w:w="839" w:type="dxa"/>
            <w:vMerge/>
            <w:tcBorders>
              <w:top w:val="single" w:sz="4" w:space="0" w:color="auto"/>
              <w:left w:val="nil"/>
              <w:bottom w:val="single" w:sz="4" w:space="0" w:color="000000"/>
              <w:right w:val="nil"/>
            </w:tcBorders>
            <w:vAlign w:val="center"/>
            <w:hideMark/>
          </w:tcPr>
          <w:p w14:paraId="52DD4C76" w14:textId="77777777" w:rsidR="00532BC8" w:rsidRPr="00532BC8" w:rsidRDefault="00532BC8" w:rsidP="00532BC8">
            <w:pPr>
              <w:rPr>
                <w:b/>
                <w:bCs/>
                <w:color w:val="000000"/>
                <w:sz w:val="14"/>
                <w:szCs w:val="14"/>
                <w:lang w:val="en-US" w:eastAsia="en-US"/>
              </w:rPr>
            </w:pPr>
          </w:p>
        </w:tc>
        <w:tc>
          <w:tcPr>
            <w:tcW w:w="702" w:type="dxa"/>
            <w:vMerge/>
            <w:tcBorders>
              <w:top w:val="single" w:sz="4" w:space="0" w:color="auto"/>
              <w:left w:val="nil"/>
              <w:bottom w:val="single" w:sz="4" w:space="0" w:color="000000"/>
              <w:right w:val="nil"/>
            </w:tcBorders>
            <w:vAlign w:val="center"/>
            <w:hideMark/>
          </w:tcPr>
          <w:p w14:paraId="0ECB3F89" w14:textId="77777777" w:rsidR="00532BC8" w:rsidRPr="00532BC8" w:rsidRDefault="00532BC8" w:rsidP="00532BC8">
            <w:pPr>
              <w:rPr>
                <w:b/>
                <w:bCs/>
                <w:color w:val="000000"/>
                <w:sz w:val="14"/>
                <w:szCs w:val="14"/>
                <w:lang w:val="en-US" w:eastAsia="en-US"/>
              </w:rPr>
            </w:pPr>
          </w:p>
        </w:tc>
        <w:tc>
          <w:tcPr>
            <w:tcW w:w="702" w:type="dxa"/>
            <w:vMerge/>
            <w:tcBorders>
              <w:top w:val="single" w:sz="4" w:space="0" w:color="auto"/>
              <w:left w:val="nil"/>
              <w:bottom w:val="single" w:sz="4" w:space="0" w:color="000000"/>
              <w:right w:val="single" w:sz="4" w:space="0" w:color="000000"/>
            </w:tcBorders>
            <w:vAlign w:val="center"/>
            <w:hideMark/>
          </w:tcPr>
          <w:p w14:paraId="26511721" w14:textId="77777777" w:rsidR="00532BC8" w:rsidRPr="00532BC8" w:rsidRDefault="00532BC8" w:rsidP="00532BC8">
            <w:pPr>
              <w:rPr>
                <w:b/>
                <w:bCs/>
                <w:color w:val="000000"/>
                <w:sz w:val="14"/>
                <w:szCs w:val="14"/>
                <w:lang w:val="en-US" w:eastAsia="en-US"/>
              </w:rPr>
            </w:pPr>
          </w:p>
        </w:tc>
        <w:tc>
          <w:tcPr>
            <w:tcW w:w="702" w:type="dxa"/>
            <w:vMerge w:val="restart"/>
            <w:tcBorders>
              <w:top w:val="nil"/>
              <w:left w:val="single" w:sz="4" w:space="0" w:color="000000"/>
              <w:bottom w:val="single" w:sz="4" w:space="0" w:color="000000"/>
              <w:right w:val="nil"/>
            </w:tcBorders>
            <w:shd w:val="clear" w:color="000000" w:fill="FFFFFF"/>
            <w:hideMark/>
          </w:tcPr>
          <w:p w14:paraId="0FF114D9" w14:textId="77777777" w:rsidR="00532BC8" w:rsidRPr="00532BC8" w:rsidRDefault="00532BC8" w:rsidP="00532BC8">
            <w:pPr>
              <w:jc w:val="center"/>
              <w:rPr>
                <w:b/>
                <w:bCs/>
                <w:color w:val="000000"/>
                <w:sz w:val="14"/>
                <w:szCs w:val="14"/>
                <w:lang w:val="en-US" w:eastAsia="en-US"/>
              </w:rPr>
            </w:pPr>
            <w:r w:rsidRPr="00532BC8">
              <w:rPr>
                <w:b/>
                <w:bCs/>
                <w:color w:val="000000"/>
                <w:sz w:val="14"/>
                <w:szCs w:val="14"/>
                <w:lang w:val="en-US" w:eastAsia="en-US"/>
              </w:rPr>
              <w:t>OR and SPS</w:t>
            </w:r>
          </w:p>
        </w:tc>
        <w:tc>
          <w:tcPr>
            <w:tcW w:w="702" w:type="dxa"/>
            <w:vMerge w:val="restart"/>
            <w:tcBorders>
              <w:top w:val="nil"/>
              <w:left w:val="nil"/>
              <w:bottom w:val="single" w:sz="4" w:space="0" w:color="000000"/>
              <w:right w:val="nil"/>
            </w:tcBorders>
            <w:shd w:val="clear" w:color="000000" w:fill="FFFFFF"/>
            <w:hideMark/>
          </w:tcPr>
          <w:p w14:paraId="2EB983BA" w14:textId="77777777" w:rsidR="00532BC8" w:rsidRPr="00532BC8" w:rsidRDefault="00532BC8" w:rsidP="00532BC8">
            <w:pPr>
              <w:jc w:val="center"/>
              <w:rPr>
                <w:b/>
                <w:bCs/>
                <w:color w:val="000000"/>
                <w:sz w:val="14"/>
                <w:szCs w:val="14"/>
                <w:lang w:val="en-US" w:eastAsia="en-US"/>
              </w:rPr>
            </w:pPr>
            <w:r w:rsidRPr="00532BC8">
              <w:rPr>
                <w:b/>
                <w:bCs/>
                <w:color w:val="000000"/>
                <w:sz w:val="14"/>
                <w:szCs w:val="14"/>
                <w:lang w:val="en-US" w:eastAsia="en-US"/>
              </w:rPr>
              <w:t>Critical care</w:t>
            </w:r>
          </w:p>
        </w:tc>
        <w:tc>
          <w:tcPr>
            <w:tcW w:w="706" w:type="dxa"/>
            <w:vMerge w:val="restart"/>
            <w:tcBorders>
              <w:top w:val="nil"/>
              <w:left w:val="nil"/>
              <w:bottom w:val="single" w:sz="4" w:space="0" w:color="000000"/>
              <w:right w:val="nil"/>
            </w:tcBorders>
            <w:shd w:val="clear" w:color="000000" w:fill="FFFFFF"/>
            <w:hideMark/>
          </w:tcPr>
          <w:p w14:paraId="1DFF4792" w14:textId="77777777" w:rsidR="00532BC8" w:rsidRPr="00532BC8" w:rsidRDefault="00532BC8" w:rsidP="00532BC8">
            <w:pPr>
              <w:jc w:val="center"/>
              <w:rPr>
                <w:b/>
                <w:bCs/>
                <w:color w:val="000000"/>
                <w:sz w:val="14"/>
                <w:szCs w:val="14"/>
                <w:lang w:val="en-US" w:eastAsia="en-US"/>
              </w:rPr>
            </w:pPr>
            <w:proofErr w:type="spellStart"/>
            <w:r w:rsidRPr="00532BC8">
              <w:rPr>
                <w:b/>
                <w:bCs/>
                <w:color w:val="000000"/>
                <w:sz w:val="14"/>
                <w:szCs w:val="14"/>
                <w:lang w:val="en-US" w:eastAsia="en-US"/>
              </w:rPr>
              <w:t>Prosth-esis</w:t>
            </w:r>
            <w:proofErr w:type="spellEnd"/>
          </w:p>
        </w:tc>
        <w:tc>
          <w:tcPr>
            <w:tcW w:w="730" w:type="dxa"/>
            <w:vMerge w:val="restart"/>
            <w:tcBorders>
              <w:top w:val="nil"/>
              <w:left w:val="nil"/>
              <w:bottom w:val="single" w:sz="4" w:space="0" w:color="000000"/>
              <w:right w:val="nil"/>
            </w:tcBorders>
            <w:shd w:val="clear" w:color="000000" w:fill="FFFFFF"/>
            <w:hideMark/>
          </w:tcPr>
          <w:p w14:paraId="65696D13" w14:textId="77777777" w:rsidR="00532BC8" w:rsidRPr="00532BC8" w:rsidRDefault="00532BC8" w:rsidP="00532BC8">
            <w:pPr>
              <w:jc w:val="center"/>
              <w:rPr>
                <w:b/>
                <w:bCs/>
                <w:color w:val="000000"/>
                <w:sz w:val="14"/>
                <w:szCs w:val="14"/>
                <w:lang w:val="en-US" w:eastAsia="en-US"/>
              </w:rPr>
            </w:pPr>
            <w:proofErr w:type="spellStart"/>
            <w:r w:rsidRPr="00532BC8">
              <w:rPr>
                <w:b/>
                <w:bCs/>
                <w:color w:val="000000"/>
                <w:sz w:val="14"/>
                <w:szCs w:val="14"/>
                <w:lang w:val="en-US" w:eastAsia="en-US"/>
              </w:rPr>
              <w:t>Miscell-aneous</w:t>
            </w:r>
            <w:proofErr w:type="spellEnd"/>
            <w:r w:rsidRPr="00532BC8">
              <w:rPr>
                <w:b/>
                <w:bCs/>
                <w:color w:val="000000"/>
                <w:sz w:val="14"/>
                <w:szCs w:val="14"/>
                <w:lang w:val="en-US" w:eastAsia="en-US"/>
              </w:rPr>
              <w:t xml:space="preserve"> </w:t>
            </w:r>
          </w:p>
        </w:tc>
        <w:tc>
          <w:tcPr>
            <w:tcW w:w="901" w:type="dxa"/>
            <w:vMerge/>
            <w:tcBorders>
              <w:top w:val="single" w:sz="4" w:space="0" w:color="auto"/>
              <w:left w:val="single" w:sz="4" w:space="0" w:color="auto"/>
              <w:bottom w:val="single" w:sz="4" w:space="0" w:color="000000"/>
              <w:right w:val="nil"/>
            </w:tcBorders>
            <w:vAlign w:val="center"/>
            <w:hideMark/>
          </w:tcPr>
          <w:p w14:paraId="188A6538" w14:textId="77777777" w:rsidR="00532BC8" w:rsidRPr="00532BC8" w:rsidRDefault="00532BC8" w:rsidP="00532BC8">
            <w:pPr>
              <w:rPr>
                <w:b/>
                <w:bCs/>
                <w:color w:val="000000"/>
                <w:sz w:val="14"/>
                <w:szCs w:val="14"/>
                <w:lang w:val="en-US" w:eastAsia="en-US"/>
              </w:rPr>
            </w:pPr>
          </w:p>
        </w:tc>
        <w:tc>
          <w:tcPr>
            <w:tcW w:w="702" w:type="dxa"/>
            <w:vMerge/>
            <w:tcBorders>
              <w:top w:val="single" w:sz="4" w:space="0" w:color="auto"/>
              <w:left w:val="nil"/>
              <w:bottom w:val="single" w:sz="4" w:space="0" w:color="000000"/>
              <w:right w:val="nil"/>
            </w:tcBorders>
            <w:vAlign w:val="center"/>
            <w:hideMark/>
          </w:tcPr>
          <w:p w14:paraId="1059DDBA" w14:textId="77777777" w:rsidR="00532BC8" w:rsidRPr="00532BC8" w:rsidRDefault="00532BC8" w:rsidP="00532BC8">
            <w:pPr>
              <w:rPr>
                <w:b/>
                <w:bCs/>
                <w:color w:val="000000"/>
                <w:sz w:val="14"/>
                <w:szCs w:val="14"/>
                <w:lang w:val="en-US" w:eastAsia="en-US"/>
              </w:rPr>
            </w:pPr>
          </w:p>
        </w:tc>
      </w:tr>
      <w:tr w:rsidR="00532BC8" w:rsidRPr="00532BC8" w14:paraId="29A2369A" w14:textId="77777777" w:rsidTr="008C0756">
        <w:trPr>
          <w:trHeight w:val="312"/>
        </w:trPr>
        <w:tc>
          <w:tcPr>
            <w:tcW w:w="660" w:type="dxa"/>
            <w:vMerge/>
            <w:tcBorders>
              <w:top w:val="single" w:sz="4" w:space="0" w:color="auto"/>
              <w:left w:val="nil"/>
              <w:bottom w:val="single" w:sz="4" w:space="0" w:color="000000"/>
              <w:right w:val="nil"/>
            </w:tcBorders>
            <w:vAlign w:val="center"/>
            <w:hideMark/>
          </w:tcPr>
          <w:p w14:paraId="1301AB41" w14:textId="77777777" w:rsidR="00532BC8" w:rsidRPr="00532BC8" w:rsidRDefault="00532BC8" w:rsidP="00532BC8">
            <w:pPr>
              <w:rPr>
                <w:b/>
                <w:bCs/>
                <w:color w:val="000000"/>
                <w:sz w:val="14"/>
                <w:szCs w:val="14"/>
                <w:lang w:val="en-US" w:eastAsia="en-US"/>
              </w:rPr>
            </w:pPr>
          </w:p>
        </w:tc>
        <w:tc>
          <w:tcPr>
            <w:tcW w:w="758" w:type="dxa"/>
            <w:vMerge/>
            <w:tcBorders>
              <w:top w:val="single" w:sz="4" w:space="0" w:color="auto"/>
              <w:left w:val="nil"/>
              <w:bottom w:val="single" w:sz="4" w:space="0" w:color="000000"/>
              <w:right w:val="nil"/>
            </w:tcBorders>
            <w:vAlign w:val="center"/>
            <w:hideMark/>
          </w:tcPr>
          <w:p w14:paraId="4213A046" w14:textId="77777777" w:rsidR="00532BC8" w:rsidRPr="00532BC8" w:rsidRDefault="00532BC8" w:rsidP="00532BC8">
            <w:pPr>
              <w:rPr>
                <w:b/>
                <w:bCs/>
                <w:color w:val="000000"/>
                <w:sz w:val="14"/>
                <w:szCs w:val="14"/>
                <w:lang w:val="en-US" w:eastAsia="en-US"/>
              </w:rPr>
            </w:pPr>
          </w:p>
        </w:tc>
        <w:tc>
          <w:tcPr>
            <w:tcW w:w="605" w:type="dxa"/>
            <w:vMerge/>
            <w:tcBorders>
              <w:top w:val="single" w:sz="4" w:space="0" w:color="auto"/>
              <w:left w:val="nil"/>
              <w:bottom w:val="single" w:sz="4" w:space="0" w:color="000000"/>
              <w:right w:val="nil"/>
            </w:tcBorders>
            <w:vAlign w:val="center"/>
            <w:hideMark/>
          </w:tcPr>
          <w:p w14:paraId="05F87819" w14:textId="77777777" w:rsidR="00532BC8" w:rsidRPr="00532BC8" w:rsidRDefault="00532BC8" w:rsidP="00532BC8">
            <w:pPr>
              <w:rPr>
                <w:b/>
                <w:bCs/>
                <w:color w:val="000000"/>
                <w:sz w:val="14"/>
                <w:szCs w:val="14"/>
                <w:lang w:val="en-US" w:eastAsia="en-US"/>
              </w:rPr>
            </w:pPr>
          </w:p>
        </w:tc>
        <w:tc>
          <w:tcPr>
            <w:tcW w:w="5182" w:type="dxa"/>
            <w:vMerge/>
            <w:tcBorders>
              <w:top w:val="single" w:sz="4" w:space="0" w:color="auto"/>
              <w:left w:val="nil"/>
              <w:bottom w:val="single" w:sz="4" w:space="0" w:color="000000"/>
              <w:right w:val="nil"/>
            </w:tcBorders>
            <w:vAlign w:val="center"/>
            <w:hideMark/>
          </w:tcPr>
          <w:p w14:paraId="28240251" w14:textId="77777777" w:rsidR="00532BC8" w:rsidRPr="00532BC8" w:rsidRDefault="00532BC8" w:rsidP="00532BC8">
            <w:pPr>
              <w:rPr>
                <w:b/>
                <w:bCs/>
                <w:color w:val="000000"/>
                <w:sz w:val="14"/>
                <w:szCs w:val="14"/>
                <w:lang w:val="en-US" w:eastAsia="en-US"/>
              </w:rPr>
            </w:pPr>
          </w:p>
        </w:tc>
        <w:tc>
          <w:tcPr>
            <w:tcW w:w="875" w:type="dxa"/>
            <w:gridSpan w:val="2"/>
            <w:vMerge/>
            <w:tcBorders>
              <w:top w:val="single" w:sz="4" w:space="0" w:color="auto"/>
              <w:left w:val="nil"/>
              <w:bottom w:val="single" w:sz="4" w:space="0" w:color="000000"/>
              <w:right w:val="nil"/>
            </w:tcBorders>
            <w:vAlign w:val="center"/>
            <w:hideMark/>
          </w:tcPr>
          <w:p w14:paraId="0879AFDA" w14:textId="77777777" w:rsidR="00532BC8" w:rsidRPr="00532BC8" w:rsidRDefault="00532BC8" w:rsidP="00532BC8">
            <w:pPr>
              <w:rPr>
                <w:b/>
                <w:bCs/>
                <w:color w:val="000000"/>
                <w:sz w:val="14"/>
                <w:szCs w:val="14"/>
                <w:lang w:val="en-US" w:eastAsia="en-US"/>
              </w:rPr>
            </w:pPr>
          </w:p>
        </w:tc>
        <w:tc>
          <w:tcPr>
            <w:tcW w:w="839" w:type="dxa"/>
            <w:vMerge/>
            <w:tcBorders>
              <w:top w:val="single" w:sz="4" w:space="0" w:color="auto"/>
              <w:left w:val="nil"/>
              <w:bottom w:val="single" w:sz="4" w:space="0" w:color="000000"/>
              <w:right w:val="nil"/>
            </w:tcBorders>
            <w:vAlign w:val="center"/>
            <w:hideMark/>
          </w:tcPr>
          <w:p w14:paraId="3F5BEA2E" w14:textId="77777777" w:rsidR="00532BC8" w:rsidRPr="00532BC8" w:rsidRDefault="00532BC8" w:rsidP="00532BC8">
            <w:pPr>
              <w:rPr>
                <w:b/>
                <w:bCs/>
                <w:color w:val="000000"/>
                <w:sz w:val="14"/>
                <w:szCs w:val="14"/>
                <w:lang w:val="en-US" w:eastAsia="en-US"/>
              </w:rPr>
            </w:pPr>
          </w:p>
        </w:tc>
        <w:tc>
          <w:tcPr>
            <w:tcW w:w="702" w:type="dxa"/>
            <w:vMerge/>
            <w:tcBorders>
              <w:top w:val="single" w:sz="4" w:space="0" w:color="auto"/>
              <w:left w:val="nil"/>
              <w:bottom w:val="single" w:sz="4" w:space="0" w:color="000000"/>
              <w:right w:val="nil"/>
            </w:tcBorders>
            <w:vAlign w:val="center"/>
            <w:hideMark/>
          </w:tcPr>
          <w:p w14:paraId="4433B217" w14:textId="77777777" w:rsidR="00532BC8" w:rsidRPr="00532BC8" w:rsidRDefault="00532BC8" w:rsidP="00532BC8">
            <w:pPr>
              <w:rPr>
                <w:b/>
                <w:bCs/>
                <w:color w:val="000000"/>
                <w:sz w:val="14"/>
                <w:szCs w:val="14"/>
                <w:lang w:val="en-US" w:eastAsia="en-US"/>
              </w:rPr>
            </w:pPr>
          </w:p>
        </w:tc>
        <w:tc>
          <w:tcPr>
            <w:tcW w:w="702" w:type="dxa"/>
            <w:vMerge/>
            <w:tcBorders>
              <w:top w:val="single" w:sz="4" w:space="0" w:color="auto"/>
              <w:left w:val="nil"/>
              <w:bottom w:val="single" w:sz="4" w:space="0" w:color="000000"/>
              <w:right w:val="single" w:sz="4" w:space="0" w:color="000000"/>
            </w:tcBorders>
            <w:vAlign w:val="center"/>
            <w:hideMark/>
          </w:tcPr>
          <w:p w14:paraId="0E43EBDC" w14:textId="77777777" w:rsidR="00532BC8" w:rsidRPr="00532BC8" w:rsidRDefault="00532BC8" w:rsidP="00532BC8">
            <w:pPr>
              <w:rPr>
                <w:b/>
                <w:bCs/>
                <w:color w:val="000000"/>
                <w:sz w:val="14"/>
                <w:szCs w:val="14"/>
                <w:lang w:val="en-US" w:eastAsia="en-US"/>
              </w:rPr>
            </w:pPr>
          </w:p>
        </w:tc>
        <w:tc>
          <w:tcPr>
            <w:tcW w:w="702" w:type="dxa"/>
            <w:vMerge/>
            <w:tcBorders>
              <w:top w:val="nil"/>
              <w:left w:val="single" w:sz="4" w:space="0" w:color="000000"/>
              <w:bottom w:val="single" w:sz="4" w:space="0" w:color="000000"/>
              <w:right w:val="nil"/>
            </w:tcBorders>
            <w:vAlign w:val="center"/>
            <w:hideMark/>
          </w:tcPr>
          <w:p w14:paraId="5EBBFFAE" w14:textId="77777777" w:rsidR="00532BC8" w:rsidRPr="00532BC8" w:rsidRDefault="00532BC8" w:rsidP="00532BC8">
            <w:pPr>
              <w:rPr>
                <w:b/>
                <w:bCs/>
                <w:color w:val="000000"/>
                <w:sz w:val="14"/>
                <w:szCs w:val="14"/>
                <w:lang w:val="en-US" w:eastAsia="en-US"/>
              </w:rPr>
            </w:pPr>
          </w:p>
        </w:tc>
        <w:tc>
          <w:tcPr>
            <w:tcW w:w="702" w:type="dxa"/>
            <w:vMerge/>
            <w:tcBorders>
              <w:top w:val="nil"/>
              <w:left w:val="nil"/>
              <w:bottom w:val="single" w:sz="4" w:space="0" w:color="000000"/>
              <w:right w:val="nil"/>
            </w:tcBorders>
            <w:vAlign w:val="center"/>
            <w:hideMark/>
          </w:tcPr>
          <w:p w14:paraId="6D4CAF38" w14:textId="77777777" w:rsidR="00532BC8" w:rsidRPr="00532BC8" w:rsidRDefault="00532BC8" w:rsidP="00532BC8">
            <w:pPr>
              <w:rPr>
                <w:b/>
                <w:bCs/>
                <w:color w:val="000000"/>
                <w:sz w:val="14"/>
                <w:szCs w:val="14"/>
                <w:lang w:val="en-US" w:eastAsia="en-US"/>
              </w:rPr>
            </w:pPr>
          </w:p>
        </w:tc>
        <w:tc>
          <w:tcPr>
            <w:tcW w:w="706" w:type="dxa"/>
            <w:vMerge/>
            <w:tcBorders>
              <w:top w:val="nil"/>
              <w:left w:val="nil"/>
              <w:bottom w:val="single" w:sz="4" w:space="0" w:color="000000"/>
              <w:right w:val="nil"/>
            </w:tcBorders>
            <w:vAlign w:val="center"/>
            <w:hideMark/>
          </w:tcPr>
          <w:p w14:paraId="31EADE99" w14:textId="77777777" w:rsidR="00532BC8" w:rsidRPr="00532BC8" w:rsidRDefault="00532BC8" w:rsidP="00532BC8">
            <w:pPr>
              <w:rPr>
                <w:b/>
                <w:bCs/>
                <w:color w:val="000000"/>
                <w:sz w:val="14"/>
                <w:szCs w:val="14"/>
                <w:lang w:val="en-US" w:eastAsia="en-US"/>
              </w:rPr>
            </w:pPr>
          </w:p>
        </w:tc>
        <w:tc>
          <w:tcPr>
            <w:tcW w:w="730" w:type="dxa"/>
            <w:vMerge/>
            <w:tcBorders>
              <w:top w:val="nil"/>
              <w:left w:val="nil"/>
              <w:bottom w:val="single" w:sz="4" w:space="0" w:color="000000"/>
              <w:right w:val="nil"/>
            </w:tcBorders>
            <w:vAlign w:val="center"/>
            <w:hideMark/>
          </w:tcPr>
          <w:p w14:paraId="1A6A52C0" w14:textId="77777777" w:rsidR="00532BC8" w:rsidRPr="00532BC8" w:rsidRDefault="00532BC8" w:rsidP="00532BC8">
            <w:pPr>
              <w:rPr>
                <w:b/>
                <w:bCs/>
                <w:color w:val="000000"/>
                <w:sz w:val="14"/>
                <w:szCs w:val="14"/>
                <w:lang w:val="en-US" w:eastAsia="en-US"/>
              </w:rPr>
            </w:pPr>
          </w:p>
        </w:tc>
        <w:tc>
          <w:tcPr>
            <w:tcW w:w="901" w:type="dxa"/>
            <w:vMerge/>
            <w:tcBorders>
              <w:top w:val="single" w:sz="4" w:space="0" w:color="auto"/>
              <w:left w:val="single" w:sz="4" w:space="0" w:color="auto"/>
              <w:bottom w:val="single" w:sz="4" w:space="0" w:color="000000"/>
              <w:right w:val="nil"/>
            </w:tcBorders>
            <w:vAlign w:val="center"/>
            <w:hideMark/>
          </w:tcPr>
          <w:p w14:paraId="7BF547F1" w14:textId="77777777" w:rsidR="00532BC8" w:rsidRPr="00532BC8" w:rsidRDefault="00532BC8" w:rsidP="00532BC8">
            <w:pPr>
              <w:rPr>
                <w:b/>
                <w:bCs/>
                <w:color w:val="000000"/>
                <w:sz w:val="14"/>
                <w:szCs w:val="14"/>
                <w:lang w:val="en-US" w:eastAsia="en-US"/>
              </w:rPr>
            </w:pPr>
          </w:p>
        </w:tc>
        <w:tc>
          <w:tcPr>
            <w:tcW w:w="702" w:type="dxa"/>
            <w:vMerge/>
            <w:tcBorders>
              <w:top w:val="single" w:sz="4" w:space="0" w:color="auto"/>
              <w:left w:val="nil"/>
              <w:bottom w:val="single" w:sz="4" w:space="0" w:color="000000"/>
              <w:right w:val="nil"/>
            </w:tcBorders>
            <w:vAlign w:val="center"/>
            <w:hideMark/>
          </w:tcPr>
          <w:p w14:paraId="0BD5F199" w14:textId="77777777" w:rsidR="00532BC8" w:rsidRPr="00532BC8" w:rsidRDefault="00532BC8" w:rsidP="00532BC8">
            <w:pPr>
              <w:rPr>
                <w:b/>
                <w:bCs/>
                <w:color w:val="000000"/>
                <w:sz w:val="14"/>
                <w:szCs w:val="14"/>
                <w:lang w:val="en-US" w:eastAsia="en-US"/>
              </w:rPr>
            </w:pPr>
          </w:p>
        </w:tc>
      </w:tr>
      <w:tr w:rsidR="00532BC8" w:rsidRPr="00532BC8" w14:paraId="359ED889" w14:textId="77777777" w:rsidTr="008C0756">
        <w:trPr>
          <w:trHeight w:val="281"/>
        </w:trPr>
        <w:tc>
          <w:tcPr>
            <w:tcW w:w="660" w:type="dxa"/>
            <w:vMerge/>
            <w:tcBorders>
              <w:top w:val="single" w:sz="4" w:space="0" w:color="auto"/>
              <w:left w:val="nil"/>
              <w:bottom w:val="single" w:sz="4" w:space="0" w:color="000000"/>
              <w:right w:val="nil"/>
            </w:tcBorders>
            <w:vAlign w:val="center"/>
            <w:hideMark/>
          </w:tcPr>
          <w:p w14:paraId="4F157861" w14:textId="77777777" w:rsidR="00532BC8" w:rsidRPr="00532BC8" w:rsidRDefault="00532BC8" w:rsidP="00532BC8">
            <w:pPr>
              <w:rPr>
                <w:b/>
                <w:bCs/>
                <w:color w:val="000000"/>
                <w:sz w:val="14"/>
                <w:szCs w:val="14"/>
                <w:lang w:val="en-US" w:eastAsia="en-US"/>
              </w:rPr>
            </w:pPr>
          </w:p>
        </w:tc>
        <w:tc>
          <w:tcPr>
            <w:tcW w:w="758" w:type="dxa"/>
            <w:vMerge/>
            <w:tcBorders>
              <w:top w:val="single" w:sz="4" w:space="0" w:color="auto"/>
              <w:left w:val="nil"/>
              <w:bottom w:val="single" w:sz="4" w:space="0" w:color="000000"/>
              <w:right w:val="nil"/>
            </w:tcBorders>
            <w:vAlign w:val="center"/>
            <w:hideMark/>
          </w:tcPr>
          <w:p w14:paraId="05B7F131" w14:textId="77777777" w:rsidR="00532BC8" w:rsidRPr="00532BC8" w:rsidRDefault="00532BC8" w:rsidP="00532BC8">
            <w:pPr>
              <w:rPr>
                <w:b/>
                <w:bCs/>
                <w:color w:val="000000"/>
                <w:sz w:val="14"/>
                <w:szCs w:val="14"/>
                <w:lang w:val="en-US" w:eastAsia="en-US"/>
              </w:rPr>
            </w:pPr>
          </w:p>
        </w:tc>
        <w:tc>
          <w:tcPr>
            <w:tcW w:w="605" w:type="dxa"/>
            <w:vMerge/>
            <w:tcBorders>
              <w:top w:val="single" w:sz="4" w:space="0" w:color="auto"/>
              <w:left w:val="nil"/>
              <w:bottom w:val="single" w:sz="4" w:space="0" w:color="000000"/>
              <w:right w:val="nil"/>
            </w:tcBorders>
            <w:vAlign w:val="center"/>
            <w:hideMark/>
          </w:tcPr>
          <w:p w14:paraId="7CAC9101" w14:textId="77777777" w:rsidR="00532BC8" w:rsidRPr="00532BC8" w:rsidRDefault="00532BC8" w:rsidP="00532BC8">
            <w:pPr>
              <w:rPr>
                <w:b/>
                <w:bCs/>
                <w:color w:val="000000"/>
                <w:sz w:val="14"/>
                <w:szCs w:val="14"/>
                <w:lang w:val="en-US" w:eastAsia="en-US"/>
              </w:rPr>
            </w:pPr>
          </w:p>
        </w:tc>
        <w:tc>
          <w:tcPr>
            <w:tcW w:w="5182" w:type="dxa"/>
            <w:vMerge/>
            <w:tcBorders>
              <w:top w:val="single" w:sz="4" w:space="0" w:color="auto"/>
              <w:left w:val="nil"/>
              <w:bottom w:val="single" w:sz="4" w:space="0" w:color="000000"/>
              <w:right w:val="nil"/>
            </w:tcBorders>
            <w:vAlign w:val="center"/>
            <w:hideMark/>
          </w:tcPr>
          <w:p w14:paraId="0343DA03" w14:textId="77777777" w:rsidR="00532BC8" w:rsidRPr="00532BC8" w:rsidRDefault="00532BC8" w:rsidP="00532BC8">
            <w:pPr>
              <w:rPr>
                <w:b/>
                <w:bCs/>
                <w:color w:val="000000"/>
                <w:sz w:val="14"/>
                <w:szCs w:val="14"/>
                <w:lang w:val="en-US" w:eastAsia="en-US"/>
              </w:rPr>
            </w:pPr>
          </w:p>
        </w:tc>
        <w:tc>
          <w:tcPr>
            <w:tcW w:w="875" w:type="dxa"/>
            <w:gridSpan w:val="2"/>
            <w:vMerge/>
            <w:tcBorders>
              <w:top w:val="single" w:sz="4" w:space="0" w:color="auto"/>
              <w:left w:val="nil"/>
              <w:bottom w:val="single" w:sz="4" w:space="0" w:color="000000"/>
              <w:right w:val="nil"/>
            </w:tcBorders>
            <w:vAlign w:val="center"/>
            <w:hideMark/>
          </w:tcPr>
          <w:p w14:paraId="5D0F684D" w14:textId="77777777" w:rsidR="00532BC8" w:rsidRPr="00532BC8" w:rsidRDefault="00532BC8" w:rsidP="00532BC8">
            <w:pPr>
              <w:rPr>
                <w:b/>
                <w:bCs/>
                <w:color w:val="000000"/>
                <w:sz w:val="14"/>
                <w:szCs w:val="14"/>
                <w:lang w:val="en-US" w:eastAsia="en-US"/>
              </w:rPr>
            </w:pPr>
          </w:p>
        </w:tc>
        <w:tc>
          <w:tcPr>
            <w:tcW w:w="839" w:type="dxa"/>
            <w:vMerge/>
            <w:tcBorders>
              <w:top w:val="single" w:sz="4" w:space="0" w:color="auto"/>
              <w:left w:val="nil"/>
              <w:bottom w:val="single" w:sz="4" w:space="0" w:color="000000"/>
              <w:right w:val="nil"/>
            </w:tcBorders>
            <w:vAlign w:val="center"/>
            <w:hideMark/>
          </w:tcPr>
          <w:p w14:paraId="33212931" w14:textId="77777777" w:rsidR="00532BC8" w:rsidRPr="00532BC8" w:rsidRDefault="00532BC8" w:rsidP="00532BC8">
            <w:pPr>
              <w:rPr>
                <w:b/>
                <w:bCs/>
                <w:color w:val="000000"/>
                <w:sz w:val="14"/>
                <w:szCs w:val="14"/>
                <w:lang w:val="en-US" w:eastAsia="en-US"/>
              </w:rPr>
            </w:pPr>
          </w:p>
        </w:tc>
        <w:tc>
          <w:tcPr>
            <w:tcW w:w="702" w:type="dxa"/>
            <w:vMerge/>
            <w:tcBorders>
              <w:top w:val="single" w:sz="4" w:space="0" w:color="auto"/>
              <w:left w:val="nil"/>
              <w:bottom w:val="single" w:sz="4" w:space="0" w:color="000000"/>
              <w:right w:val="nil"/>
            </w:tcBorders>
            <w:vAlign w:val="center"/>
            <w:hideMark/>
          </w:tcPr>
          <w:p w14:paraId="1A3617C4" w14:textId="77777777" w:rsidR="00532BC8" w:rsidRPr="00532BC8" w:rsidRDefault="00532BC8" w:rsidP="00532BC8">
            <w:pPr>
              <w:rPr>
                <w:b/>
                <w:bCs/>
                <w:color w:val="000000"/>
                <w:sz w:val="14"/>
                <w:szCs w:val="14"/>
                <w:lang w:val="en-US" w:eastAsia="en-US"/>
              </w:rPr>
            </w:pPr>
          </w:p>
        </w:tc>
        <w:tc>
          <w:tcPr>
            <w:tcW w:w="702" w:type="dxa"/>
            <w:vMerge/>
            <w:tcBorders>
              <w:top w:val="single" w:sz="4" w:space="0" w:color="auto"/>
              <w:left w:val="nil"/>
              <w:bottom w:val="single" w:sz="4" w:space="0" w:color="000000"/>
              <w:right w:val="single" w:sz="4" w:space="0" w:color="000000"/>
            </w:tcBorders>
            <w:vAlign w:val="center"/>
            <w:hideMark/>
          </w:tcPr>
          <w:p w14:paraId="283A8150" w14:textId="77777777" w:rsidR="00532BC8" w:rsidRPr="00532BC8" w:rsidRDefault="00532BC8" w:rsidP="00532BC8">
            <w:pPr>
              <w:rPr>
                <w:b/>
                <w:bCs/>
                <w:color w:val="000000"/>
                <w:sz w:val="14"/>
                <w:szCs w:val="14"/>
                <w:lang w:val="en-US" w:eastAsia="en-US"/>
              </w:rPr>
            </w:pPr>
          </w:p>
        </w:tc>
        <w:tc>
          <w:tcPr>
            <w:tcW w:w="702" w:type="dxa"/>
            <w:vMerge/>
            <w:tcBorders>
              <w:top w:val="nil"/>
              <w:left w:val="single" w:sz="4" w:space="0" w:color="000000"/>
              <w:bottom w:val="single" w:sz="4" w:space="0" w:color="000000"/>
              <w:right w:val="nil"/>
            </w:tcBorders>
            <w:vAlign w:val="center"/>
            <w:hideMark/>
          </w:tcPr>
          <w:p w14:paraId="677F9BFF" w14:textId="77777777" w:rsidR="00532BC8" w:rsidRPr="00532BC8" w:rsidRDefault="00532BC8" w:rsidP="00532BC8">
            <w:pPr>
              <w:rPr>
                <w:b/>
                <w:bCs/>
                <w:color w:val="000000"/>
                <w:sz w:val="14"/>
                <w:szCs w:val="14"/>
                <w:lang w:val="en-US" w:eastAsia="en-US"/>
              </w:rPr>
            </w:pPr>
          </w:p>
        </w:tc>
        <w:tc>
          <w:tcPr>
            <w:tcW w:w="702" w:type="dxa"/>
            <w:vMerge/>
            <w:tcBorders>
              <w:top w:val="nil"/>
              <w:left w:val="nil"/>
              <w:bottom w:val="single" w:sz="4" w:space="0" w:color="000000"/>
              <w:right w:val="nil"/>
            </w:tcBorders>
            <w:vAlign w:val="center"/>
            <w:hideMark/>
          </w:tcPr>
          <w:p w14:paraId="25907FD9" w14:textId="77777777" w:rsidR="00532BC8" w:rsidRPr="00532BC8" w:rsidRDefault="00532BC8" w:rsidP="00532BC8">
            <w:pPr>
              <w:rPr>
                <w:b/>
                <w:bCs/>
                <w:color w:val="000000"/>
                <w:sz w:val="14"/>
                <w:szCs w:val="14"/>
                <w:lang w:val="en-US" w:eastAsia="en-US"/>
              </w:rPr>
            </w:pPr>
          </w:p>
        </w:tc>
        <w:tc>
          <w:tcPr>
            <w:tcW w:w="706" w:type="dxa"/>
            <w:vMerge/>
            <w:tcBorders>
              <w:top w:val="nil"/>
              <w:left w:val="nil"/>
              <w:bottom w:val="single" w:sz="4" w:space="0" w:color="000000"/>
              <w:right w:val="nil"/>
            </w:tcBorders>
            <w:vAlign w:val="center"/>
            <w:hideMark/>
          </w:tcPr>
          <w:p w14:paraId="33856520" w14:textId="77777777" w:rsidR="00532BC8" w:rsidRPr="00532BC8" w:rsidRDefault="00532BC8" w:rsidP="00532BC8">
            <w:pPr>
              <w:rPr>
                <w:b/>
                <w:bCs/>
                <w:color w:val="000000"/>
                <w:sz w:val="14"/>
                <w:szCs w:val="14"/>
                <w:lang w:val="en-US" w:eastAsia="en-US"/>
              </w:rPr>
            </w:pPr>
          </w:p>
        </w:tc>
        <w:tc>
          <w:tcPr>
            <w:tcW w:w="730" w:type="dxa"/>
            <w:vMerge/>
            <w:tcBorders>
              <w:top w:val="nil"/>
              <w:left w:val="nil"/>
              <w:bottom w:val="single" w:sz="4" w:space="0" w:color="000000"/>
              <w:right w:val="nil"/>
            </w:tcBorders>
            <w:vAlign w:val="center"/>
            <w:hideMark/>
          </w:tcPr>
          <w:p w14:paraId="1F85466F" w14:textId="77777777" w:rsidR="00532BC8" w:rsidRPr="00532BC8" w:rsidRDefault="00532BC8" w:rsidP="00532BC8">
            <w:pPr>
              <w:rPr>
                <w:b/>
                <w:bCs/>
                <w:color w:val="000000"/>
                <w:sz w:val="14"/>
                <w:szCs w:val="14"/>
                <w:lang w:val="en-US" w:eastAsia="en-US"/>
              </w:rPr>
            </w:pPr>
          </w:p>
        </w:tc>
        <w:tc>
          <w:tcPr>
            <w:tcW w:w="901" w:type="dxa"/>
            <w:vMerge/>
            <w:tcBorders>
              <w:top w:val="single" w:sz="4" w:space="0" w:color="auto"/>
              <w:left w:val="single" w:sz="4" w:space="0" w:color="auto"/>
              <w:bottom w:val="single" w:sz="4" w:space="0" w:color="000000"/>
              <w:right w:val="nil"/>
            </w:tcBorders>
            <w:vAlign w:val="center"/>
            <w:hideMark/>
          </w:tcPr>
          <w:p w14:paraId="56EBC094" w14:textId="77777777" w:rsidR="00532BC8" w:rsidRPr="00532BC8" w:rsidRDefault="00532BC8" w:rsidP="00532BC8">
            <w:pPr>
              <w:rPr>
                <w:b/>
                <w:bCs/>
                <w:color w:val="000000"/>
                <w:sz w:val="14"/>
                <w:szCs w:val="14"/>
                <w:lang w:val="en-US" w:eastAsia="en-US"/>
              </w:rPr>
            </w:pPr>
          </w:p>
        </w:tc>
        <w:tc>
          <w:tcPr>
            <w:tcW w:w="702" w:type="dxa"/>
            <w:vMerge/>
            <w:tcBorders>
              <w:top w:val="single" w:sz="4" w:space="0" w:color="auto"/>
              <w:left w:val="nil"/>
              <w:bottom w:val="single" w:sz="4" w:space="0" w:color="000000"/>
              <w:right w:val="nil"/>
            </w:tcBorders>
            <w:vAlign w:val="center"/>
            <w:hideMark/>
          </w:tcPr>
          <w:p w14:paraId="2D47C6B5" w14:textId="77777777" w:rsidR="00532BC8" w:rsidRPr="00532BC8" w:rsidRDefault="00532BC8" w:rsidP="00532BC8">
            <w:pPr>
              <w:rPr>
                <w:b/>
                <w:bCs/>
                <w:color w:val="000000"/>
                <w:sz w:val="14"/>
                <w:szCs w:val="14"/>
                <w:lang w:val="en-US" w:eastAsia="en-US"/>
              </w:rPr>
            </w:pPr>
          </w:p>
        </w:tc>
      </w:tr>
      <w:tr w:rsidR="00532BC8" w:rsidRPr="00532BC8" w14:paraId="58FD2B34" w14:textId="77777777" w:rsidTr="00E22F35">
        <w:trPr>
          <w:trHeight w:hRule="exact" w:val="284"/>
        </w:trPr>
        <w:tc>
          <w:tcPr>
            <w:tcW w:w="660" w:type="dxa"/>
            <w:tcBorders>
              <w:top w:val="nil"/>
              <w:left w:val="nil"/>
              <w:bottom w:val="nil"/>
              <w:right w:val="nil"/>
            </w:tcBorders>
            <w:shd w:val="clear" w:color="000000" w:fill="FFFFFF"/>
            <w:noWrap/>
            <w:hideMark/>
          </w:tcPr>
          <w:p w14:paraId="29E5BDE3"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Yes</w:t>
            </w:r>
          </w:p>
        </w:tc>
        <w:tc>
          <w:tcPr>
            <w:tcW w:w="758" w:type="dxa"/>
            <w:tcBorders>
              <w:top w:val="nil"/>
              <w:left w:val="nil"/>
              <w:bottom w:val="nil"/>
              <w:right w:val="nil"/>
            </w:tcBorders>
            <w:shd w:val="clear" w:color="000000" w:fill="FFFFFF"/>
            <w:noWrap/>
            <w:hideMark/>
          </w:tcPr>
          <w:p w14:paraId="6DB27731" w14:textId="299AB170" w:rsidR="00532BC8" w:rsidRPr="00532BC8" w:rsidRDefault="00532BC8" w:rsidP="00532BC8">
            <w:pPr>
              <w:jc w:val="center"/>
              <w:rPr>
                <w:color w:val="000000"/>
                <w:sz w:val="14"/>
                <w:szCs w:val="14"/>
                <w:lang w:val="en-US" w:eastAsia="en-US"/>
              </w:rPr>
            </w:pPr>
            <w:r w:rsidRPr="00532BC8">
              <w:rPr>
                <w:color w:val="000000"/>
                <w:sz w:val="14"/>
                <w:szCs w:val="14"/>
                <w:lang w:val="en-US" w:eastAsia="en-US"/>
              </w:rPr>
              <w:t>1</w:t>
            </w:r>
          </w:p>
        </w:tc>
        <w:tc>
          <w:tcPr>
            <w:tcW w:w="605" w:type="dxa"/>
            <w:tcBorders>
              <w:top w:val="nil"/>
              <w:left w:val="nil"/>
              <w:bottom w:val="nil"/>
              <w:right w:val="nil"/>
            </w:tcBorders>
            <w:shd w:val="clear" w:color="000000" w:fill="FFFFFF"/>
            <w:noWrap/>
            <w:hideMark/>
          </w:tcPr>
          <w:p w14:paraId="729388CF" w14:textId="61249922" w:rsidR="00532BC8" w:rsidRPr="00532BC8" w:rsidRDefault="00532BC8" w:rsidP="00532BC8">
            <w:pPr>
              <w:rPr>
                <w:color w:val="000000"/>
                <w:sz w:val="14"/>
                <w:szCs w:val="14"/>
                <w:lang w:val="en-US" w:eastAsia="en-US"/>
              </w:rPr>
            </w:pPr>
            <w:r w:rsidRPr="00532BC8">
              <w:rPr>
                <w:color w:val="000000"/>
                <w:sz w:val="14"/>
                <w:szCs w:val="14"/>
                <w:lang w:val="en-US" w:eastAsia="en-US"/>
              </w:rPr>
              <w:t>I02A</w:t>
            </w:r>
          </w:p>
        </w:tc>
        <w:tc>
          <w:tcPr>
            <w:tcW w:w="5490" w:type="dxa"/>
            <w:gridSpan w:val="2"/>
            <w:tcBorders>
              <w:top w:val="nil"/>
              <w:left w:val="nil"/>
              <w:bottom w:val="nil"/>
              <w:right w:val="nil"/>
            </w:tcBorders>
            <w:shd w:val="clear" w:color="000000" w:fill="FFFFFF"/>
            <w:noWrap/>
            <w:hideMark/>
          </w:tcPr>
          <w:p w14:paraId="20F470B3"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Microvascular Tissue Transfers or Skin Grafts, Excluding Hand, Major Complexity</w:t>
            </w:r>
          </w:p>
        </w:tc>
        <w:tc>
          <w:tcPr>
            <w:tcW w:w="567" w:type="dxa"/>
            <w:tcBorders>
              <w:top w:val="nil"/>
              <w:left w:val="nil"/>
              <w:bottom w:val="nil"/>
              <w:right w:val="nil"/>
            </w:tcBorders>
            <w:shd w:val="clear" w:color="000000" w:fill="FFFFFF"/>
            <w:noWrap/>
            <w:hideMark/>
          </w:tcPr>
          <w:p w14:paraId="5C945479" w14:textId="77777777" w:rsidR="00532BC8" w:rsidRPr="00532BC8" w:rsidRDefault="00532BC8" w:rsidP="00532BC8">
            <w:pPr>
              <w:jc w:val="right"/>
              <w:rPr>
                <w:b/>
                <w:bCs/>
                <w:color w:val="000000"/>
                <w:sz w:val="14"/>
                <w:szCs w:val="14"/>
                <w:lang w:val="en-US" w:eastAsia="en-US"/>
              </w:rPr>
            </w:pPr>
            <w:r w:rsidRPr="00532BC8">
              <w:rPr>
                <w:b/>
                <w:bCs/>
                <w:color w:val="000000"/>
                <w:sz w:val="14"/>
                <w:szCs w:val="14"/>
                <w:lang w:val="en-US" w:eastAsia="en-US"/>
              </w:rPr>
              <w:t>11.62</w:t>
            </w:r>
          </w:p>
        </w:tc>
        <w:tc>
          <w:tcPr>
            <w:tcW w:w="839" w:type="dxa"/>
            <w:tcBorders>
              <w:top w:val="nil"/>
              <w:left w:val="nil"/>
              <w:bottom w:val="nil"/>
              <w:right w:val="nil"/>
            </w:tcBorders>
            <w:shd w:val="clear" w:color="000000" w:fill="FFFFFF"/>
            <w:noWrap/>
            <w:hideMark/>
          </w:tcPr>
          <w:p w14:paraId="417990CE"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103</w:t>
            </w:r>
          </w:p>
        </w:tc>
        <w:tc>
          <w:tcPr>
            <w:tcW w:w="702" w:type="dxa"/>
            <w:tcBorders>
              <w:top w:val="nil"/>
              <w:left w:val="nil"/>
              <w:bottom w:val="nil"/>
              <w:right w:val="nil"/>
            </w:tcBorders>
            <w:shd w:val="clear" w:color="000000" w:fill="FFFFFF"/>
            <w:noWrap/>
            <w:hideMark/>
          </w:tcPr>
          <w:p w14:paraId="6FB5096C"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16.66</w:t>
            </w:r>
          </w:p>
        </w:tc>
        <w:tc>
          <w:tcPr>
            <w:tcW w:w="702" w:type="dxa"/>
            <w:tcBorders>
              <w:top w:val="nil"/>
              <w:left w:val="nil"/>
              <w:bottom w:val="nil"/>
              <w:right w:val="nil"/>
            </w:tcBorders>
            <w:shd w:val="clear" w:color="000000" w:fill="FFFFFF"/>
            <w:noWrap/>
            <w:hideMark/>
          </w:tcPr>
          <w:p w14:paraId="0F37653B"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50.6</w:t>
            </w:r>
          </w:p>
        </w:tc>
        <w:tc>
          <w:tcPr>
            <w:tcW w:w="702" w:type="dxa"/>
            <w:tcBorders>
              <w:top w:val="nil"/>
              <w:left w:val="single" w:sz="4" w:space="0" w:color="000000"/>
              <w:bottom w:val="nil"/>
              <w:right w:val="nil"/>
            </w:tcBorders>
            <w:shd w:val="clear" w:color="000000" w:fill="FFFFFF"/>
            <w:noWrap/>
            <w:hideMark/>
          </w:tcPr>
          <w:p w14:paraId="5B33389C"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13%</w:t>
            </w:r>
          </w:p>
        </w:tc>
        <w:tc>
          <w:tcPr>
            <w:tcW w:w="702" w:type="dxa"/>
            <w:tcBorders>
              <w:top w:val="nil"/>
              <w:left w:val="nil"/>
              <w:bottom w:val="nil"/>
              <w:right w:val="nil"/>
            </w:tcBorders>
            <w:shd w:val="clear" w:color="000000" w:fill="FFFFFF"/>
            <w:noWrap/>
            <w:hideMark/>
          </w:tcPr>
          <w:p w14:paraId="570FB101"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6%</w:t>
            </w:r>
          </w:p>
        </w:tc>
        <w:tc>
          <w:tcPr>
            <w:tcW w:w="706" w:type="dxa"/>
            <w:tcBorders>
              <w:top w:val="nil"/>
              <w:left w:val="nil"/>
              <w:bottom w:val="nil"/>
              <w:right w:val="nil"/>
            </w:tcBorders>
            <w:shd w:val="clear" w:color="000000" w:fill="FFFFFF"/>
            <w:noWrap/>
            <w:hideMark/>
          </w:tcPr>
          <w:p w14:paraId="100668A1"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11%</w:t>
            </w:r>
          </w:p>
        </w:tc>
        <w:tc>
          <w:tcPr>
            <w:tcW w:w="730" w:type="dxa"/>
            <w:tcBorders>
              <w:top w:val="nil"/>
              <w:left w:val="nil"/>
              <w:bottom w:val="nil"/>
              <w:right w:val="nil"/>
            </w:tcBorders>
            <w:shd w:val="clear" w:color="000000" w:fill="FFFFFF"/>
            <w:noWrap/>
            <w:hideMark/>
          </w:tcPr>
          <w:p w14:paraId="60E8A63A"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70%</w:t>
            </w:r>
          </w:p>
        </w:tc>
        <w:tc>
          <w:tcPr>
            <w:tcW w:w="901" w:type="dxa"/>
            <w:tcBorders>
              <w:top w:val="nil"/>
              <w:left w:val="single" w:sz="4" w:space="0" w:color="auto"/>
              <w:bottom w:val="nil"/>
              <w:right w:val="nil"/>
            </w:tcBorders>
            <w:shd w:val="clear" w:color="000000" w:fill="FFFFFF"/>
            <w:noWrap/>
            <w:hideMark/>
          </w:tcPr>
          <w:p w14:paraId="583DF2AF"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8.74</w:t>
            </w:r>
          </w:p>
        </w:tc>
        <w:tc>
          <w:tcPr>
            <w:tcW w:w="702" w:type="dxa"/>
            <w:tcBorders>
              <w:top w:val="nil"/>
              <w:left w:val="nil"/>
              <w:bottom w:val="nil"/>
              <w:right w:val="nil"/>
            </w:tcBorders>
            <w:shd w:val="clear" w:color="000000" w:fill="FFFFFF"/>
            <w:noWrap/>
            <w:hideMark/>
          </w:tcPr>
          <w:p w14:paraId="5B9407D4"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 xml:space="preserve">5 </w:t>
            </w:r>
          </w:p>
        </w:tc>
      </w:tr>
      <w:tr w:rsidR="00532BC8" w:rsidRPr="00532BC8" w14:paraId="525929ED" w14:textId="77777777" w:rsidTr="00E22F35">
        <w:trPr>
          <w:trHeight w:hRule="exact" w:val="284"/>
        </w:trPr>
        <w:tc>
          <w:tcPr>
            <w:tcW w:w="660" w:type="dxa"/>
            <w:tcBorders>
              <w:top w:val="nil"/>
              <w:left w:val="nil"/>
              <w:bottom w:val="nil"/>
              <w:right w:val="nil"/>
            </w:tcBorders>
            <w:shd w:val="clear" w:color="000000" w:fill="FFFFFF"/>
            <w:noWrap/>
            <w:hideMark/>
          </w:tcPr>
          <w:p w14:paraId="036F45E8"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Yes</w:t>
            </w:r>
          </w:p>
        </w:tc>
        <w:tc>
          <w:tcPr>
            <w:tcW w:w="758" w:type="dxa"/>
            <w:tcBorders>
              <w:top w:val="nil"/>
              <w:left w:val="nil"/>
              <w:bottom w:val="nil"/>
              <w:right w:val="nil"/>
            </w:tcBorders>
            <w:shd w:val="clear" w:color="000000" w:fill="FFFFFF"/>
            <w:noWrap/>
            <w:hideMark/>
          </w:tcPr>
          <w:p w14:paraId="5ED98ADA"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2</w:t>
            </w:r>
          </w:p>
        </w:tc>
        <w:tc>
          <w:tcPr>
            <w:tcW w:w="605" w:type="dxa"/>
            <w:tcBorders>
              <w:top w:val="nil"/>
              <w:left w:val="nil"/>
              <w:bottom w:val="nil"/>
              <w:right w:val="nil"/>
            </w:tcBorders>
            <w:shd w:val="clear" w:color="000000" w:fill="FFFFFF"/>
            <w:noWrap/>
            <w:hideMark/>
          </w:tcPr>
          <w:p w14:paraId="5AB0C887"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A06A</w:t>
            </w:r>
          </w:p>
        </w:tc>
        <w:tc>
          <w:tcPr>
            <w:tcW w:w="5490" w:type="dxa"/>
            <w:gridSpan w:val="2"/>
            <w:tcBorders>
              <w:top w:val="nil"/>
              <w:left w:val="nil"/>
              <w:bottom w:val="nil"/>
              <w:right w:val="nil"/>
            </w:tcBorders>
            <w:shd w:val="clear" w:color="000000" w:fill="FFFFFF"/>
            <w:noWrap/>
            <w:hideMark/>
          </w:tcPr>
          <w:p w14:paraId="4B09BC22"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Tracheostomy and/or Ventilation &gt;=96hours, Major Complexity</w:t>
            </w:r>
          </w:p>
        </w:tc>
        <w:tc>
          <w:tcPr>
            <w:tcW w:w="567" w:type="dxa"/>
            <w:tcBorders>
              <w:top w:val="nil"/>
              <w:left w:val="nil"/>
              <w:bottom w:val="nil"/>
              <w:right w:val="nil"/>
            </w:tcBorders>
            <w:shd w:val="clear" w:color="000000" w:fill="FFFFFF"/>
            <w:noWrap/>
            <w:hideMark/>
          </w:tcPr>
          <w:p w14:paraId="4F833D11" w14:textId="77777777" w:rsidR="00532BC8" w:rsidRPr="00532BC8" w:rsidRDefault="00532BC8" w:rsidP="00532BC8">
            <w:pPr>
              <w:jc w:val="right"/>
              <w:rPr>
                <w:b/>
                <w:bCs/>
                <w:color w:val="000000"/>
                <w:sz w:val="14"/>
                <w:szCs w:val="14"/>
                <w:lang w:val="en-US" w:eastAsia="en-US"/>
              </w:rPr>
            </w:pPr>
            <w:r w:rsidRPr="00532BC8">
              <w:rPr>
                <w:b/>
                <w:bCs/>
                <w:color w:val="000000"/>
                <w:sz w:val="14"/>
                <w:szCs w:val="14"/>
                <w:lang w:val="en-US" w:eastAsia="en-US"/>
              </w:rPr>
              <w:t>9.81</w:t>
            </w:r>
          </w:p>
        </w:tc>
        <w:tc>
          <w:tcPr>
            <w:tcW w:w="839" w:type="dxa"/>
            <w:tcBorders>
              <w:top w:val="nil"/>
              <w:left w:val="nil"/>
              <w:bottom w:val="nil"/>
              <w:right w:val="nil"/>
            </w:tcBorders>
            <w:shd w:val="clear" w:color="000000" w:fill="FFFFFF"/>
            <w:noWrap/>
            <w:hideMark/>
          </w:tcPr>
          <w:p w14:paraId="78CA9169"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199</w:t>
            </w:r>
          </w:p>
        </w:tc>
        <w:tc>
          <w:tcPr>
            <w:tcW w:w="702" w:type="dxa"/>
            <w:tcBorders>
              <w:top w:val="nil"/>
              <w:left w:val="nil"/>
              <w:bottom w:val="nil"/>
              <w:right w:val="nil"/>
            </w:tcBorders>
            <w:shd w:val="clear" w:color="000000" w:fill="FFFFFF"/>
            <w:noWrap/>
            <w:hideMark/>
          </w:tcPr>
          <w:p w14:paraId="0E3959FD"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35.15</w:t>
            </w:r>
          </w:p>
        </w:tc>
        <w:tc>
          <w:tcPr>
            <w:tcW w:w="702" w:type="dxa"/>
            <w:tcBorders>
              <w:top w:val="nil"/>
              <w:left w:val="nil"/>
              <w:bottom w:val="nil"/>
              <w:right w:val="nil"/>
            </w:tcBorders>
            <w:shd w:val="clear" w:color="000000" w:fill="FFFFFF"/>
            <w:noWrap/>
            <w:hideMark/>
          </w:tcPr>
          <w:p w14:paraId="493E07AA"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49.8</w:t>
            </w:r>
          </w:p>
        </w:tc>
        <w:tc>
          <w:tcPr>
            <w:tcW w:w="702" w:type="dxa"/>
            <w:tcBorders>
              <w:top w:val="nil"/>
              <w:left w:val="single" w:sz="4" w:space="0" w:color="000000"/>
              <w:bottom w:val="nil"/>
              <w:right w:val="nil"/>
            </w:tcBorders>
            <w:shd w:val="clear" w:color="000000" w:fill="FFFFFF"/>
            <w:noWrap/>
            <w:hideMark/>
          </w:tcPr>
          <w:p w14:paraId="6BB8ECE8"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8%</w:t>
            </w:r>
          </w:p>
        </w:tc>
        <w:tc>
          <w:tcPr>
            <w:tcW w:w="702" w:type="dxa"/>
            <w:tcBorders>
              <w:top w:val="nil"/>
              <w:left w:val="nil"/>
              <w:bottom w:val="nil"/>
              <w:right w:val="nil"/>
            </w:tcBorders>
            <w:shd w:val="clear" w:color="000000" w:fill="FFFFFF"/>
            <w:noWrap/>
            <w:hideMark/>
          </w:tcPr>
          <w:p w14:paraId="30656C8E"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59%</w:t>
            </w:r>
          </w:p>
        </w:tc>
        <w:tc>
          <w:tcPr>
            <w:tcW w:w="706" w:type="dxa"/>
            <w:tcBorders>
              <w:top w:val="nil"/>
              <w:left w:val="nil"/>
              <w:bottom w:val="nil"/>
              <w:right w:val="nil"/>
            </w:tcBorders>
            <w:shd w:val="clear" w:color="000000" w:fill="FFFFFF"/>
            <w:noWrap/>
            <w:hideMark/>
          </w:tcPr>
          <w:p w14:paraId="3E024932"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5%</w:t>
            </w:r>
          </w:p>
        </w:tc>
        <w:tc>
          <w:tcPr>
            <w:tcW w:w="730" w:type="dxa"/>
            <w:tcBorders>
              <w:top w:val="nil"/>
              <w:left w:val="nil"/>
              <w:bottom w:val="nil"/>
              <w:right w:val="nil"/>
            </w:tcBorders>
            <w:shd w:val="clear" w:color="000000" w:fill="FFFFFF"/>
            <w:noWrap/>
            <w:hideMark/>
          </w:tcPr>
          <w:p w14:paraId="78BED32F"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28%</w:t>
            </w:r>
          </w:p>
        </w:tc>
        <w:tc>
          <w:tcPr>
            <w:tcW w:w="901" w:type="dxa"/>
            <w:tcBorders>
              <w:top w:val="nil"/>
              <w:left w:val="single" w:sz="4" w:space="0" w:color="auto"/>
              <w:bottom w:val="nil"/>
              <w:right w:val="nil"/>
            </w:tcBorders>
            <w:shd w:val="clear" w:color="000000" w:fill="FFFFFF"/>
            <w:noWrap/>
            <w:hideMark/>
          </w:tcPr>
          <w:p w14:paraId="4BB8B1FA"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15.18</w:t>
            </w:r>
          </w:p>
        </w:tc>
        <w:tc>
          <w:tcPr>
            <w:tcW w:w="702" w:type="dxa"/>
            <w:tcBorders>
              <w:top w:val="nil"/>
              <w:left w:val="nil"/>
              <w:bottom w:val="nil"/>
              <w:right w:val="nil"/>
            </w:tcBorders>
            <w:shd w:val="clear" w:color="000000" w:fill="FFFFFF"/>
            <w:noWrap/>
            <w:hideMark/>
          </w:tcPr>
          <w:p w14:paraId="0790A010"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 xml:space="preserve">1 </w:t>
            </w:r>
          </w:p>
        </w:tc>
      </w:tr>
      <w:tr w:rsidR="00532BC8" w:rsidRPr="00532BC8" w14:paraId="4FCC2E6F" w14:textId="77777777" w:rsidTr="00E22F35">
        <w:trPr>
          <w:trHeight w:hRule="exact" w:val="284"/>
        </w:trPr>
        <w:tc>
          <w:tcPr>
            <w:tcW w:w="660" w:type="dxa"/>
            <w:tcBorders>
              <w:top w:val="nil"/>
              <w:left w:val="nil"/>
              <w:bottom w:val="nil"/>
              <w:right w:val="nil"/>
            </w:tcBorders>
            <w:shd w:val="clear" w:color="000000" w:fill="FFFFFF"/>
            <w:noWrap/>
            <w:hideMark/>
          </w:tcPr>
          <w:p w14:paraId="41AA5811"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Yes</w:t>
            </w:r>
          </w:p>
        </w:tc>
        <w:tc>
          <w:tcPr>
            <w:tcW w:w="758" w:type="dxa"/>
            <w:tcBorders>
              <w:top w:val="nil"/>
              <w:left w:val="nil"/>
              <w:bottom w:val="nil"/>
              <w:right w:val="nil"/>
            </w:tcBorders>
            <w:shd w:val="clear" w:color="000000" w:fill="FFFFFF"/>
            <w:noWrap/>
            <w:hideMark/>
          </w:tcPr>
          <w:p w14:paraId="3F015E64"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3</w:t>
            </w:r>
          </w:p>
        </w:tc>
        <w:tc>
          <w:tcPr>
            <w:tcW w:w="605" w:type="dxa"/>
            <w:tcBorders>
              <w:top w:val="nil"/>
              <w:left w:val="nil"/>
              <w:bottom w:val="nil"/>
              <w:right w:val="nil"/>
            </w:tcBorders>
            <w:shd w:val="clear" w:color="000000" w:fill="FFFFFF"/>
            <w:noWrap/>
            <w:hideMark/>
          </w:tcPr>
          <w:p w14:paraId="328EF07B"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K01A</w:t>
            </w:r>
          </w:p>
        </w:tc>
        <w:tc>
          <w:tcPr>
            <w:tcW w:w="5490" w:type="dxa"/>
            <w:gridSpan w:val="2"/>
            <w:tcBorders>
              <w:top w:val="nil"/>
              <w:left w:val="nil"/>
              <w:bottom w:val="nil"/>
              <w:right w:val="nil"/>
            </w:tcBorders>
            <w:shd w:val="clear" w:color="000000" w:fill="FFFFFF"/>
            <w:noWrap/>
            <w:hideMark/>
          </w:tcPr>
          <w:p w14:paraId="30AC6378" w14:textId="779B0771" w:rsidR="00532BC8" w:rsidRPr="00532BC8" w:rsidRDefault="00532BC8" w:rsidP="00532BC8">
            <w:pPr>
              <w:rPr>
                <w:color w:val="000000"/>
                <w:sz w:val="14"/>
                <w:szCs w:val="14"/>
                <w:lang w:val="en-US" w:eastAsia="en-US"/>
              </w:rPr>
            </w:pPr>
            <w:r w:rsidRPr="00532BC8">
              <w:rPr>
                <w:color w:val="000000"/>
                <w:sz w:val="14"/>
                <w:szCs w:val="14"/>
                <w:lang w:val="en-US" w:eastAsia="en-US"/>
              </w:rPr>
              <w:t>OR Procedures for Diabetic Complications, Major Complexity</w:t>
            </w:r>
          </w:p>
        </w:tc>
        <w:tc>
          <w:tcPr>
            <w:tcW w:w="567" w:type="dxa"/>
            <w:tcBorders>
              <w:top w:val="nil"/>
              <w:left w:val="nil"/>
              <w:bottom w:val="nil"/>
              <w:right w:val="nil"/>
            </w:tcBorders>
            <w:shd w:val="clear" w:color="000000" w:fill="FFFFFF"/>
            <w:noWrap/>
            <w:hideMark/>
          </w:tcPr>
          <w:p w14:paraId="6070C2B1" w14:textId="77777777" w:rsidR="00532BC8" w:rsidRPr="00532BC8" w:rsidRDefault="00532BC8" w:rsidP="00532BC8">
            <w:pPr>
              <w:jc w:val="right"/>
              <w:rPr>
                <w:b/>
                <w:bCs/>
                <w:color w:val="000000"/>
                <w:sz w:val="14"/>
                <w:szCs w:val="14"/>
                <w:lang w:val="en-US" w:eastAsia="en-US"/>
              </w:rPr>
            </w:pPr>
            <w:r w:rsidRPr="00532BC8">
              <w:rPr>
                <w:b/>
                <w:bCs/>
                <w:color w:val="000000"/>
                <w:sz w:val="14"/>
                <w:szCs w:val="14"/>
                <w:lang w:val="en-US" w:eastAsia="en-US"/>
              </w:rPr>
              <w:t>8.80</w:t>
            </w:r>
          </w:p>
        </w:tc>
        <w:tc>
          <w:tcPr>
            <w:tcW w:w="839" w:type="dxa"/>
            <w:tcBorders>
              <w:top w:val="nil"/>
              <w:left w:val="nil"/>
              <w:bottom w:val="nil"/>
              <w:right w:val="nil"/>
            </w:tcBorders>
            <w:shd w:val="clear" w:color="000000" w:fill="FFFFFF"/>
            <w:noWrap/>
            <w:hideMark/>
          </w:tcPr>
          <w:p w14:paraId="60E9E0CF"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63</w:t>
            </w:r>
          </w:p>
        </w:tc>
        <w:tc>
          <w:tcPr>
            <w:tcW w:w="702" w:type="dxa"/>
            <w:tcBorders>
              <w:top w:val="nil"/>
              <w:left w:val="nil"/>
              <w:bottom w:val="nil"/>
              <w:right w:val="nil"/>
            </w:tcBorders>
            <w:shd w:val="clear" w:color="000000" w:fill="FFFFFF"/>
            <w:noWrap/>
            <w:hideMark/>
          </w:tcPr>
          <w:p w14:paraId="07623D3E"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12.44</w:t>
            </w:r>
          </w:p>
        </w:tc>
        <w:tc>
          <w:tcPr>
            <w:tcW w:w="702" w:type="dxa"/>
            <w:tcBorders>
              <w:top w:val="nil"/>
              <w:left w:val="nil"/>
              <w:bottom w:val="nil"/>
              <w:right w:val="nil"/>
            </w:tcBorders>
            <w:shd w:val="clear" w:color="000000" w:fill="FFFFFF"/>
            <w:noWrap/>
            <w:hideMark/>
          </w:tcPr>
          <w:p w14:paraId="5ED43768"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44.6</w:t>
            </w:r>
          </w:p>
        </w:tc>
        <w:tc>
          <w:tcPr>
            <w:tcW w:w="702" w:type="dxa"/>
            <w:tcBorders>
              <w:top w:val="nil"/>
              <w:left w:val="single" w:sz="4" w:space="0" w:color="000000"/>
              <w:bottom w:val="nil"/>
              <w:right w:val="nil"/>
            </w:tcBorders>
            <w:shd w:val="clear" w:color="000000" w:fill="FFFFFF"/>
            <w:noWrap/>
            <w:hideMark/>
          </w:tcPr>
          <w:p w14:paraId="0E5E805A"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12%</w:t>
            </w:r>
          </w:p>
        </w:tc>
        <w:tc>
          <w:tcPr>
            <w:tcW w:w="702" w:type="dxa"/>
            <w:tcBorders>
              <w:top w:val="nil"/>
              <w:left w:val="nil"/>
              <w:bottom w:val="nil"/>
              <w:right w:val="nil"/>
            </w:tcBorders>
            <w:shd w:val="clear" w:color="000000" w:fill="FFFFFF"/>
            <w:noWrap/>
            <w:hideMark/>
          </w:tcPr>
          <w:p w14:paraId="5A6EC1EE"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14%</w:t>
            </w:r>
          </w:p>
        </w:tc>
        <w:tc>
          <w:tcPr>
            <w:tcW w:w="706" w:type="dxa"/>
            <w:tcBorders>
              <w:top w:val="nil"/>
              <w:left w:val="nil"/>
              <w:bottom w:val="nil"/>
              <w:right w:val="nil"/>
            </w:tcBorders>
            <w:shd w:val="clear" w:color="000000" w:fill="FFFFFF"/>
            <w:noWrap/>
            <w:hideMark/>
          </w:tcPr>
          <w:p w14:paraId="66129B01"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4%</w:t>
            </w:r>
          </w:p>
        </w:tc>
        <w:tc>
          <w:tcPr>
            <w:tcW w:w="730" w:type="dxa"/>
            <w:tcBorders>
              <w:top w:val="nil"/>
              <w:left w:val="nil"/>
              <w:bottom w:val="nil"/>
              <w:right w:val="nil"/>
            </w:tcBorders>
            <w:shd w:val="clear" w:color="000000" w:fill="FFFFFF"/>
            <w:noWrap/>
            <w:hideMark/>
          </w:tcPr>
          <w:p w14:paraId="72D16381"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71%</w:t>
            </w:r>
          </w:p>
        </w:tc>
        <w:tc>
          <w:tcPr>
            <w:tcW w:w="901" w:type="dxa"/>
            <w:tcBorders>
              <w:top w:val="nil"/>
              <w:left w:val="single" w:sz="4" w:space="0" w:color="auto"/>
              <w:bottom w:val="nil"/>
              <w:right w:val="nil"/>
            </w:tcBorders>
            <w:shd w:val="clear" w:color="000000" w:fill="FFFFFF"/>
            <w:noWrap/>
            <w:hideMark/>
          </w:tcPr>
          <w:p w14:paraId="65E34C83"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9.17</w:t>
            </w:r>
          </w:p>
        </w:tc>
        <w:tc>
          <w:tcPr>
            <w:tcW w:w="702" w:type="dxa"/>
            <w:tcBorders>
              <w:top w:val="nil"/>
              <w:left w:val="nil"/>
              <w:bottom w:val="nil"/>
              <w:right w:val="nil"/>
            </w:tcBorders>
            <w:shd w:val="clear" w:color="000000" w:fill="FFFFFF"/>
            <w:noWrap/>
            <w:hideMark/>
          </w:tcPr>
          <w:p w14:paraId="5BFB3925"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 xml:space="preserve">4 </w:t>
            </w:r>
          </w:p>
        </w:tc>
      </w:tr>
      <w:tr w:rsidR="00532BC8" w:rsidRPr="00532BC8" w14:paraId="610328D4" w14:textId="77777777" w:rsidTr="00E22F35">
        <w:trPr>
          <w:trHeight w:hRule="exact" w:val="284"/>
        </w:trPr>
        <w:tc>
          <w:tcPr>
            <w:tcW w:w="660" w:type="dxa"/>
            <w:tcBorders>
              <w:top w:val="nil"/>
              <w:left w:val="nil"/>
              <w:bottom w:val="nil"/>
              <w:right w:val="nil"/>
            </w:tcBorders>
            <w:shd w:val="clear" w:color="000000" w:fill="FFFFFF"/>
            <w:noWrap/>
            <w:hideMark/>
          </w:tcPr>
          <w:p w14:paraId="671E4B0A"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Yes</w:t>
            </w:r>
          </w:p>
        </w:tc>
        <w:tc>
          <w:tcPr>
            <w:tcW w:w="758" w:type="dxa"/>
            <w:tcBorders>
              <w:top w:val="nil"/>
              <w:left w:val="nil"/>
              <w:bottom w:val="nil"/>
              <w:right w:val="nil"/>
            </w:tcBorders>
            <w:shd w:val="clear" w:color="000000" w:fill="FFFFFF"/>
            <w:noWrap/>
            <w:hideMark/>
          </w:tcPr>
          <w:p w14:paraId="10319BFF"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4</w:t>
            </w:r>
          </w:p>
        </w:tc>
        <w:tc>
          <w:tcPr>
            <w:tcW w:w="605" w:type="dxa"/>
            <w:tcBorders>
              <w:top w:val="nil"/>
              <w:left w:val="nil"/>
              <w:bottom w:val="nil"/>
              <w:right w:val="nil"/>
            </w:tcBorders>
            <w:shd w:val="clear" w:color="000000" w:fill="FFFFFF"/>
            <w:noWrap/>
            <w:hideMark/>
          </w:tcPr>
          <w:p w14:paraId="5A3A458D"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B60A</w:t>
            </w:r>
          </w:p>
        </w:tc>
        <w:tc>
          <w:tcPr>
            <w:tcW w:w="5490" w:type="dxa"/>
            <w:gridSpan w:val="2"/>
            <w:tcBorders>
              <w:top w:val="nil"/>
              <w:left w:val="nil"/>
              <w:bottom w:val="nil"/>
              <w:right w:val="nil"/>
            </w:tcBorders>
            <w:shd w:val="clear" w:color="000000" w:fill="FFFFFF"/>
            <w:noWrap/>
            <w:hideMark/>
          </w:tcPr>
          <w:p w14:paraId="088B09BE"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Acute Paraplegia and Quadriplegia W or W/O OR Procedures, Major Complexity</w:t>
            </w:r>
          </w:p>
        </w:tc>
        <w:tc>
          <w:tcPr>
            <w:tcW w:w="567" w:type="dxa"/>
            <w:tcBorders>
              <w:top w:val="nil"/>
              <w:left w:val="nil"/>
              <w:bottom w:val="nil"/>
              <w:right w:val="nil"/>
            </w:tcBorders>
            <w:shd w:val="clear" w:color="000000" w:fill="FFFFFF"/>
            <w:noWrap/>
            <w:hideMark/>
          </w:tcPr>
          <w:p w14:paraId="5901777E" w14:textId="77777777" w:rsidR="00532BC8" w:rsidRPr="00532BC8" w:rsidRDefault="00532BC8" w:rsidP="00532BC8">
            <w:pPr>
              <w:jc w:val="right"/>
              <w:rPr>
                <w:b/>
                <w:bCs/>
                <w:color w:val="000000"/>
                <w:sz w:val="14"/>
                <w:szCs w:val="14"/>
                <w:lang w:val="en-US" w:eastAsia="en-US"/>
              </w:rPr>
            </w:pPr>
            <w:r w:rsidRPr="00532BC8">
              <w:rPr>
                <w:b/>
                <w:bCs/>
                <w:color w:val="000000"/>
                <w:sz w:val="14"/>
                <w:szCs w:val="14"/>
                <w:lang w:val="en-US" w:eastAsia="en-US"/>
              </w:rPr>
              <w:t>8.38</w:t>
            </w:r>
          </w:p>
        </w:tc>
        <w:tc>
          <w:tcPr>
            <w:tcW w:w="839" w:type="dxa"/>
            <w:tcBorders>
              <w:top w:val="nil"/>
              <w:left w:val="nil"/>
              <w:bottom w:val="nil"/>
              <w:right w:val="nil"/>
            </w:tcBorders>
            <w:shd w:val="clear" w:color="000000" w:fill="FFFFFF"/>
            <w:noWrap/>
            <w:hideMark/>
          </w:tcPr>
          <w:p w14:paraId="285202D4"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10</w:t>
            </w:r>
          </w:p>
        </w:tc>
        <w:tc>
          <w:tcPr>
            <w:tcW w:w="702" w:type="dxa"/>
            <w:tcBorders>
              <w:top w:val="nil"/>
              <w:left w:val="nil"/>
              <w:bottom w:val="nil"/>
              <w:right w:val="nil"/>
            </w:tcBorders>
            <w:shd w:val="clear" w:color="000000" w:fill="FFFFFF"/>
            <w:noWrap/>
            <w:hideMark/>
          </w:tcPr>
          <w:p w14:paraId="6D4341A0"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15.55</w:t>
            </w:r>
          </w:p>
        </w:tc>
        <w:tc>
          <w:tcPr>
            <w:tcW w:w="702" w:type="dxa"/>
            <w:tcBorders>
              <w:top w:val="nil"/>
              <w:left w:val="nil"/>
              <w:bottom w:val="nil"/>
              <w:right w:val="nil"/>
            </w:tcBorders>
            <w:shd w:val="clear" w:color="000000" w:fill="FFFFFF"/>
            <w:noWrap/>
            <w:hideMark/>
          </w:tcPr>
          <w:p w14:paraId="48398352"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49.5</w:t>
            </w:r>
          </w:p>
        </w:tc>
        <w:tc>
          <w:tcPr>
            <w:tcW w:w="702" w:type="dxa"/>
            <w:tcBorders>
              <w:top w:val="nil"/>
              <w:left w:val="single" w:sz="4" w:space="0" w:color="000000"/>
              <w:bottom w:val="nil"/>
              <w:right w:val="nil"/>
            </w:tcBorders>
            <w:shd w:val="clear" w:color="000000" w:fill="FFFFFF"/>
            <w:noWrap/>
            <w:hideMark/>
          </w:tcPr>
          <w:p w14:paraId="616FC5B7"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10%</w:t>
            </w:r>
          </w:p>
        </w:tc>
        <w:tc>
          <w:tcPr>
            <w:tcW w:w="702" w:type="dxa"/>
            <w:tcBorders>
              <w:top w:val="nil"/>
              <w:left w:val="nil"/>
              <w:bottom w:val="nil"/>
              <w:right w:val="nil"/>
            </w:tcBorders>
            <w:shd w:val="clear" w:color="000000" w:fill="FFFFFF"/>
            <w:noWrap/>
            <w:hideMark/>
          </w:tcPr>
          <w:p w14:paraId="1800F106"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24%</w:t>
            </w:r>
          </w:p>
        </w:tc>
        <w:tc>
          <w:tcPr>
            <w:tcW w:w="706" w:type="dxa"/>
            <w:tcBorders>
              <w:top w:val="nil"/>
              <w:left w:val="nil"/>
              <w:bottom w:val="nil"/>
              <w:right w:val="nil"/>
            </w:tcBorders>
            <w:shd w:val="clear" w:color="000000" w:fill="FFFFFF"/>
            <w:noWrap/>
            <w:hideMark/>
          </w:tcPr>
          <w:p w14:paraId="772B2A19"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12%</w:t>
            </w:r>
          </w:p>
        </w:tc>
        <w:tc>
          <w:tcPr>
            <w:tcW w:w="730" w:type="dxa"/>
            <w:tcBorders>
              <w:top w:val="nil"/>
              <w:left w:val="nil"/>
              <w:bottom w:val="nil"/>
              <w:right w:val="nil"/>
            </w:tcBorders>
            <w:shd w:val="clear" w:color="000000" w:fill="FFFFFF"/>
            <w:noWrap/>
            <w:hideMark/>
          </w:tcPr>
          <w:p w14:paraId="4DFB06C1"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54%</w:t>
            </w:r>
          </w:p>
        </w:tc>
        <w:tc>
          <w:tcPr>
            <w:tcW w:w="901" w:type="dxa"/>
            <w:tcBorders>
              <w:top w:val="nil"/>
              <w:left w:val="single" w:sz="4" w:space="0" w:color="auto"/>
              <w:bottom w:val="nil"/>
              <w:right w:val="nil"/>
            </w:tcBorders>
            <w:shd w:val="clear" w:color="000000" w:fill="FFFFFF"/>
            <w:noWrap/>
            <w:hideMark/>
          </w:tcPr>
          <w:p w14:paraId="323EF5C0"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9.95</w:t>
            </w:r>
          </w:p>
        </w:tc>
        <w:tc>
          <w:tcPr>
            <w:tcW w:w="702" w:type="dxa"/>
            <w:tcBorders>
              <w:top w:val="nil"/>
              <w:left w:val="nil"/>
              <w:bottom w:val="nil"/>
              <w:right w:val="nil"/>
            </w:tcBorders>
            <w:shd w:val="clear" w:color="000000" w:fill="FFFFFF"/>
            <w:noWrap/>
            <w:hideMark/>
          </w:tcPr>
          <w:p w14:paraId="3466A636"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 xml:space="preserve">3 </w:t>
            </w:r>
          </w:p>
        </w:tc>
      </w:tr>
      <w:tr w:rsidR="00532BC8" w:rsidRPr="00532BC8" w14:paraId="4A6581C1" w14:textId="77777777" w:rsidTr="00E22F35">
        <w:trPr>
          <w:trHeight w:hRule="exact" w:val="284"/>
        </w:trPr>
        <w:tc>
          <w:tcPr>
            <w:tcW w:w="660" w:type="dxa"/>
            <w:tcBorders>
              <w:top w:val="nil"/>
              <w:left w:val="nil"/>
              <w:bottom w:val="nil"/>
              <w:right w:val="nil"/>
            </w:tcBorders>
            <w:shd w:val="clear" w:color="000000" w:fill="FFFFFF"/>
            <w:noWrap/>
            <w:hideMark/>
          </w:tcPr>
          <w:p w14:paraId="5142243B"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Yes</w:t>
            </w:r>
          </w:p>
        </w:tc>
        <w:tc>
          <w:tcPr>
            <w:tcW w:w="758" w:type="dxa"/>
            <w:tcBorders>
              <w:top w:val="nil"/>
              <w:left w:val="nil"/>
              <w:bottom w:val="nil"/>
              <w:right w:val="nil"/>
            </w:tcBorders>
            <w:shd w:val="clear" w:color="000000" w:fill="FFFFFF"/>
            <w:noWrap/>
            <w:hideMark/>
          </w:tcPr>
          <w:p w14:paraId="7174D5C1"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5</w:t>
            </w:r>
          </w:p>
        </w:tc>
        <w:tc>
          <w:tcPr>
            <w:tcW w:w="605" w:type="dxa"/>
            <w:tcBorders>
              <w:top w:val="nil"/>
              <w:left w:val="nil"/>
              <w:bottom w:val="nil"/>
              <w:right w:val="nil"/>
            </w:tcBorders>
            <w:shd w:val="clear" w:color="000000" w:fill="FFFFFF"/>
            <w:noWrap/>
            <w:hideMark/>
          </w:tcPr>
          <w:p w14:paraId="2A3943A7"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A08A</w:t>
            </w:r>
          </w:p>
        </w:tc>
        <w:tc>
          <w:tcPr>
            <w:tcW w:w="5490" w:type="dxa"/>
            <w:gridSpan w:val="2"/>
            <w:tcBorders>
              <w:top w:val="nil"/>
              <w:left w:val="nil"/>
              <w:bottom w:val="nil"/>
              <w:right w:val="nil"/>
            </w:tcBorders>
            <w:shd w:val="clear" w:color="000000" w:fill="FFFFFF"/>
            <w:noWrap/>
            <w:hideMark/>
          </w:tcPr>
          <w:p w14:paraId="71E51EEE" w14:textId="0CD59C8B" w:rsidR="00532BC8" w:rsidRPr="00532BC8" w:rsidRDefault="00532BC8" w:rsidP="00532BC8">
            <w:pPr>
              <w:rPr>
                <w:color w:val="000000"/>
                <w:sz w:val="14"/>
                <w:szCs w:val="14"/>
                <w:lang w:val="en-US" w:eastAsia="en-US"/>
              </w:rPr>
            </w:pPr>
            <w:r w:rsidRPr="00532BC8">
              <w:rPr>
                <w:color w:val="000000"/>
                <w:sz w:val="14"/>
                <w:szCs w:val="14"/>
                <w:lang w:val="en-US" w:eastAsia="en-US"/>
              </w:rPr>
              <w:t>Autologous Bone Marrow Transplant, Major Complexity</w:t>
            </w:r>
          </w:p>
        </w:tc>
        <w:tc>
          <w:tcPr>
            <w:tcW w:w="567" w:type="dxa"/>
            <w:tcBorders>
              <w:top w:val="nil"/>
              <w:left w:val="nil"/>
              <w:bottom w:val="nil"/>
              <w:right w:val="nil"/>
            </w:tcBorders>
            <w:shd w:val="clear" w:color="000000" w:fill="FFFFFF"/>
            <w:noWrap/>
            <w:hideMark/>
          </w:tcPr>
          <w:p w14:paraId="7DE07250" w14:textId="77777777" w:rsidR="00532BC8" w:rsidRPr="00532BC8" w:rsidRDefault="00532BC8" w:rsidP="00532BC8">
            <w:pPr>
              <w:jc w:val="right"/>
              <w:rPr>
                <w:b/>
                <w:bCs/>
                <w:color w:val="000000"/>
                <w:sz w:val="14"/>
                <w:szCs w:val="14"/>
                <w:lang w:val="en-US" w:eastAsia="en-US"/>
              </w:rPr>
            </w:pPr>
            <w:r w:rsidRPr="00532BC8">
              <w:rPr>
                <w:b/>
                <w:bCs/>
                <w:color w:val="000000"/>
                <w:sz w:val="14"/>
                <w:szCs w:val="14"/>
                <w:lang w:val="en-US" w:eastAsia="en-US"/>
              </w:rPr>
              <w:t>7.27</w:t>
            </w:r>
          </w:p>
        </w:tc>
        <w:tc>
          <w:tcPr>
            <w:tcW w:w="839" w:type="dxa"/>
            <w:tcBorders>
              <w:top w:val="nil"/>
              <w:left w:val="nil"/>
              <w:bottom w:val="nil"/>
              <w:right w:val="nil"/>
            </w:tcBorders>
            <w:shd w:val="clear" w:color="000000" w:fill="FFFFFF"/>
            <w:noWrap/>
            <w:hideMark/>
          </w:tcPr>
          <w:p w14:paraId="268E6FF5"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184</w:t>
            </w:r>
          </w:p>
        </w:tc>
        <w:tc>
          <w:tcPr>
            <w:tcW w:w="702" w:type="dxa"/>
            <w:tcBorders>
              <w:top w:val="nil"/>
              <w:left w:val="nil"/>
              <w:bottom w:val="nil"/>
              <w:right w:val="nil"/>
            </w:tcBorders>
            <w:shd w:val="clear" w:color="000000" w:fill="FFFFFF"/>
            <w:noWrap/>
            <w:hideMark/>
          </w:tcPr>
          <w:p w14:paraId="4169DE73"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7.67</w:t>
            </w:r>
          </w:p>
        </w:tc>
        <w:tc>
          <w:tcPr>
            <w:tcW w:w="702" w:type="dxa"/>
            <w:tcBorders>
              <w:top w:val="nil"/>
              <w:left w:val="nil"/>
              <w:bottom w:val="nil"/>
              <w:right w:val="nil"/>
            </w:tcBorders>
            <w:shd w:val="clear" w:color="000000" w:fill="FFFFFF"/>
            <w:noWrap/>
            <w:hideMark/>
          </w:tcPr>
          <w:p w14:paraId="1587B074"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21.6</w:t>
            </w:r>
          </w:p>
        </w:tc>
        <w:tc>
          <w:tcPr>
            <w:tcW w:w="702" w:type="dxa"/>
            <w:tcBorders>
              <w:top w:val="nil"/>
              <w:left w:val="single" w:sz="4" w:space="0" w:color="000000"/>
              <w:bottom w:val="nil"/>
              <w:right w:val="nil"/>
            </w:tcBorders>
            <w:shd w:val="clear" w:color="000000" w:fill="FFFFFF"/>
            <w:noWrap/>
            <w:hideMark/>
          </w:tcPr>
          <w:p w14:paraId="11892158"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w:t>
            </w:r>
          </w:p>
        </w:tc>
        <w:tc>
          <w:tcPr>
            <w:tcW w:w="702" w:type="dxa"/>
            <w:tcBorders>
              <w:top w:val="nil"/>
              <w:left w:val="nil"/>
              <w:bottom w:val="nil"/>
              <w:right w:val="nil"/>
            </w:tcBorders>
            <w:shd w:val="clear" w:color="000000" w:fill="FFFFFF"/>
            <w:noWrap/>
            <w:hideMark/>
          </w:tcPr>
          <w:p w14:paraId="54D0E038"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4%</w:t>
            </w:r>
          </w:p>
        </w:tc>
        <w:tc>
          <w:tcPr>
            <w:tcW w:w="706" w:type="dxa"/>
            <w:tcBorders>
              <w:top w:val="nil"/>
              <w:left w:val="nil"/>
              <w:bottom w:val="nil"/>
              <w:right w:val="nil"/>
            </w:tcBorders>
            <w:shd w:val="clear" w:color="000000" w:fill="FFFFFF"/>
            <w:noWrap/>
            <w:hideMark/>
          </w:tcPr>
          <w:p w14:paraId="6C36A779"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0%</w:t>
            </w:r>
          </w:p>
        </w:tc>
        <w:tc>
          <w:tcPr>
            <w:tcW w:w="730" w:type="dxa"/>
            <w:tcBorders>
              <w:top w:val="nil"/>
              <w:left w:val="nil"/>
              <w:bottom w:val="nil"/>
              <w:right w:val="nil"/>
            </w:tcBorders>
            <w:shd w:val="clear" w:color="000000" w:fill="FFFFFF"/>
            <w:noWrap/>
            <w:hideMark/>
          </w:tcPr>
          <w:p w14:paraId="07C3B2B7"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95%</w:t>
            </w:r>
          </w:p>
        </w:tc>
        <w:tc>
          <w:tcPr>
            <w:tcW w:w="901" w:type="dxa"/>
            <w:tcBorders>
              <w:top w:val="nil"/>
              <w:left w:val="single" w:sz="4" w:space="0" w:color="auto"/>
              <w:bottom w:val="nil"/>
              <w:right w:val="nil"/>
            </w:tcBorders>
            <w:shd w:val="clear" w:color="000000" w:fill="FFFFFF"/>
            <w:noWrap/>
            <w:hideMark/>
          </w:tcPr>
          <w:p w14:paraId="79ABBD5D"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7.29</w:t>
            </w:r>
          </w:p>
        </w:tc>
        <w:tc>
          <w:tcPr>
            <w:tcW w:w="702" w:type="dxa"/>
            <w:tcBorders>
              <w:top w:val="nil"/>
              <w:left w:val="nil"/>
              <w:bottom w:val="nil"/>
              <w:right w:val="nil"/>
            </w:tcBorders>
            <w:shd w:val="clear" w:color="000000" w:fill="FFFFFF"/>
            <w:noWrap/>
            <w:hideMark/>
          </w:tcPr>
          <w:p w14:paraId="4C8CA367"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 xml:space="preserve">11 </w:t>
            </w:r>
          </w:p>
        </w:tc>
      </w:tr>
      <w:tr w:rsidR="00532BC8" w:rsidRPr="00532BC8" w14:paraId="6657A17D" w14:textId="77777777" w:rsidTr="00E22F35">
        <w:trPr>
          <w:trHeight w:hRule="exact" w:val="284"/>
        </w:trPr>
        <w:tc>
          <w:tcPr>
            <w:tcW w:w="660" w:type="dxa"/>
            <w:tcBorders>
              <w:top w:val="nil"/>
              <w:left w:val="nil"/>
              <w:bottom w:val="nil"/>
              <w:right w:val="nil"/>
            </w:tcBorders>
            <w:shd w:val="clear" w:color="000000" w:fill="FFFFFF"/>
            <w:noWrap/>
            <w:hideMark/>
          </w:tcPr>
          <w:p w14:paraId="332FB310"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Yes</w:t>
            </w:r>
          </w:p>
        </w:tc>
        <w:tc>
          <w:tcPr>
            <w:tcW w:w="758" w:type="dxa"/>
            <w:tcBorders>
              <w:top w:val="nil"/>
              <w:left w:val="nil"/>
              <w:bottom w:val="nil"/>
              <w:right w:val="nil"/>
            </w:tcBorders>
            <w:shd w:val="clear" w:color="000000" w:fill="FFFFFF"/>
            <w:noWrap/>
            <w:hideMark/>
          </w:tcPr>
          <w:p w14:paraId="47F54082"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6</w:t>
            </w:r>
          </w:p>
        </w:tc>
        <w:tc>
          <w:tcPr>
            <w:tcW w:w="605" w:type="dxa"/>
            <w:tcBorders>
              <w:top w:val="nil"/>
              <w:left w:val="nil"/>
              <w:bottom w:val="nil"/>
              <w:right w:val="nil"/>
            </w:tcBorders>
            <w:shd w:val="clear" w:color="000000" w:fill="FFFFFF"/>
            <w:noWrap/>
            <w:hideMark/>
          </w:tcPr>
          <w:p w14:paraId="26B890F2"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A06B</w:t>
            </w:r>
          </w:p>
        </w:tc>
        <w:tc>
          <w:tcPr>
            <w:tcW w:w="5490" w:type="dxa"/>
            <w:gridSpan w:val="2"/>
            <w:tcBorders>
              <w:top w:val="nil"/>
              <w:left w:val="nil"/>
              <w:bottom w:val="nil"/>
              <w:right w:val="nil"/>
            </w:tcBorders>
            <w:shd w:val="clear" w:color="000000" w:fill="FFFFFF"/>
            <w:noWrap/>
            <w:hideMark/>
          </w:tcPr>
          <w:p w14:paraId="119D65F7" w14:textId="690D301E" w:rsidR="00532BC8" w:rsidRPr="00532BC8" w:rsidRDefault="00532BC8" w:rsidP="00532BC8">
            <w:pPr>
              <w:rPr>
                <w:color w:val="000000"/>
                <w:sz w:val="14"/>
                <w:szCs w:val="14"/>
                <w:lang w:val="en-US" w:eastAsia="en-US"/>
              </w:rPr>
            </w:pPr>
            <w:r w:rsidRPr="00532BC8">
              <w:rPr>
                <w:color w:val="000000"/>
                <w:sz w:val="14"/>
                <w:szCs w:val="14"/>
                <w:lang w:val="en-US" w:eastAsia="en-US"/>
              </w:rPr>
              <w:t>Tracheostomy and/or Ventilation &gt;=96hours, Intermediate Complexity</w:t>
            </w:r>
          </w:p>
        </w:tc>
        <w:tc>
          <w:tcPr>
            <w:tcW w:w="567" w:type="dxa"/>
            <w:tcBorders>
              <w:top w:val="nil"/>
              <w:left w:val="nil"/>
              <w:bottom w:val="nil"/>
              <w:right w:val="nil"/>
            </w:tcBorders>
            <w:shd w:val="clear" w:color="000000" w:fill="FFFFFF"/>
            <w:noWrap/>
            <w:hideMark/>
          </w:tcPr>
          <w:p w14:paraId="5E5D643C" w14:textId="77777777" w:rsidR="00532BC8" w:rsidRPr="00532BC8" w:rsidRDefault="00532BC8" w:rsidP="00532BC8">
            <w:pPr>
              <w:jc w:val="right"/>
              <w:rPr>
                <w:b/>
                <w:bCs/>
                <w:color w:val="000000"/>
                <w:sz w:val="14"/>
                <w:szCs w:val="14"/>
                <w:lang w:val="en-US" w:eastAsia="en-US"/>
              </w:rPr>
            </w:pPr>
            <w:r w:rsidRPr="00532BC8">
              <w:rPr>
                <w:b/>
                <w:bCs/>
                <w:color w:val="000000"/>
                <w:sz w:val="14"/>
                <w:szCs w:val="14"/>
                <w:lang w:val="en-US" w:eastAsia="en-US"/>
              </w:rPr>
              <w:t>7.17</w:t>
            </w:r>
          </w:p>
        </w:tc>
        <w:tc>
          <w:tcPr>
            <w:tcW w:w="839" w:type="dxa"/>
            <w:tcBorders>
              <w:top w:val="nil"/>
              <w:left w:val="nil"/>
              <w:bottom w:val="nil"/>
              <w:right w:val="nil"/>
            </w:tcBorders>
            <w:shd w:val="clear" w:color="000000" w:fill="FFFFFF"/>
            <w:noWrap/>
            <w:hideMark/>
          </w:tcPr>
          <w:p w14:paraId="3FDB31C8"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532</w:t>
            </w:r>
          </w:p>
        </w:tc>
        <w:tc>
          <w:tcPr>
            <w:tcW w:w="702" w:type="dxa"/>
            <w:tcBorders>
              <w:top w:val="nil"/>
              <w:left w:val="nil"/>
              <w:bottom w:val="nil"/>
              <w:right w:val="nil"/>
            </w:tcBorders>
            <w:shd w:val="clear" w:color="000000" w:fill="FFFFFF"/>
            <w:noWrap/>
            <w:hideMark/>
          </w:tcPr>
          <w:p w14:paraId="57119348"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24.44</w:t>
            </w:r>
          </w:p>
        </w:tc>
        <w:tc>
          <w:tcPr>
            <w:tcW w:w="702" w:type="dxa"/>
            <w:tcBorders>
              <w:top w:val="nil"/>
              <w:left w:val="nil"/>
              <w:bottom w:val="nil"/>
              <w:right w:val="nil"/>
            </w:tcBorders>
            <w:shd w:val="clear" w:color="000000" w:fill="FFFFFF"/>
            <w:noWrap/>
            <w:hideMark/>
          </w:tcPr>
          <w:p w14:paraId="584C11E3"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31.4</w:t>
            </w:r>
          </w:p>
        </w:tc>
        <w:tc>
          <w:tcPr>
            <w:tcW w:w="702" w:type="dxa"/>
            <w:tcBorders>
              <w:top w:val="nil"/>
              <w:left w:val="single" w:sz="4" w:space="0" w:color="000000"/>
              <w:bottom w:val="nil"/>
              <w:right w:val="nil"/>
            </w:tcBorders>
            <w:shd w:val="clear" w:color="000000" w:fill="FFFFFF"/>
            <w:noWrap/>
            <w:hideMark/>
          </w:tcPr>
          <w:p w14:paraId="79571E68"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8%</w:t>
            </w:r>
          </w:p>
        </w:tc>
        <w:tc>
          <w:tcPr>
            <w:tcW w:w="702" w:type="dxa"/>
            <w:tcBorders>
              <w:top w:val="nil"/>
              <w:left w:val="nil"/>
              <w:bottom w:val="nil"/>
              <w:right w:val="nil"/>
            </w:tcBorders>
            <w:shd w:val="clear" w:color="000000" w:fill="FFFFFF"/>
            <w:noWrap/>
            <w:hideMark/>
          </w:tcPr>
          <w:p w14:paraId="1E368008"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57%</w:t>
            </w:r>
          </w:p>
        </w:tc>
        <w:tc>
          <w:tcPr>
            <w:tcW w:w="706" w:type="dxa"/>
            <w:tcBorders>
              <w:top w:val="nil"/>
              <w:left w:val="nil"/>
              <w:bottom w:val="nil"/>
              <w:right w:val="nil"/>
            </w:tcBorders>
            <w:shd w:val="clear" w:color="000000" w:fill="FFFFFF"/>
            <w:noWrap/>
            <w:hideMark/>
          </w:tcPr>
          <w:p w14:paraId="2BDA7D50"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6%</w:t>
            </w:r>
          </w:p>
        </w:tc>
        <w:tc>
          <w:tcPr>
            <w:tcW w:w="730" w:type="dxa"/>
            <w:tcBorders>
              <w:top w:val="nil"/>
              <w:left w:val="nil"/>
              <w:bottom w:val="nil"/>
              <w:right w:val="nil"/>
            </w:tcBorders>
            <w:shd w:val="clear" w:color="000000" w:fill="FFFFFF"/>
            <w:noWrap/>
            <w:hideMark/>
          </w:tcPr>
          <w:p w14:paraId="780627B2"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29%</w:t>
            </w:r>
          </w:p>
        </w:tc>
        <w:tc>
          <w:tcPr>
            <w:tcW w:w="901" w:type="dxa"/>
            <w:tcBorders>
              <w:top w:val="nil"/>
              <w:left w:val="single" w:sz="4" w:space="0" w:color="auto"/>
              <w:bottom w:val="nil"/>
              <w:right w:val="nil"/>
            </w:tcBorders>
            <w:shd w:val="clear" w:color="000000" w:fill="FFFFFF"/>
            <w:noWrap/>
            <w:hideMark/>
          </w:tcPr>
          <w:p w14:paraId="1F2DDC5D"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10.09</w:t>
            </w:r>
          </w:p>
        </w:tc>
        <w:tc>
          <w:tcPr>
            <w:tcW w:w="702" w:type="dxa"/>
            <w:tcBorders>
              <w:top w:val="nil"/>
              <w:left w:val="nil"/>
              <w:bottom w:val="nil"/>
              <w:right w:val="nil"/>
            </w:tcBorders>
            <w:shd w:val="clear" w:color="000000" w:fill="FFFFFF"/>
            <w:noWrap/>
            <w:hideMark/>
          </w:tcPr>
          <w:p w14:paraId="3D6BA9A3"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 xml:space="preserve">2 </w:t>
            </w:r>
          </w:p>
        </w:tc>
      </w:tr>
      <w:tr w:rsidR="00532BC8" w:rsidRPr="00532BC8" w14:paraId="4966D5F6" w14:textId="77777777" w:rsidTr="00E22F35">
        <w:trPr>
          <w:trHeight w:hRule="exact" w:val="284"/>
        </w:trPr>
        <w:tc>
          <w:tcPr>
            <w:tcW w:w="660" w:type="dxa"/>
            <w:tcBorders>
              <w:top w:val="nil"/>
              <w:left w:val="nil"/>
              <w:bottom w:val="nil"/>
              <w:right w:val="nil"/>
            </w:tcBorders>
            <w:shd w:val="clear" w:color="000000" w:fill="FFFFFF"/>
            <w:noWrap/>
            <w:hideMark/>
          </w:tcPr>
          <w:p w14:paraId="4ADB18FE"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Yes</w:t>
            </w:r>
          </w:p>
        </w:tc>
        <w:tc>
          <w:tcPr>
            <w:tcW w:w="758" w:type="dxa"/>
            <w:tcBorders>
              <w:top w:val="nil"/>
              <w:left w:val="nil"/>
              <w:bottom w:val="nil"/>
              <w:right w:val="nil"/>
            </w:tcBorders>
            <w:shd w:val="clear" w:color="000000" w:fill="FFFFFF"/>
            <w:noWrap/>
            <w:hideMark/>
          </w:tcPr>
          <w:p w14:paraId="525AA748"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7</w:t>
            </w:r>
          </w:p>
        </w:tc>
        <w:tc>
          <w:tcPr>
            <w:tcW w:w="605" w:type="dxa"/>
            <w:tcBorders>
              <w:top w:val="nil"/>
              <w:left w:val="nil"/>
              <w:bottom w:val="nil"/>
              <w:right w:val="nil"/>
            </w:tcBorders>
            <w:shd w:val="clear" w:color="000000" w:fill="FFFFFF"/>
            <w:noWrap/>
            <w:hideMark/>
          </w:tcPr>
          <w:p w14:paraId="7AD05B48"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F11A</w:t>
            </w:r>
          </w:p>
        </w:tc>
        <w:tc>
          <w:tcPr>
            <w:tcW w:w="5490" w:type="dxa"/>
            <w:gridSpan w:val="2"/>
            <w:tcBorders>
              <w:top w:val="nil"/>
              <w:left w:val="nil"/>
              <w:bottom w:val="nil"/>
              <w:right w:val="nil"/>
            </w:tcBorders>
            <w:shd w:val="clear" w:color="000000" w:fill="FFFFFF"/>
            <w:noWrap/>
            <w:hideMark/>
          </w:tcPr>
          <w:p w14:paraId="264AC91A"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Amputation, Except Upper Limb and Toe, for Circulatory Disorders, Major Comp</w:t>
            </w:r>
          </w:p>
        </w:tc>
        <w:tc>
          <w:tcPr>
            <w:tcW w:w="567" w:type="dxa"/>
            <w:tcBorders>
              <w:top w:val="nil"/>
              <w:left w:val="nil"/>
              <w:bottom w:val="nil"/>
              <w:right w:val="nil"/>
            </w:tcBorders>
            <w:shd w:val="clear" w:color="000000" w:fill="FFFFFF"/>
            <w:noWrap/>
            <w:hideMark/>
          </w:tcPr>
          <w:p w14:paraId="1E11AC4F" w14:textId="77777777" w:rsidR="00532BC8" w:rsidRPr="00532BC8" w:rsidRDefault="00532BC8" w:rsidP="00532BC8">
            <w:pPr>
              <w:jc w:val="right"/>
              <w:rPr>
                <w:b/>
                <w:bCs/>
                <w:color w:val="000000"/>
                <w:sz w:val="14"/>
                <w:szCs w:val="14"/>
                <w:lang w:val="en-US" w:eastAsia="en-US"/>
              </w:rPr>
            </w:pPr>
            <w:r w:rsidRPr="00532BC8">
              <w:rPr>
                <w:b/>
                <w:bCs/>
                <w:color w:val="000000"/>
                <w:sz w:val="14"/>
                <w:szCs w:val="14"/>
                <w:lang w:val="en-US" w:eastAsia="en-US"/>
              </w:rPr>
              <w:t>6.83</w:t>
            </w:r>
          </w:p>
        </w:tc>
        <w:tc>
          <w:tcPr>
            <w:tcW w:w="839" w:type="dxa"/>
            <w:tcBorders>
              <w:top w:val="nil"/>
              <w:left w:val="nil"/>
              <w:bottom w:val="nil"/>
              <w:right w:val="nil"/>
            </w:tcBorders>
            <w:shd w:val="clear" w:color="000000" w:fill="FFFFFF"/>
            <w:noWrap/>
            <w:hideMark/>
          </w:tcPr>
          <w:p w14:paraId="270C1F94"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65</w:t>
            </w:r>
          </w:p>
        </w:tc>
        <w:tc>
          <w:tcPr>
            <w:tcW w:w="702" w:type="dxa"/>
            <w:tcBorders>
              <w:top w:val="nil"/>
              <w:left w:val="nil"/>
              <w:bottom w:val="nil"/>
              <w:right w:val="nil"/>
            </w:tcBorders>
            <w:shd w:val="clear" w:color="000000" w:fill="FFFFFF"/>
            <w:noWrap/>
            <w:hideMark/>
          </w:tcPr>
          <w:p w14:paraId="1724322E"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10.23</w:t>
            </w:r>
          </w:p>
        </w:tc>
        <w:tc>
          <w:tcPr>
            <w:tcW w:w="702" w:type="dxa"/>
            <w:tcBorders>
              <w:top w:val="nil"/>
              <w:left w:val="nil"/>
              <w:bottom w:val="nil"/>
              <w:right w:val="nil"/>
            </w:tcBorders>
            <w:shd w:val="clear" w:color="000000" w:fill="FFFFFF"/>
            <w:noWrap/>
            <w:hideMark/>
          </w:tcPr>
          <w:p w14:paraId="62A5D824"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33.3</w:t>
            </w:r>
          </w:p>
        </w:tc>
        <w:tc>
          <w:tcPr>
            <w:tcW w:w="702" w:type="dxa"/>
            <w:tcBorders>
              <w:top w:val="nil"/>
              <w:left w:val="single" w:sz="4" w:space="0" w:color="000000"/>
              <w:bottom w:val="nil"/>
              <w:right w:val="nil"/>
            </w:tcBorders>
            <w:shd w:val="clear" w:color="000000" w:fill="FFFFFF"/>
            <w:noWrap/>
            <w:hideMark/>
          </w:tcPr>
          <w:p w14:paraId="0F61B738"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15%</w:t>
            </w:r>
          </w:p>
        </w:tc>
        <w:tc>
          <w:tcPr>
            <w:tcW w:w="702" w:type="dxa"/>
            <w:tcBorders>
              <w:top w:val="nil"/>
              <w:left w:val="nil"/>
              <w:bottom w:val="nil"/>
              <w:right w:val="nil"/>
            </w:tcBorders>
            <w:shd w:val="clear" w:color="000000" w:fill="FFFFFF"/>
            <w:noWrap/>
            <w:hideMark/>
          </w:tcPr>
          <w:p w14:paraId="32BEA687"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15%</w:t>
            </w:r>
          </w:p>
        </w:tc>
        <w:tc>
          <w:tcPr>
            <w:tcW w:w="706" w:type="dxa"/>
            <w:tcBorders>
              <w:top w:val="nil"/>
              <w:left w:val="nil"/>
              <w:bottom w:val="nil"/>
              <w:right w:val="nil"/>
            </w:tcBorders>
            <w:shd w:val="clear" w:color="000000" w:fill="FFFFFF"/>
            <w:noWrap/>
            <w:hideMark/>
          </w:tcPr>
          <w:p w14:paraId="570751F2"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3%</w:t>
            </w:r>
          </w:p>
        </w:tc>
        <w:tc>
          <w:tcPr>
            <w:tcW w:w="730" w:type="dxa"/>
            <w:tcBorders>
              <w:top w:val="nil"/>
              <w:left w:val="nil"/>
              <w:bottom w:val="nil"/>
              <w:right w:val="nil"/>
            </w:tcBorders>
            <w:shd w:val="clear" w:color="000000" w:fill="FFFFFF"/>
            <w:noWrap/>
            <w:hideMark/>
          </w:tcPr>
          <w:p w14:paraId="4EDFA700"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67%</w:t>
            </w:r>
          </w:p>
        </w:tc>
        <w:tc>
          <w:tcPr>
            <w:tcW w:w="901" w:type="dxa"/>
            <w:tcBorders>
              <w:top w:val="nil"/>
              <w:left w:val="single" w:sz="4" w:space="0" w:color="auto"/>
              <w:bottom w:val="nil"/>
              <w:right w:val="nil"/>
            </w:tcBorders>
            <w:shd w:val="clear" w:color="000000" w:fill="FFFFFF"/>
            <w:noWrap/>
            <w:hideMark/>
          </w:tcPr>
          <w:p w14:paraId="75168F07"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6.55</w:t>
            </w:r>
          </w:p>
        </w:tc>
        <w:tc>
          <w:tcPr>
            <w:tcW w:w="702" w:type="dxa"/>
            <w:tcBorders>
              <w:top w:val="nil"/>
              <w:left w:val="nil"/>
              <w:bottom w:val="nil"/>
              <w:right w:val="nil"/>
            </w:tcBorders>
            <w:shd w:val="clear" w:color="000000" w:fill="FFFFFF"/>
            <w:noWrap/>
            <w:hideMark/>
          </w:tcPr>
          <w:p w14:paraId="7D79EC30"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 xml:space="preserve">15 </w:t>
            </w:r>
          </w:p>
        </w:tc>
      </w:tr>
      <w:tr w:rsidR="00532BC8" w:rsidRPr="00532BC8" w14:paraId="7FFCCDE3" w14:textId="77777777" w:rsidTr="00E22F35">
        <w:trPr>
          <w:trHeight w:hRule="exact" w:val="284"/>
        </w:trPr>
        <w:tc>
          <w:tcPr>
            <w:tcW w:w="660" w:type="dxa"/>
            <w:tcBorders>
              <w:top w:val="nil"/>
              <w:left w:val="nil"/>
              <w:bottom w:val="nil"/>
              <w:right w:val="nil"/>
            </w:tcBorders>
            <w:shd w:val="clear" w:color="000000" w:fill="FFFFFF"/>
            <w:noWrap/>
            <w:hideMark/>
          </w:tcPr>
          <w:p w14:paraId="092B2732"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Yes</w:t>
            </w:r>
          </w:p>
        </w:tc>
        <w:tc>
          <w:tcPr>
            <w:tcW w:w="758" w:type="dxa"/>
            <w:tcBorders>
              <w:top w:val="nil"/>
              <w:left w:val="nil"/>
              <w:bottom w:val="nil"/>
              <w:right w:val="nil"/>
            </w:tcBorders>
            <w:shd w:val="clear" w:color="000000" w:fill="FFFFFF"/>
            <w:noWrap/>
            <w:hideMark/>
          </w:tcPr>
          <w:p w14:paraId="578B610F"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8</w:t>
            </w:r>
          </w:p>
        </w:tc>
        <w:tc>
          <w:tcPr>
            <w:tcW w:w="605" w:type="dxa"/>
            <w:tcBorders>
              <w:top w:val="nil"/>
              <w:left w:val="nil"/>
              <w:bottom w:val="nil"/>
              <w:right w:val="nil"/>
            </w:tcBorders>
            <w:shd w:val="clear" w:color="000000" w:fill="FFFFFF"/>
            <w:noWrap/>
            <w:hideMark/>
          </w:tcPr>
          <w:p w14:paraId="1917699F"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R03A</w:t>
            </w:r>
          </w:p>
        </w:tc>
        <w:tc>
          <w:tcPr>
            <w:tcW w:w="5490" w:type="dxa"/>
            <w:gridSpan w:val="2"/>
            <w:tcBorders>
              <w:top w:val="nil"/>
              <w:left w:val="nil"/>
              <w:bottom w:val="nil"/>
              <w:right w:val="nil"/>
            </w:tcBorders>
            <w:shd w:val="clear" w:color="000000" w:fill="FFFFFF"/>
            <w:noWrap/>
            <w:hideMark/>
          </w:tcPr>
          <w:p w14:paraId="323BC531"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 xml:space="preserve">Lymphoma and </w:t>
            </w:r>
            <w:proofErr w:type="spellStart"/>
            <w:r w:rsidRPr="00532BC8">
              <w:rPr>
                <w:color w:val="000000"/>
                <w:sz w:val="14"/>
                <w:szCs w:val="14"/>
                <w:lang w:val="en-US" w:eastAsia="en-US"/>
              </w:rPr>
              <w:t>Leukaemia</w:t>
            </w:r>
            <w:proofErr w:type="spellEnd"/>
            <w:r w:rsidRPr="00532BC8">
              <w:rPr>
                <w:color w:val="000000"/>
                <w:sz w:val="14"/>
                <w:szCs w:val="14"/>
                <w:lang w:val="en-US" w:eastAsia="en-US"/>
              </w:rPr>
              <w:t xml:space="preserve"> W Other OR Procedures, Major Complexity</w:t>
            </w:r>
          </w:p>
        </w:tc>
        <w:tc>
          <w:tcPr>
            <w:tcW w:w="567" w:type="dxa"/>
            <w:tcBorders>
              <w:top w:val="nil"/>
              <w:left w:val="nil"/>
              <w:bottom w:val="nil"/>
              <w:right w:val="nil"/>
            </w:tcBorders>
            <w:shd w:val="clear" w:color="000000" w:fill="FFFFFF"/>
            <w:noWrap/>
            <w:hideMark/>
          </w:tcPr>
          <w:p w14:paraId="3A08A6C4" w14:textId="77777777" w:rsidR="00532BC8" w:rsidRPr="00532BC8" w:rsidRDefault="00532BC8" w:rsidP="00532BC8">
            <w:pPr>
              <w:jc w:val="right"/>
              <w:rPr>
                <w:b/>
                <w:bCs/>
                <w:color w:val="000000"/>
                <w:sz w:val="14"/>
                <w:szCs w:val="14"/>
                <w:lang w:val="en-US" w:eastAsia="en-US"/>
              </w:rPr>
            </w:pPr>
            <w:r w:rsidRPr="00532BC8">
              <w:rPr>
                <w:b/>
                <w:bCs/>
                <w:color w:val="000000"/>
                <w:sz w:val="14"/>
                <w:szCs w:val="14"/>
                <w:lang w:val="en-US" w:eastAsia="en-US"/>
              </w:rPr>
              <w:t>6.56</w:t>
            </w:r>
          </w:p>
        </w:tc>
        <w:tc>
          <w:tcPr>
            <w:tcW w:w="839" w:type="dxa"/>
            <w:tcBorders>
              <w:top w:val="nil"/>
              <w:left w:val="nil"/>
              <w:bottom w:val="nil"/>
              <w:right w:val="nil"/>
            </w:tcBorders>
            <w:shd w:val="clear" w:color="000000" w:fill="FFFFFF"/>
            <w:noWrap/>
            <w:hideMark/>
          </w:tcPr>
          <w:p w14:paraId="78F28F5B"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145</w:t>
            </w:r>
          </w:p>
        </w:tc>
        <w:tc>
          <w:tcPr>
            <w:tcW w:w="702" w:type="dxa"/>
            <w:tcBorders>
              <w:top w:val="nil"/>
              <w:left w:val="nil"/>
              <w:bottom w:val="nil"/>
              <w:right w:val="nil"/>
            </w:tcBorders>
            <w:shd w:val="clear" w:color="000000" w:fill="FFFFFF"/>
            <w:noWrap/>
            <w:hideMark/>
          </w:tcPr>
          <w:p w14:paraId="0C729451"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7.77</w:t>
            </w:r>
          </w:p>
        </w:tc>
        <w:tc>
          <w:tcPr>
            <w:tcW w:w="702" w:type="dxa"/>
            <w:tcBorders>
              <w:top w:val="nil"/>
              <w:left w:val="nil"/>
              <w:bottom w:val="nil"/>
              <w:right w:val="nil"/>
            </w:tcBorders>
            <w:shd w:val="clear" w:color="000000" w:fill="FFFFFF"/>
            <w:noWrap/>
            <w:hideMark/>
          </w:tcPr>
          <w:p w14:paraId="22B09D74"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27.8</w:t>
            </w:r>
          </w:p>
        </w:tc>
        <w:tc>
          <w:tcPr>
            <w:tcW w:w="702" w:type="dxa"/>
            <w:tcBorders>
              <w:top w:val="nil"/>
              <w:left w:val="single" w:sz="4" w:space="0" w:color="000000"/>
              <w:bottom w:val="nil"/>
              <w:right w:val="nil"/>
            </w:tcBorders>
            <w:shd w:val="clear" w:color="000000" w:fill="FFFFFF"/>
            <w:noWrap/>
            <w:hideMark/>
          </w:tcPr>
          <w:p w14:paraId="6C951D31"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6%</w:t>
            </w:r>
          </w:p>
        </w:tc>
        <w:tc>
          <w:tcPr>
            <w:tcW w:w="702" w:type="dxa"/>
            <w:tcBorders>
              <w:top w:val="nil"/>
              <w:left w:val="nil"/>
              <w:bottom w:val="nil"/>
              <w:right w:val="nil"/>
            </w:tcBorders>
            <w:shd w:val="clear" w:color="000000" w:fill="FFFFFF"/>
            <w:noWrap/>
            <w:hideMark/>
          </w:tcPr>
          <w:p w14:paraId="2F8DC787"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5%</w:t>
            </w:r>
          </w:p>
        </w:tc>
        <w:tc>
          <w:tcPr>
            <w:tcW w:w="706" w:type="dxa"/>
            <w:tcBorders>
              <w:top w:val="nil"/>
              <w:left w:val="nil"/>
              <w:bottom w:val="nil"/>
              <w:right w:val="nil"/>
            </w:tcBorders>
            <w:shd w:val="clear" w:color="000000" w:fill="FFFFFF"/>
            <w:noWrap/>
            <w:hideMark/>
          </w:tcPr>
          <w:p w14:paraId="6D2C6114"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5%</w:t>
            </w:r>
          </w:p>
        </w:tc>
        <w:tc>
          <w:tcPr>
            <w:tcW w:w="730" w:type="dxa"/>
            <w:tcBorders>
              <w:top w:val="nil"/>
              <w:left w:val="nil"/>
              <w:bottom w:val="nil"/>
              <w:right w:val="nil"/>
            </w:tcBorders>
            <w:shd w:val="clear" w:color="000000" w:fill="FFFFFF"/>
            <w:noWrap/>
            <w:hideMark/>
          </w:tcPr>
          <w:p w14:paraId="5A9530B4"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84%</w:t>
            </w:r>
          </w:p>
        </w:tc>
        <w:tc>
          <w:tcPr>
            <w:tcW w:w="901" w:type="dxa"/>
            <w:tcBorders>
              <w:top w:val="nil"/>
              <w:left w:val="single" w:sz="4" w:space="0" w:color="auto"/>
              <w:bottom w:val="nil"/>
              <w:right w:val="nil"/>
            </w:tcBorders>
            <w:shd w:val="clear" w:color="000000" w:fill="FFFFFF"/>
            <w:noWrap/>
            <w:hideMark/>
          </w:tcPr>
          <w:p w14:paraId="287A4DB9"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7.34</w:t>
            </w:r>
          </w:p>
        </w:tc>
        <w:tc>
          <w:tcPr>
            <w:tcW w:w="702" w:type="dxa"/>
            <w:tcBorders>
              <w:top w:val="nil"/>
              <w:left w:val="nil"/>
              <w:bottom w:val="nil"/>
              <w:right w:val="nil"/>
            </w:tcBorders>
            <w:shd w:val="clear" w:color="000000" w:fill="FFFFFF"/>
            <w:noWrap/>
            <w:hideMark/>
          </w:tcPr>
          <w:p w14:paraId="77046DFF"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 xml:space="preserve">10 </w:t>
            </w:r>
          </w:p>
        </w:tc>
      </w:tr>
      <w:tr w:rsidR="00532BC8" w:rsidRPr="00532BC8" w14:paraId="3672F54A" w14:textId="77777777" w:rsidTr="00E22F35">
        <w:trPr>
          <w:trHeight w:hRule="exact" w:val="284"/>
        </w:trPr>
        <w:tc>
          <w:tcPr>
            <w:tcW w:w="660" w:type="dxa"/>
            <w:tcBorders>
              <w:top w:val="nil"/>
              <w:left w:val="nil"/>
              <w:bottom w:val="nil"/>
              <w:right w:val="nil"/>
            </w:tcBorders>
            <w:shd w:val="clear" w:color="000000" w:fill="FFFFFF"/>
            <w:noWrap/>
            <w:hideMark/>
          </w:tcPr>
          <w:p w14:paraId="20738038"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No</w:t>
            </w:r>
          </w:p>
        </w:tc>
        <w:tc>
          <w:tcPr>
            <w:tcW w:w="758" w:type="dxa"/>
            <w:tcBorders>
              <w:top w:val="nil"/>
              <w:left w:val="nil"/>
              <w:bottom w:val="nil"/>
              <w:right w:val="nil"/>
            </w:tcBorders>
            <w:shd w:val="clear" w:color="000000" w:fill="FFFFFF"/>
            <w:noWrap/>
            <w:hideMark/>
          </w:tcPr>
          <w:p w14:paraId="0A0A9679"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9</w:t>
            </w:r>
          </w:p>
        </w:tc>
        <w:tc>
          <w:tcPr>
            <w:tcW w:w="605" w:type="dxa"/>
            <w:tcBorders>
              <w:top w:val="nil"/>
              <w:left w:val="nil"/>
              <w:bottom w:val="nil"/>
              <w:right w:val="nil"/>
            </w:tcBorders>
            <w:shd w:val="clear" w:color="000000" w:fill="FFFFFF"/>
            <w:noWrap/>
            <w:hideMark/>
          </w:tcPr>
          <w:p w14:paraId="533B674A"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B82A</w:t>
            </w:r>
          </w:p>
        </w:tc>
        <w:tc>
          <w:tcPr>
            <w:tcW w:w="5490" w:type="dxa"/>
            <w:gridSpan w:val="2"/>
            <w:tcBorders>
              <w:top w:val="nil"/>
              <w:left w:val="nil"/>
              <w:bottom w:val="nil"/>
              <w:right w:val="nil"/>
            </w:tcBorders>
            <w:shd w:val="clear" w:color="000000" w:fill="FFFFFF"/>
            <w:noWrap/>
            <w:hideMark/>
          </w:tcPr>
          <w:p w14:paraId="28F658BA"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 xml:space="preserve">Chronic &amp; </w:t>
            </w:r>
            <w:proofErr w:type="spellStart"/>
            <w:r w:rsidRPr="00532BC8">
              <w:rPr>
                <w:color w:val="000000"/>
                <w:sz w:val="14"/>
                <w:szCs w:val="14"/>
                <w:lang w:val="en-US" w:eastAsia="en-US"/>
              </w:rPr>
              <w:t>Unspec</w:t>
            </w:r>
            <w:proofErr w:type="spellEnd"/>
            <w:r w:rsidRPr="00532BC8">
              <w:rPr>
                <w:color w:val="000000"/>
                <w:sz w:val="14"/>
                <w:szCs w:val="14"/>
                <w:lang w:val="en-US" w:eastAsia="en-US"/>
              </w:rPr>
              <w:t xml:space="preserve"> Para/Quadriplegia W or W/O OR Proc, Major Complexity</w:t>
            </w:r>
          </w:p>
        </w:tc>
        <w:tc>
          <w:tcPr>
            <w:tcW w:w="567" w:type="dxa"/>
            <w:tcBorders>
              <w:top w:val="nil"/>
              <w:left w:val="nil"/>
              <w:bottom w:val="nil"/>
              <w:right w:val="nil"/>
            </w:tcBorders>
            <w:shd w:val="clear" w:color="000000" w:fill="FFFFFF"/>
            <w:noWrap/>
            <w:hideMark/>
          </w:tcPr>
          <w:p w14:paraId="0DB69F0E" w14:textId="77777777" w:rsidR="00532BC8" w:rsidRPr="00532BC8" w:rsidRDefault="00532BC8" w:rsidP="00532BC8">
            <w:pPr>
              <w:jc w:val="right"/>
              <w:rPr>
                <w:b/>
                <w:bCs/>
                <w:color w:val="000000"/>
                <w:sz w:val="14"/>
                <w:szCs w:val="14"/>
                <w:lang w:val="en-US" w:eastAsia="en-US"/>
              </w:rPr>
            </w:pPr>
            <w:r w:rsidRPr="00532BC8">
              <w:rPr>
                <w:b/>
                <w:bCs/>
                <w:color w:val="000000"/>
                <w:sz w:val="14"/>
                <w:szCs w:val="14"/>
                <w:lang w:val="en-US" w:eastAsia="en-US"/>
              </w:rPr>
              <w:t>6.10</w:t>
            </w:r>
          </w:p>
        </w:tc>
        <w:tc>
          <w:tcPr>
            <w:tcW w:w="839" w:type="dxa"/>
            <w:tcBorders>
              <w:top w:val="nil"/>
              <w:left w:val="nil"/>
              <w:bottom w:val="nil"/>
              <w:right w:val="nil"/>
            </w:tcBorders>
            <w:shd w:val="clear" w:color="000000" w:fill="FFFFFF"/>
            <w:noWrap/>
            <w:hideMark/>
          </w:tcPr>
          <w:p w14:paraId="32009A81"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96</w:t>
            </w:r>
          </w:p>
        </w:tc>
        <w:tc>
          <w:tcPr>
            <w:tcW w:w="702" w:type="dxa"/>
            <w:tcBorders>
              <w:top w:val="nil"/>
              <w:left w:val="nil"/>
              <w:bottom w:val="nil"/>
              <w:right w:val="nil"/>
            </w:tcBorders>
            <w:shd w:val="clear" w:color="000000" w:fill="FFFFFF"/>
            <w:noWrap/>
            <w:hideMark/>
          </w:tcPr>
          <w:p w14:paraId="5C34061A"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9.11</w:t>
            </w:r>
          </w:p>
        </w:tc>
        <w:tc>
          <w:tcPr>
            <w:tcW w:w="702" w:type="dxa"/>
            <w:tcBorders>
              <w:top w:val="nil"/>
              <w:left w:val="nil"/>
              <w:bottom w:val="nil"/>
              <w:right w:val="nil"/>
            </w:tcBorders>
            <w:shd w:val="clear" w:color="000000" w:fill="FFFFFF"/>
            <w:noWrap/>
            <w:hideMark/>
          </w:tcPr>
          <w:p w14:paraId="52DAF8F9"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29.7</w:t>
            </w:r>
          </w:p>
        </w:tc>
        <w:tc>
          <w:tcPr>
            <w:tcW w:w="702" w:type="dxa"/>
            <w:tcBorders>
              <w:top w:val="nil"/>
              <w:left w:val="single" w:sz="4" w:space="0" w:color="000000"/>
              <w:bottom w:val="nil"/>
              <w:right w:val="nil"/>
            </w:tcBorders>
            <w:shd w:val="clear" w:color="000000" w:fill="FFFFFF"/>
            <w:noWrap/>
            <w:hideMark/>
          </w:tcPr>
          <w:p w14:paraId="358E4704"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8%</w:t>
            </w:r>
          </w:p>
        </w:tc>
        <w:tc>
          <w:tcPr>
            <w:tcW w:w="702" w:type="dxa"/>
            <w:tcBorders>
              <w:top w:val="nil"/>
              <w:left w:val="nil"/>
              <w:bottom w:val="nil"/>
              <w:right w:val="nil"/>
            </w:tcBorders>
            <w:shd w:val="clear" w:color="000000" w:fill="FFFFFF"/>
            <w:noWrap/>
            <w:hideMark/>
          </w:tcPr>
          <w:p w14:paraId="2E474723"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16%</w:t>
            </w:r>
          </w:p>
        </w:tc>
        <w:tc>
          <w:tcPr>
            <w:tcW w:w="706" w:type="dxa"/>
            <w:tcBorders>
              <w:top w:val="nil"/>
              <w:left w:val="nil"/>
              <w:bottom w:val="nil"/>
              <w:right w:val="nil"/>
            </w:tcBorders>
            <w:shd w:val="clear" w:color="000000" w:fill="FFFFFF"/>
            <w:noWrap/>
            <w:hideMark/>
          </w:tcPr>
          <w:p w14:paraId="7F80C5A7"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9%</w:t>
            </w:r>
          </w:p>
        </w:tc>
        <w:tc>
          <w:tcPr>
            <w:tcW w:w="730" w:type="dxa"/>
            <w:tcBorders>
              <w:top w:val="nil"/>
              <w:left w:val="nil"/>
              <w:bottom w:val="nil"/>
              <w:right w:val="nil"/>
            </w:tcBorders>
            <w:shd w:val="clear" w:color="000000" w:fill="FFFFFF"/>
            <w:noWrap/>
            <w:hideMark/>
          </w:tcPr>
          <w:p w14:paraId="0A2BA3DD"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67%</w:t>
            </w:r>
          </w:p>
        </w:tc>
        <w:tc>
          <w:tcPr>
            <w:tcW w:w="901" w:type="dxa"/>
            <w:tcBorders>
              <w:top w:val="nil"/>
              <w:left w:val="single" w:sz="4" w:space="0" w:color="auto"/>
              <w:bottom w:val="nil"/>
              <w:right w:val="nil"/>
            </w:tcBorders>
            <w:shd w:val="clear" w:color="000000" w:fill="FFFFFF"/>
            <w:noWrap/>
            <w:hideMark/>
          </w:tcPr>
          <w:p w14:paraId="473A0311"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5.36</w:t>
            </w:r>
          </w:p>
        </w:tc>
        <w:tc>
          <w:tcPr>
            <w:tcW w:w="702" w:type="dxa"/>
            <w:tcBorders>
              <w:top w:val="nil"/>
              <w:left w:val="nil"/>
              <w:bottom w:val="nil"/>
              <w:right w:val="nil"/>
            </w:tcBorders>
            <w:shd w:val="clear" w:color="000000" w:fill="FFFFFF"/>
            <w:noWrap/>
            <w:hideMark/>
          </w:tcPr>
          <w:p w14:paraId="17947C58"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 xml:space="preserve">33 </w:t>
            </w:r>
          </w:p>
        </w:tc>
      </w:tr>
      <w:tr w:rsidR="00532BC8" w:rsidRPr="00532BC8" w14:paraId="3816047D" w14:textId="77777777" w:rsidTr="00E22F35">
        <w:trPr>
          <w:trHeight w:hRule="exact" w:val="284"/>
        </w:trPr>
        <w:tc>
          <w:tcPr>
            <w:tcW w:w="660" w:type="dxa"/>
            <w:tcBorders>
              <w:top w:val="nil"/>
              <w:left w:val="nil"/>
              <w:bottom w:val="nil"/>
              <w:right w:val="nil"/>
            </w:tcBorders>
            <w:shd w:val="clear" w:color="000000" w:fill="FFFFFF"/>
            <w:noWrap/>
            <w:hideMark/>
          </w:tcPr>
          <w:p w14:paraId="7338EFFF"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No</w:t>
            </w:r>
          </w:p>
        </w:tc>
        <w:tc>
          <w:tcPr>
            <w:tcW w:w="758" w:type="dxa"/>
            <w:tcBorders>
              <w:top w:val="nil"/>
              <w:left w:val="nil"/>
              <w:bottom w:val="nil"/>
              <w:right w:val="nil"/>
            </w:tcBorders>
            <w:shd w:val="clear" w:color="000000" w:fill="FFFFFF"/>
            <w:noWrap/>
            <w:hideMark/>
          </w:tcPr>
          <w:p w14:paraId="6A5BFADA"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10</w:t>
            </w:r>
          </w:p>
        </w:tc>
        <w:tc>
          <w:tcPr>
            <w:tcW w:w="605" w:type="dxa"/>
            <w:tcBorders>
              <w:top w:val="nil"/>
              <w:left w:val="nil"/>
              <w:bottom w:val="nil"/>
              <w:right w:val="nil"/>
            </w:tcBorders>
            <w:shd w:val="clear" w:color="000000" w:fill="FFFFFF"/>
            <w:noWrap/>
            <w:hideMark/>
          </w:tcPr>
          <w:p w14:paraId="65B368B7"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P64A</w:t>
            </w:r>
          </w:p>
        </w:tc>
        <w:tc>
          <w:tcPr>
            <w:tcW w:w="5490" w:type="dxa"/>
            <w:gridSpan w:val="2"/>
            <w:tcBorders>
              <w:top w:val="nil"/>
              <w:left w:val="nil"/>
              <w:bottom w:val="nil"/>
              <w:right w:val="nil"/>
            </w:tcBorders>
            <w:shd w:val="clear" w:color="000000" w:fill="FFFFFF"/>
            <w:noWrap/>
            <w:hideMark/>
          </w:tcPr>
          <w:p w14:paraId="2EC5276C"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 xml:space="preserve">Neonate, </w:t>
            </w:r>
            <w:proofErr w:type="spellStart"/>
            <w:r w:rsidRPr="00532BC8">
              <w:rPr>
                <w:color w:val="000000"/>
                <w:sz w:val="14"/>
                <w:szCs w:val="14"/>
                <w:lang w:val="en-US" w:eastAsia="en-US"/>
              </w:rPr>
              <w:t>AdmWt</w:t>
            </w:r>
            <w:proofErr w:type="spellEnd"/>
            <w:r w:rsidRPr="00532BC8">
              <w:rPr>
                <w:color w:val="000000"/>
                <w:sz w:val="14"/>
                <w:szCs w:val="14"/>
                <w:lang w:val="en-US" w:eastAsia="en-US"/>
              </w:rPr>
              <w:t xml:space="preserve"> 1250-1499g W/O Significant OR Proc/Vent&gt;=96hrs, Major Complexity</w:t>
            </w:r>
          </w:p>
        </w:tc>
        <w:tc>
          <w:tcPr>
            <w:tcW w:w="567" w:type="dxa"/>
            <w:tcBorders>
              <w:top w:val="nil"/>
              <w:left w:val="nil"/>
              <w:bottom w:val="nil"/>
              <w:right w:val="nil"/>
            </w:tcBorders>
            <w:shd w:val="clear" w:color="000000" w:fill="FFFFFF"/>
            <w:noWrap/>
            <w:hideMark/>
          </w:tcPr>
          <w:p w14:paraId="5C862623" w14:textId="77777777" w:rsidR="00532BC8" w:rsidRPr="00532BC8" w:rsidRDefault="00532BC8" w:rsidP="00532BC8">
            <w:pPr>
              <w:jc w:val="right"/>
              <w:rPr>
                <w:b/>
                <w:bCs/>
                <w:color w:val="000000"/>
                <w:sz w:val="14"/>
                <w:szCs w:val="14"/>
                <w:lang w:val="en-US" w:eastAsia="en-US"/>
              </w:rPr>
            </w:pPr>
            <w:r w:rsidRPr="00532BC8">
              <w:rPr>
                <w:b/>
                <w:bCs/>
                <w:color w:val="000000"/>
                <w:sz w:val="14"/>
                <w:szCs w:val="14"/>
                <w:lang w:val="en-US" w:eastAsia="en-US"/>
              </w:rPr>
              <w:t>5.88</w:t>
            </w:r>
          </w:p>
        </w:tc>
        <w:tc>
          <w:tcPr>
            <w:tcW w:w="839" w:type="dxa"/>
            <w:tcBorders>
              <w:top w:val="nil"/>
              <w:left w:val="nil"/>
              <w:bottom w:val="nil"/>
              <w:right w:val="nil"/>
            </w:tcBorders>
            <w:shd w:val="clear" w:color="000000" w:fill="FFFFFF"/>
            <w:noWrap/>
            <w:hideMark/>
          </w:tcPr>
          <w:p w14:paraId="2171E6A2"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28</w:t>
            </w:r>
          </w:p>
        </w:tc>
        <w:tc>
          <w:tcPr>
            <w:tcW w:w="702" w:type="dxa"/>
            <w:tcBorders>
              <w:top w:val="nil"/>
              <w:left w:val="nil"/>
              <w:bottom w:val="nil"/>
              <w:right w:val="nil"/>
            </w:tcBorders>
            <w:shd w:val="clear" w:color="000000" w:fill="FFFFFF"/>
            <w:noWrap/>
            <w:hideMark/>
          </w:tcPr>
          <w:p w14:paraId="29A98721"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16.00</w:t>
            </w:r>
          </w:p>
        </w:tc>
        <w:tc>
          <w:tcPr>
            <w:tcW w:w="702" w:type="dxa"/>
            <w:tcBorders>
              <w:top w:val="nil"/>
              <w:left w:val="nil"/>
              <w:bottom w:val="nil"/>
              <w:right w:val="nil"/>
            </w:tcBorders>
            <w:shd w:val="clear" w:color="000000" w:fill="FFFFFF"/>
            <w:noWrap/>
            <w:hideMark/>
          </w:tcPr>
          <w:p w14:paraId="67B1D241"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42.6</w:t>
            </w:r>
          </w:p>
        </w:tc>
        <w:tc>
          <w:tcPr>
            <w:tcW w:w="702" w:type="dxa"/>
            <w:tcBorders>
              <w:top w:val="nil"/>
              <w:left w:val="single" w:sz="4" w:space="0" w:color="000000"/>
              <w:bottom w:val="nil"/>
              <w:right w:val="nil"/>
            </w:tcBorders>
            <w:shd w:val="clear" w:color="000000" w:fill="FFFFFF"/>
            <w:noWrap/>
            <w:hideMark/>
          </w:tcPr>
          <w:p w14:paraId="2BDBFC94"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0%</w:t>
            </w:r>
          </w:p>
        </w:tc>
        <w:tc>
          <w:tcPr>
            <w:tcW w:w="702" w:type="dxa"/>
            <w:tcBorders>
              <w:top w:val="nil"/>
              <w:left w:val="nil"/>
              <w:bottom w:val="nil"/>
              <w:right w:val="nil"/>
            </w:tcBorders>
            <w:shd w:val="clear" w:color="000000" w:fill="FFFFFF"/>
            <w:noWrap/>
            <w:hideMark/>
          </w:tcPr>
          <w:p w14:paraId="317581FF"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63%</w:t>
            </w:r>
          </w:p>
        </w:tc>
        <w:tc>
          <w:tcPr>
            <w:tcW w:w="706" w:type="dxa"/>
            <w:tcBorders>
              <w:top w:val="nil"/>
              <w:left w:val="nil"/>
              <w:bottom w:val="nil"/>
              <w:right w:val="nil"/>
            </w:tcBorders>
            <w:shd w:val="clear" w:color="000000" w:fill="FFFFFF"/>
            <w:noWrap/>
            <w:hideMark/>
          </w:tcPr>
          <w:p w14:paraId="0408F160"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0%</w:t>
            </w:r>
          </w:p>
        </w:tc>
        <w:tc>
          <w:tcPr>
            <w:tcW w:w="730" w:type="dxa"/>
            <w:tcBorders>
              <w:top w:val="nil"/>
              <w:left w:val="nil"/>
              <w:bottom w:val="nil"/>
              <w:right w:val="nil"/>
            </w:tcBorders>
            <w:shd w:val="clear" w:color="000000" w:fill="FFFFFF"/>
            <w:noWrap/>
            <w:hideMark/>
          </w:tcPr>
          <w:p w14:paraId="6620AC44"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37%</w:t>
            </w:r>
          </w:p>
        </w:tc>
        <w:tc>
          <w:tcPr>
            <w:tcW w:w="901" w:type="dxa"/>
            <w:tcBorders>
              <w:top w:val="nil"/>
              <w:left w:val="single" w:sz="4" w:space="0" w:color="auto"/>
              <w:bottom w:val="nil"/>
              <w:right w:val="nil"/>
            </w:tcBorders>
            <w:shd w:val="clear" w:color="000000" w:fill="FFFFFF"/>
            <w:noWrap/>
            <w:hideMark/>
          </w:tcPr>
          <w:p w14:paraId="0E7D95FB"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5.58</w:t>
            </w:r>
          </w:p>
        </w:tc>
        <w:tc>
          <w:tcPr>
            <w:tcW w:w="702" w:type="dxa"/>
            <w:tcBorders>
              <w:top w:val="nil"/>
              <w:left w:val="nil"/>
              <w:bottom w:val="nil"/>
              <w:right w:val="nil"/>
            </w:tcBorders>
            <w:shd w:val="clear" w:color="000000" w:fill="FFFFFF"/>
            <w:noWrap/>
            <w:hideMark/>
          </w:tcPr>
          <w:p w14:paraId="02EF7988"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 xml:space="preserve">26 </w:t>
            </w:r>
          </w:p>
        </w:tc>
      </w:tr>
      <w:tr w:rsidR="00532BC8" w:rsidRPr="00532BC8" w14:paraId="18427AE3" w14:textId="77777777" w:rsidTr="00E22F35">
        <w:trPr>
          <w:trHeight w:hRule="exact" w:val="284"/>
        </w:trPr>
        <w:tc>
          <w:tcPr>
            <w:tcW w:w="660" w:type="dxa"/>
            <w:tcBorders>
              <w:top w:val="nil"/>
              <w:left w:val="nil"/>
              <w:bottom w:val="nil"/>
              <w:right w:val="nil"/>
            </w:tcBorders>
            <w:shd w:val="clear" w:color="000000" w:fill="FFFFFF"/>
            <w:noWrap/>
            <w:hideMark/>
          </w:tcPr>
          <w:p w14:paraId="3FB6FE16"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No</w:t>
            </w:r>
          </w:p>
        </w:tc>
        <w:tc>
          <w:tcPr>
            <w:tcW w:w="758" w:type="dxa"/>
            <w:tcBorders>
              <w:top w:val="nil"/>
              <w:left w:val="nil"/>
              <w:bottom w:val="nil"/>
              <w:right w:val="nil"/>
            </w:tcBorders>
            <w:shd w:val="clear" w:color="000000" w:fill="FFFFFF"/>
            <w:noWrap/>
            <w:hideMark/>
          </w:tcPr>
          <w:p w14:paraId="6A3E7831"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11</w:t>
            </w:r>
          </w:p>
        </w:tc>
        <w:tc>
          <w:tcPr>
            <w:tcW w:w="605" w:type="dxa"/>
            <w:tcBorders>
              <w:top w:val="nil"/>
              <w:left w:val="nil"/>
              <w:bottom w:val="nil"/>
              <w:right w:val="nil"/>
            </w:tcBorders>
            <w:shd w:val="clear" w:color="000000" w:fill="FFFFFF"/>
            <w:noWrap/>
            <w:hideMark/>
          </w:tcPr>
          <w:p w14:paraId="7995E6B5"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G02A</w:t>
            </w:r>
          </w:p>
        </w:tc>
        <w:tc>
          <w:tcPr>
            <w:tcW w:w="5490" w:type="dxa"/>
            <w:gridSpan w:val="2"/>
            <w:tcBorders>
              <w:top w:val="nil"/>
              <w:left w:val="nil"/>
              <w:bottom w:val="nil"/>
              <w:right w:val="nil"/>
            </w:tcBorders>
            <w:shd w:val="clear" w:color="000000" w:fill="FFFFFF"/>
            <w:noWrap/>
            <w:hideMark/>
          </w:tcPr>
          <w:p w14:paraId="06C0B813"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Major Small and Large Bowel Procedures, Major Complexity</w:t>
            </w:r>
          </w:p>
        </w:tc>
        <w:tc>
          <w:tcPr>
            <w:tcW w:w="567" w:type="dxa"/>
            <w:tcBorders>
              <w:top w:val="nil"/>
              <w:left w:val="nil"/>
              <w:bottom w:val="nil"/>
              <w:right w:val="nil"/>
            </w:tcBorders>
            <w:shd w:val="clear" w:color="000000" w:fill="FFFFFF"/>
            <w:noWrap/>
            <w:hideMark/>
          </w:tcPr>
          <w:p w14:paraId="2A62705E" w14:textId="77777777" w:rsidR="00532BC8" w:rsidRPr="00532BC8" w:rsidRDefault="00532BC8" w:rsidP="00532BC8">
            <w:pPr>
              <w:jc w:val="right"/>
              <w:rPr>
                <w:b/>
                <w:bCs/>
                <w:color w:val="000000"/>
                <w:sz w:val="14"/>
                <w:szCs w:val="14"/>
                <w:lang w:val="en-US" w:eastAsia="en-US"/>
              </w:rPr>
            </w:pPr>
            <w:r w:rsidRPr="00532BC8">
              <w:rPr>
                <w:b/>
                <w:bCs/>
                <w:color w:val="000000"/>
                <w:sz w:val="14"/>
                <w:szCs w:val="14"/>
                <w:lang w:val="en-US" w:eastAsia="en-US"/>
              </w:rPr>
              <w:t>5.87</w:t>
            </w:r>
          </w:p>
        </w:tc>
        <w:tc>
          <w:tcPr>
            <w:tcW w:w="839" w:type="dxa"/>
            <w:tcBorders>
              <w:top w:val="nil"/>
              <w:left w:val="nil"/>
              <w:bottom w:val="nil"/>
              <w:right w:val="nil"/>
            </w:tcBorders>
            <w:shd w:val="clear" w:color="000000" w:fill="FFFFFF"/>
            <w:noWrap/>
            <w:hideMark/>
          </w:tcPr>
          <w:p w14:paraId="1D7D9A38"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839</w:t>
            </w:r>
          </w:p>
        </w:tc>
        <w:tc>
          <w:tcPr>
            <w:tcW w:w="702" w:type="dxa"/>
            <w:tcBorders>
              <w:top w:val="nil"/>
              <w:left w:val="nil"/>
              <w:bottom w:val="nil"/>
              <w:right w:val="nil"/>
            </w:tcBorders>
            <w:shd w:val="clear" w:color="000000" w:fill="FFFFFF"/>
            <w:noWrap/>
            <w:hideMark/>
          </w:tcPr>
          <w:p w14:paraId="76922889"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10.93</w:t>
            </w:r>
          </w:p>
        </w:tc>
        <w:tc>
          <w:tcPr>
            <w:tcW w:w="702" w:type="dxa"/>
            <w:tcBorders>
              <w:top w:val="nil"/>
              <w:left w:val="nil"/>
              <w:bottom w:val="nil"/>
              <w:right w:val="nil"/>
            </w:tcBorders>
            <w:shd w:val="clear" w:color="000000" w:fill="FFFFFF"/>
            <w:noWrap/>
            <w:hideMark/>
          </w:tcPr>
          <w:p w14:paraId="602A19F0"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26.3</w:t>
            </w:r>
          </w:p>
        </w:tc>
        <w:tc>
          <w:tcPr>
            <w:tcW w:w="702" w:type="dxa"/>
            <w:tcBorders>
              <w:top w:val="nil"/>
              <w:left w:val="single" w:sz="4" w:space="0" w:color="000000"/>
              <w:bottom w:val="nil"/>
              <w:right w:val="nil"/>
            </w:tcBorders>
            <w:shd w:val="clear" w:color="000000" w:fill="FFFFFF"/>
            <w:noWrap/>
            <w:hideMark/>
          </w:tcPr>
          <w:p w14:paraId="4A31E3EE"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14%</w:t>
            </w:r>
          </w:p>
        </w:tc>
        <w:tc>
          <w:tcPr>
            <w:tcW w:w="702" w:type="dxa"/>
            <w:tcBorders>
              <w:top w:val="nil"/>
              <w:left w:val="nil"/>
              <w:bottom w:val="nil"/>
              <w:right w:val="nil"/>
            </w:tcBorders>
            <w:shd w:val="clear" w:color="000000" w:fill="FFFFFF"/>
            <w:noWrap/>
            <w:hideMark/>
          </w:tcPr>
          <w:p w14:paraId="7701EFD5"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28%</w:t>
            </w:r>
          </w:p>
        </w:tc>
        <w:tc>
          <w:tcPr>
            <w:tcW w:w="706" w:type="dxa"/>
            <w:tcBorders>
              <w:top w:val="nil"/>
              <w:left w:val="nil"/>
              <w:bottom w:val="nil"/>
              <w:right w:val="nil"/>
            </w:tcBorders>
            <w:shd w:val="clear" w:color="000000" w:fill="FFFFFF"/>
            <w:noWrap/>
            <w:hideMark/>
          </w:tcPr>
          <w:p w14:paraId="205ABE6F"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4%</w:t>
            </w:r>
          </w:p>
        </w:tc>
        <w:tc>
          <w:tcPr>
            <w:tcW w:w="730" w:type="dxa"/>
            <w:tcBorders>
              <w:top w:val="nil"/>
              <w:left w:val="nil"/>
              <w:bottom w:val="nil"/>
              <w:right w:val="nil"/>
            </w:tcBorders>
            <w:shd w:val="clear" w:color="000000" w:fill="FFFFFF"/>
            <w:noWrap/>
            <w:hideMark/>
          </w:tcPr>
          <w:p w14:paraId="54486C22"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54%</w:t>
            </w:r>
          </w:p>
        </w:tc>
        <w:tc>
          <w:tcPr>
            <w:tcW w:w="901" w:type="dxa"/>
            <w:tcBorders>
              <w:top w:val="nil"/>
              <w:left w:val="single" w:sz="4" w:space="0" w:color="auto"/>
              <w:bottom w:val="nil"/>
              <w:right w:val="nil"/>
            </w:tcBorders>
            <w:shd w:val="clear" w:color="000000" w:fill="FFFFFF"/>
            <w:noWrap/>
            <w:hideMark/>
          </w:tcPr>
          <w:p w14:paraId="79693CF3"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5.75</w:t>
            </w:r>
          </w:p>
        </w:tc>
        <w:tc>
          <w:tcPr>
            <w:tcW w:w="702" w:type="dxa"/>
            <w:tcBorders>
              <w:top w:val="nil"/>
              <w:left w:val="nil"/>
              <w:bottom w:val="nil"/>
              <w:right w:val="nil"/>
            </w:tcBorders>
            <w:shd w:val="clear" w:color="000000" w:fill="FFFFFF"/>
            <w:noWrap/>
            <w:hideMark/>
          </w:tcPr>
          <w:p w14:paraId="555425FF"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 xml:space="preserve">22 </w:t>
            </w:r>
          </w:p>
        </w:tc>
      </w:tr>
      <w:tr w:rsidR="00532BC8" w:rsidRPr="00532BC8" w14:paraId="658D0440" w14:textId="77777777" w:rsidTr="00E22F35">
        <w:trPr>
          <w:trHeight w:hRule="exact" w:val="284"/>
        </w:trPr>
        <w:tc>
          <w:tcPr>
            <w:tcW w:w="660" w:type="dxa"/>
            <w:tcBorders>
              <w:top w:val="nil"/>
              <w:left w:val="nil"/>
              <w:bottom w:val="nil"/>
              <w:right w:val="nil"/>
            </w:tcBorders>
            <w:shd w:val="clear" w:color="000000" w:fill="FFFFFF"/>
            <w:noWrap/>
            <w:hideMark/>
          </w:tcPr>
          <w:p w14:paraId="4971025F"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No</w:t>
            </w:r>
          </w:p>
        </w:tc>
        <w:tc>
          <w:tcPr>
            <w:tcW w:w="758" w:type="dxa"/>
            <w:tcBorders>
              <w:top w:val="nil"/>
              <w:left w:val="nil"/>
              <w:bottom w:val="nil"/>
              <w:right w:val="nil"/>
            </w:tcBorders>
            <w:shd w:val="clear" w:color="000000" w:fill="FFFFFF"/>
            <w:noWrap/>
            <w:hideMark/>
          </w:tcPr>
          <w:p w14:paraId="0F74E14A"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12</w:t>
            </w:r>
          </w:p>
        </w:tc>
        <w:tc>
          <w:tcPr>
            <w:tcW w:w="605" w:type="dxa"/>
            <w:tcBorders>
              <w:top w:val="nil"/>
              <w:left w:val="nil"/>
              <w:bottom w:val="nil"/>
              <w:right w:val="nil"/>
            </w:tcBorders>
            <w:shd w:val="clear" w:color="000000" w:fill="FFFFFF"/>
            <w:noWrap/>
            <w:hideMark/>
          </w:tcPr>
          <w:p w14:paraId="11F38125"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G01A</w:t>
            </w:r>
          </w:p>
        </w:tc>
        <w:tc>
          <w:tcPr>
            <w:tcW w:w="5490" w:type="dxa"/>
            <w:gridSpan w:val="2"/>
            <w:tcBorders>
              <w:top w:val="nil"/>
              <w:left w:val="nil"/>
              <w:bottom w:val="nil"/>
              <w:right w:val="nil"/>
            </w:tcBorders>
            <w:shd w:val="clear" w:color="000000" w:fill="FFFFFF"/>
            <w:noWrap/>
            <w:hideMark/>
          </w:tcPr>
          <w:p w14:paraId="45AE10D4"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Rectal Resection, Major Complexity</w:t>
            </w:r>
          </w:p>
        </w:tc>
        <w:tc>
          <w:tcPr>
            <w:tcW w:w="567" w:type="dxa"/>
            <w:tcBorders>
              <w:top w:val="nil"/>
              <w:left w:val="nil"/>
              <w:bottom w:val="nil"/>
              <w:right w:val="nil"/>
            </w:tcBorders>
            <w:shd w:val="clear" w:color="000000" w:fill="FFFFFF"/>
            <w:noWrap/>
            <w:hideMark/>
          </w:tcPr>
          <w:p w14:paraId="41C86B2F" w14:textId="77777777" w:rsidR="00532BC8" w:rsidRPr="00532BC8" w:rsidRDefault="00532BC8" w:rsidP="00532BC8">
            <w:pPr>
              <w:jc w:val="right"/>
              <w:rPr>
                <w:b/>
                <w:bCs/>
                <w:color w:val="000000"/>
                <w:sz w:val="14"/>
                <w:szCs w:val="14"/>
                <w:lang w:val="en-US" w:eastAsia="en-US"/>
              </w:rPr>
            </w:pPr>
            <w:r w:rsidRPr="00532BC8">
              <w:rPr>
                <w:b/>
                <w:bCs/>
                <w:color w:val="000000"/>
                <w:sz w:val="14"/>
                <w:szCs w:val="14"/>
                <w:lang w:val="en-US" w:eastAsia="en-US"/>
              </w:rPr>
              <w:t>5.82</w:t>
            </w:r>
          </w:p>
        </w:tc>
        <w:tc>
          <w:tcPr>
            <w:tcW w:w="839" w:type="dxa"/>
            <w:tcBorders>
              <w:top w:val="nil"/>
              <w:left w:val="nil"/>
              <w:bottom w:val="nil"/>
              <w:right w:val="nil"/>
            </w:tcBorders>
            <w:shd w:val="clear" w:color="000000" w:fill="FFFFFF"/>
            <w:noWrap/>
            <w:hideMark/>
          </w:tcPr>
          <w:p w14:paraId="40C4BF91"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300</w:t>
            </w:r>
          </w:p>
        </w:tc>
        <w:tc>
          <w:tcPr>
            <w:tcW w:w="702" w:type="dxa"/>
            <w:tcBorders>
              <w:top w:val="nil"/>
              <w:left w:val="nil"/>
              <w:bottom w:val="nil"/>
              <w:right w:val="nil"/>
            </w:tcBorders>
            <w:shd w:val="clear" w:color="000000" w:fill="FFFFFF"/>
            <w:noWrap/>
            <w:hideMark/>
          </w:tcPr>
          <w:p w14:paraId="56F6012E"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11.45</w:t>
            </w:r>
          </w:p>
        </w:tc>
        <w:tc>
          <w:tcPr>
            <w:tcW w:w="702" w:type="dxa"/>
            <w:tcBorders>
              <w:top w:val="nil"/>
              <w:left w:val="nil"/>
              <w:bottom w:val="nil"/>
              <w:right w:val="nil"/>
            </w:tcBorders>
            <w:shd w:val="clear" w:color="000000" w:fill="FFFFFF"/>
            <w:noWrap/>
            <w:hideMark/>
          </w:tcPr>
          <w:p w14:paraId="369823F1"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26.7</w:t>
            </w:r>
          </w:p>
        </w:tc>
        <w:tc>
          <w:tcPr>
            <w:tcW w:w="702" w:type="dxa"/>
            <w:tcBorders>
              <w:top w:val="nil"/>
              <w:left w:val="single" w:sz="4" w:space="0" w:color="000000"/>
              <w:bottom w:val="nil"/>
              <w:right w:val="nil"/>
            </w:tcBorders>
            <w:shd w:val="clear" w:color="000000" w:fill="FFFFFF"/>
            <w:noWrap/>
            <w:hideMark/>
          </w:tcPr>
          <w:p w14:paraId="05A7B36A"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16%</w:t>
            </w:r>
          </w:p>
        </w:tc>
        <w:tc>
          <w:tcPr>
            <w:tcW w:w="702" w:type="dxa"/>
            <w:tcBorders>
              <w:top w:val="nil"/>
              <w:left w:val="nil"/>
              <w:bottom w:val="nil"/>
              <w:right w:val="nil"/>
            </w:tcBorders>
            <w:shd w:val="clear" w:color="000000" w:fill="FFFFFF"/>
            <w:noWrap/>
            <w:hideMark/>
          </w:tcPr>
          <w:p w14:paraId="0D9A9B57"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28%</w:t>
            </w:r>
          </w:p>
        </w:tc>
        <w:tc>
          <w:tcPr>
            <w:tcW w:w="706" w:type="dxa"/>
            <w:tcBorders>
              <w:top w:val="nil"/>
              <w:left w:val="nil"/>
              <w:bottom w:val="nil"/>
              <w:right w:val="nil"/>
            </w:tcBorders>
            <w:shd w:val="clear" w:color="000000" w:fill="FFFFFF"/>
            <w:noWrap/>
            <w:hideMark/>
          </w:tcPr>
          <w:p w14:paraId="7F46040F"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5%</w:t>
            </w:r>
          </w:p>
        </w:tc>
        <w:tc>
          <w:tcPr>
            <w:tcW w:w="730" w:type="dxa"/>
            <w:tcBorders>
              <w:top w:val="nil"/>
              <w:left w:val="nil"/>
              <w:bottom w:val="nil"/>
              <w:right w:val="nil"/>
            </w:tcBorders>
            <w:shd w:val="clear" w:color="000000" w:fill="FFFFFF"/>
            <w:noWrap/>
            <w:hideMark/>
          </w:tcPr>
          <w:p w14:paraId="3C16C124"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51%</w:t>
            </w:r>
          </w:p>
        </w:tc>
        <w:tc>
          <w:tcPr>
            <w:tcW w:w="901" w:type="dxa"/>
            <w:tcBorders>
              <w:top w:val="nil"/>
              <w:left w:val="single" w:sz="4" w:space="0" w:color="auto"/>
              <w:bottom w:val="nil"/>
              <w:right w:val="nil"/>
            </w:tcBorders>
            <w:shd w:val="clear" w:color="000000" w:fill="FFFFFF"/>
            <w:noWrap/>
            <w:hideMark/>
          </w:tcPr>
          <w:p w14:paraId="4FFC4823"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5.90</w:t>
            </w:r>
          </w:p>
        </w:tc>
        <w:tc>
          <w:tcPr>
            <w:tcW w:w="702" w:type="dxa"/>
            <w:tcBorders>
              <w:top w:val="nil"/>
              <w:left w:val="nil"/>
              <w:bottom w:val="nil"/>
              <w:right w:val="nil"/>
            </w:tcBorders>
            <w:shd w:val="clear" w:color="000000" w:fill="FFFFFF"/>
            <w:noWrap/>
            <w:hideMark/>
          </w:tcPr>
          <w:p w14:paraId="1C683A30"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 xml:space="preserve">21 </w:t>
            </w:r>
          </w:p>
        </w:tc>
      </w:tr>
      <w:tr w:rsidR="00532BC8" w:rsidRPr="00532BC8" w14:paraId="2A18EF4C" w14:textId="77777777" w:rsidTr="00E22F35">
        <w:trPr>
          <w:trHeight w:hRule="exact" w:val="284"/>
        </w:trPr>
        <w:tc>
          <w:tcPr>
            <w:tcW w:w="660" w:type="dxa"/>
            <w:tcBorders>
              <w:top w:val="nil"/>
              <w:left w:val="nil"/>
              <w:bottom w:val="nil"/>
              <w:right w:val="nil"/>
            </w:tcBorders>
            <w:shd w:val="clear" w:color="000000" w:fill="FFFFFF"/>
            <w:noWrap/>
            <w:hideMark/>
          </w:tcPr>
          <w:p w14:paraId="6DE8E9A8"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No</w:t>
            </w:r>
          </w:p>
        </w:tc>
        <w:tc>
          <w:tcPr>
            <w:tcW w:w="758" w:type="dxa"/>
            <w:tcBorders>
              <w:top w:val="nil"/>
              <w:left w:val="nil"/>
              <w:bottom w:val="nil"/>
              <w:right w:val="nil"/>
            </w:tcBorders>
            <w:shd w:val="clear" w:color="000000" w:fill="FFFFFF"/>
            <w:noWrap/>
            <w:hideMark/>
          </w:tcPr>
          <w:p w14:paraId="1B58CD24"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13</w:t>
            </w:r>
          </w:p>
        </w:tc>
        <w:tc>
          <w:tcPr>
            <w:tcW w:w="605" w:type="dxa"/>
            <w:tcBorders>
              <w:top w:val="nil"/>
              <w:left w:val="nil"/>
              <w:bottom w:val="nil"/>
              <w:right w:val="nil"/>
            </w:tcBorders>
            <w:shd w:val="clear" w:color="000000" w:fill="FFFFFF"/>
            <w:noWrap/>
            <w:hideMark/>
          </w:tcPr>
          <w:p w14:paraId="38C2A257"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R60A</w:t>
            </w:r>
          </w:p>
        </w:tc>
        <w:tc>
          <w:tcPr>
            <w:tcW w:w="5490" w:type="dxa"/>
            <w:gridSpan w:val="2"/>
            <w:tcBorders>
              <w:top w:val="nil"/>
              <w:left w:val="nil"/>
              <w:bottom w:val="nil"/>
              <w:right w:val="nil"/>
            </w:tcBorders>
            <w:shd w:val="clear" w:color="000000" w:fill="FFFFFF"/>
            <w:noWrap/>
            <w:hideMark/>
          </w:tcPr>
          <w:p w14:paraId="1DDAA94B"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 xml:space="preserve">Acute </w:t>
            </w:r>
            <w:proofErr w:type="spellStart"/>
            <w:r w:rsidRPr="00532BC8">
              <w:rPr>
                <w:color w:val="000000"/>
                <w:sz w:val="14"/>
                <w:szCs w:val="14"/>
                <w:lang w:val="en-US" w:eastAsia="en-US"/>
              </w:rPr>
              <w:t>Leukaemia</w:t>
            </w:r>
            <w:proofErr w:type="spellEnd"/>
            <w:r w:rsidRPr="00532BC8">
              <w:rPr>
                <w:color w:val="000000"/>
                <w:sz w:val="14"/>
                <w:szCs w:val="14"/>
                <w:lang w:val="en-US" w:eastAsia="en-US"/>
              </w:rPr>
              <w:t>, Major Complexity</w:t>
            </w:r>
          </w:p>
        </w:tc>
        <w:tc>
          <w:tcPr>
            <w:tcW w:w="567" w:type="dxa"/>
            <w:tcBorders>
              <w:top w:val="nil"/>
              <w:left w:val="nil"/>
              <w:bottom w:val="nil"/>
              <w:right w:val="nil"/>
            </w:tcBorders>
            <w:shd w:val="clear" w:color="000000" w:fill="FFFFFF"/>
            <w:noWrap/>
            <w:hideMark/>
          </w:tcPr>
          <w:p w14:paraId="689D52DF" w14:textId="77777777" w:rsidR="00532BC8" w:rsidRPr="00532BC8" w:rsidRDefault="00532BC8" w:rsidP="00532BC8">
            <w:pPr>
              <w:jc w:val="right"/>
              <w:rPr>
                <w:b/>
                <w:bCs/>
                <w:color w:val="000000"/>
                <w:sz w:val="14"/>
                <w:szCs w:val="14"/>
                <w:lang w:val="en-US" w:eastAsia="en-US"/>
              </w:rPr>
            </w:pPr>
            <w:r w:rsidRPr="00532BC8">
              <w:rPr>
                <w:b/>
                <w:bCs/>
                <w:color w:val="000000"/>
                <w:sz w:val="14"/>
                <w:szCs w:val="14"/>
                <w:lang w:val="en-US" w:eastAsia="en-US"/>
              </w:rPr>
              <w:t>5.75</w:t>
            </w:r>
          </w:p>
        </w:tc>
        <w:tc>
          <w:tcPr>
            <w:tcW w:w="839" w:type="dxa"/>
            <w:tcBorders>
              <w:top w:val="nil"/>
              <w:left w:val="nil"/>
              <w:bottom w:val="nil"/>
              <w:right w:val="nil"/>
            </w:tcBorders>
            <w:shd w:val="clear" w:color="000000" w:fill="FFFFFF"/>
            <w:noWrap/>
            <w:hideMark/>
          </w:tcPr>
          <w:p w14:paraId="768130CA"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392</w:t>
            </w:r>
          </w:p>
        </w:tc>
        <w:tc>
          <w:tcPr>
            <w:tcW w:w="702" w:type="dxa"/>
            <w:tcBorders>
              <w:top w:val="nil"/>
              <w:left w:val="nil"/>
              <w:bottom w:val="nil"/>
              <w:right w:val="nil"/>
            </w:tcBorders>
            <w:shd w:val="clear" w:color="000000" w:fill="FFFFFF"/>
            <w:noWrap/>
            <w:hideMark/>
          </w:tcPr>
          <w:p w14:paraId="5539B848"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6.20</w:t>
            </w:r>
          </w:p>
        </w:tc>
        <w:tc>
          <w:tcPr>
            <w:tcW w:w="702" w:type="dxa"/>
            <w:tcBorders>
              <w:top w:val="nil"/>
              <w:left w:val="nil"/>
              <w:bottom w:val="nil"/>
              <w:right w:val="nil"/>
            </w:tcBorders>
            <w:shd w:val="clear" w:color="000000" w:fill="FFFFFF"/>
            <w:noWrap/>
            <w:hideMark/>
          </w:tcPr>
          <w:p w14:paraId="225F8896"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20.0</w:t>
            </w:r>
          </w:p>
        </w:tc>
        <w:tc>
          <w:tcPr>
            <w:tcW w:w="702" w:type="dxa"/>
            <w:tcBorders>
              <w:top w:val="nil"/>
              <w:left w:val="single" w:sz="4" w:space="0" w:color="000000"/>
              <w:bottom w:val="nil"/>
              <w:right w:val="nil"/>
            </w:tcBorders>
            <w:shd w:val="clear" w:color="000000" w:fill="FFFFFF"/>
            <w:noWrap/>
            <w:hideMark/>
          </w:tcPr>
          <w:p w14:paraId="4607A195"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w:t>
            </w:r>
          </w:p>
        </w:tc>
        <w:tc>
          <w:tcPr>
            <w:tcW w:w="702" w:type="dxa"/>
            <w:tcBorders>
              <w:top w:val="nil"/>
              <w:left w:val="nil"/>
              <w:bottom w:val="nil"/>
              <w:right w:val="nil"/>
            </w:tcBorders>
            <w:shd w:val="clear" w:color="000000" w:fill="FFFFFF"/>
            <w:noWrap/>
            <w:hideMark/>
          </w:tcPr>
          <w:p w14:paraId="2DCEA8B9"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6%</w:t>
            </w:r>
          </w:p>
        </w:tc>
        <w:tc>
          <w:tcPr>
            <w:tcW w:w="706" w:type="dxa"/>
            <w:tcBorders>
              <w:top w:val="nil"/>
              <w:left w:val="nil"/>
              <w:bottom w:val="nil"/>
              <w:right w:val="nil"/>
            </w:tcBorders>
            <w:shd w:val="clear" w:color="000000" w:fill="FFFFFF"/>
            <w:noWrap/>
            <w:hideMark/>
          </w:tcPr>
          <w:p w14:paraId="6C2B81A5"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0%</w:t>
            </w:r>
          </w:p>
        </w:tc>
        <w:tc>
          <w:tcPr>
            <w:tcW w:w="730" w:type="dxa"/>
            <w:tcBorders>
              <w:top w:val="nil"/>
              <w:left w:val="nil"/>
              <w:bottom w:val="nil"/>
              <w:right w:val="nil"/>
            </w:tcBorders>
            <w:shd w:val="clear" w:color="000000" w:fill="FFFFFF"/>
            <w:noWrap/>
            <w:hideMark/>
          </w:tcPr>
          <w:p w14:paraId="5C1978DF"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93%</w:t>
            </w:r>
          </w:p>
        </w:tc>
        <w:tc>
          <w:tcPr>
            <w:tcW w:w="901" w:type="dxa"/>
            <w:tcBorders>
              <w:top w:val="nil"/>
              <w:left w:val="single" w:sz="4" w:space="0" w:color="auto"/>
              <w:bottom w:val="nil"/>
              <w:right w:val="nil"/>
            </w:tcBorders>
            <w:shd w:val="clear" w:color="000000" w:fill="FFFFFF"/>
            <w:noWrap/>
            <w:hideMark/>
          </w:tcPr>
          <w:p w14:paraId="583EEC6F"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4.08</w:t>
            </w:r>
          </w:p>
        </w:tc>
        <w:tc>
          <w:tcPr>
            <w:tcW w:w="702" w:type="dxa"/>
            <w:tcBorders>
              <w:top w:val="nil"/>
              <w:left w:val="nil"/>
              <w:bottom w:val="nil"/>
              <w:right w:val="nil"/>
            </w:tcBorders>
            <w:shd w:val="clear" w:color="000000" w:fill="FFFFFF"/>
            <w:noWrap/>
            <w:hideMark/>
          </w:tcPr>
          <w:p w14:paraId="01014DF9"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 xml:space="preserve">59 </w:t>
            </w:r>
          </w:p>
        </w:tc>
      </w:tr>
      <w:tr w:rsidR="00532BC8" w:rsidRPr="00532BC8" w14:paraId="7DC01EE2" w14:textId="77777777" w:rsidTr="00E22F35">
        <w:trPr>
          <w:trHeight w:hRule="exact" w:val="284"/>
        </w:trPr>
        <w:tc>
          <w:tcPr>
            <w:tcW w:w="660" w:type="dxa"/>
            <w:tcBorders>
              <w:top w:val="nil"/>
              <w:left w:val="nil"/>
              <w:bottom w:val="nil"/>
              <w:right w:val="nil"/>
            </w:tcBorders>
            <w:shd w:val="clear" w:color="000000" w:fill="FFFFFF"/>
            <w:noWrap/>
            <w:hideMark/>
          </w:tcPr>
          <w:p w14:paraId="19A1060A"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No</w:t>
            </w:r>
          </w:p>
        </w:tc>
        <w:tc>
          <w:tcPr>
            <w:tcW w:w="758" w:type="dxa"/>
            <w:tcBorders>
              <w:top w:val="nil"/>
              <w:left w:val="nil"/>
              <w:bottom w:val="nil"/>
              <w:right w:val="nil"/>
            </w:tcBorders>
            <w:shd w:val="clear" w:color="000000" w:fill="FFFFFF"/>
            <w:noWrap/>
            <w:hideMark/>
          </w:tcPr>
          <w:p w14:paraId="51715AED"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14</w:t>
            </w:r>
          </w:p>
        </w:tc>
        <w:tc>
          <w:tcPr>
            <w:tcW w:w="605" w:type="dxa"/>
            <w:tcBorders>
              <w:top w:val="nil"/>
              <w:left w:val="nil"/>
              <w:bottom w:val="nil"/>
              <w:right w:val="nil"/>
            </w:tcBorders>
            <w:shd w:val="clear" w:color="000000" w:fill="FFFFFF"/>
            <w:noWrap/>
            <w:hideMark/>
          </w:tcPr>
          <w:p w14:paraId="04BA1B84"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T01A</w:t>
            </w:r>
          </w:p>
        </w:tc>
        <w:tc>
          <w:tcPr>
            <w:tcW w:w="5490" w:type="dxa"/>
            <w:gridSpan w:val="2"/>
            <w:tcBorders>
              <w:top w:val="nil"/>
              <w:left w:val="nil"/>
              <w:bottom w:val="nil"/>
              <w:right w:val="nil"/>
            </w:tcBorders>
            <w:shd w:val="clear" w:color="000000" w:fill="FFFFFF"/>
            <w:noWrap/>
            <w:hideMark/>
          </w:tcPr>
          <w:p w14:paraId="72BE57D7"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Infectious and Parasitic Diseases W OR Procedures, Major Complexity</w:t>
            </w:r>
          </w:p>
        </w:tc>
        <w:tc>
          <w:tcPr>
            <w:tcW w:w="567" w:type="dxa"/>
            <w:tcBorders>
              <w:top w:val="nil"/>
              <w:left w:val="nil"/>
              <w:bottom w:val="nil"/>
              <w:right w:val="nil"/>
            </w:tcBorders>
            <w:shd w:val="clear" w:color="000000" w:fill="FFFFFF"/>
            <w:noWrap/>
            <w:hideMark/>
          </w:tcPr>
          <w:p w14:paraId="0B3CB87D" w14:textId="77777777" w:rsidR="00532BC8" w:rsidRPr="00532BC8" w:rsidRDefault="00532BC8" w:rsidP="00532BC8">
            <w:pPr>
              <w:jc w:val="right"/>
              <w:rPr>
                <w:b/>
                <w:bCs/>
                <w:color w:val="000000"/>
                <w:sz w:val="14"/>
                <w:szCs w:val="14"/>
                <w:lang w:val="en-US" w:eastAsia="en-US"/>
              </w:rPr>
            </w:pPr>
            <w:r w:rsidRPr="00532BC8">
              <w:rPr>
                <w:b/>
                <w:bCs/>
                <w:color w:val="000000"/>
                <w:sz w:val="14"/>
                <w:szCs w:val="14"/>
                <w:lang w:val="en-US" w:eastAsia="en-US"/>
              </w:rPr>
              <w:t>5.43</w:t>
            </w:r>
          </w:p>
        </w:tc>
        <w:tc>
          <w:tcPr>
            <w:tcW w:w="839" w:type="dxa"/>
            <w:tcBorders>
              <w:top w:val="nil"/>
              <w:left w:val="nil"/>
              <w:bottom w:val="nil"/>
              <w:right w:val="nil"/>
            </w:tcBorders>
            <w:shd w:val="clear" w:color="000000" w:fill="FFFFFF"/>
            <w:noWrap/>
            <w:hideMark/>
          </w:tcPr>
          <w:p w14:paraId="337E3DBF"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597</w:t>
            </w:r>
          </w:p>
        </w:tc>
        <w:tc>
          <w:tcPr>
            <w:tcW w:w="702" w:type="dxa"/>
            <w:tcBorders>
              <w:top w:val="nil"/>
              <w:left w:val="nil"/>
              <w:bottom w:val="nil"/>
              <w:right w:val="nil"/>
            </w:tcBorders>
            <w:shd w:val="clear" w:color="000000" w:fill="FFFFFF"/>
            <w:noWrap/>
            <w:hideMark/>
          </w:tcPr>
          <w:p w14:paraId="0D1393EB"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7.92</w:t>
            </w:r>
          </w:p>
        </w:tc>
        <w:tc>
          <w:tcPr>
            <w:tcW w:w="702" w:type="dxa"/>
            <w:tcBorders>
              <w:top w:val="nil"/>
              <w:left w:val="nil"/>
              <w:bottom w:val="nil"/>
              <w:right w:val="nil"/>
            </w:tcBorders>
            <w:shd w:val="clear" w:color="000000" w:fill="FFFFFF"/>
            <w:noWrap/>
            <w:hideMark/>
          </w:tcPr>
          <w:p w14:paraId="431E5572"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24.7</w:t>
            </w:r>
          </w:p>
        </w:tc>
        <w:tc>
          <w:tcPr>
            <w:tcW w:w="702" w:type="dxa"/>
            <w:tcBorders>
              <w:top w:val="nil"/>
              <w:left w:val="single" w:sz="4" w:space="0" w:color="000000"/>
              <w:bottom w:val="nil"/>
              <w:right w:val="nil"/>
            </w:tcBorders>
            <w:shd w:val="clear" w:color="000000" w:fill="FFFFFF"/>
            <w:noWrap/>
            <w:hideMark/>
          </w:tcPr>
          <w:p w14:paraId="7DC0BD4B"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10%</w:t>
            </w:r>
          </w:p>
        </w:tc>
        <w:tc>
          <w:tcPr>
            <w:tcW w:w="702" w:type="dxa"/>
            <w:tcBorders>
              <w:top w:val="nil"/>
              <w:left w:val="nil"/>
              <w:bottom w:val="nil"/>
              <w:right w:val="nil"/>
            </w:tcBorders>
            <w:shd w:val="clear" w:color="000000" w:fill="FFFFFF"/>
            <w:noWrap/>
            <w:hideMark/>
          </w:tcPr>
          <w:p w14:paraId="662AE001"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17%</w:t>
            </w:r>
          </w:p>
        </w:tc>
        <w:tc>
          <w:tcPr>
            <w:tcW w:w="706" w:type="dxa"/>
            <w:tcBorders>
              <w:top w:val="nil"/>
              <w:left w:val="nil"/>
              <w:bottom w:val="nil"/>
              <w:right w:val="nil"/>
            </w:tcBorders>
            <w:shd w:val="clear" w:color="000000" w:fill="FFFFFF"/>
            <w:noWrap/>
            <w:hideMark/>
          </w:tcPr>
          <w:p w14:paraId="15E066A6"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4%</w:t>
            </w:r>
          </w:p>
        </w:tc>
        <w:tc>
          <w:tcPr>
            <w:tcW w:w="730" w:type="dxa"/>
            <w:tcBorders>
              <w:top w:val="nil"/>
              <w:left w:val="nil"/>
              <w:bottom w:val="nil"/>
              <w:right w:val="nil"/>
            </w:tcBorders>
            <w:shd w:val="clear" w:color="000000" w:fill="FFFFFF"/>
            <w:noWrap/>
            <w:hideMark/>
          </w:tcPr>
          <w:p w14:paraId="5CCEB170"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69%</w:t>
            </w:r>
          </w:p>
        </w:tc>
        <w:tc>
          <w:tcPr>
            <w:tcW w:w="901" w:type="dxa"/>
            <w:tcBorders>
              <w:top w:val="nil"/>
              <w:left w:val="single" w:sz="4" w:space="0" w:color="auto"/>
              <w:bottom w:val="nil"/>
              <w:right w:val="nil"/>
            </w:tcBorders>
            <w:shd w:val="clear" w:color="000000" w:fill="FFFFFF"/>
            <w:noWrap/>
            <w:hideMark/>
          </w:tcPr>
          <w:p w14:paraId="007A0C4E"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5.69</w:t>
            </w:r>
          </w:p>
        </w:tc>
        <w:tc>
          <w:tcPr>
            <w:tcW w:w="702" w:type="dxa"/>
            <w:tcBorders>
              <w:top w:val="nil"/>
              <w:left w:val="nil"/>
              <w:bottom w:val="nil"/>
              <w:right w:val="nil"/>
            </w:tcBorders>
            <w:shd w:val="clear" w:color="000000" w:fill="FFFFFF"/>
            <w:noWrap/>
            <w:hideMark/>
          </w:tcPr>
          <w:p w14:paraId="6536AE0D"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 xml:space="preserve">24 </w:t>
            </w:r>
          </w:p>
        </w:tc>
      </w:tr>
      <w:tr w:rsidR="00532BC8" w:rsidRPr="00532BC8" w14:paraId="69EFEB91" w14:textId="77777777" w:rsidTr="00E22F35">
        <w:trPr>
          <w:trHeight w:hRule="exact" w:val="284"/>
        </w:trPr>
        <w:tc>
          <w:tcPr>
            <w:tcW w:w="660" w:type="dxa"/>
            <w:tcBorders>
              <w:top w:val="nil"/>
              <w:left w:val="nil"/>
              <w:bottom w:val="nil"/>
              <w:right w:val="nil"/>
            </w:tcBorders>
            <w:shd w:val="clear" w:color="000000" w:fill="FFFFFF"/>
            <w:noWrap/>
            <w:hideMark/>
          </w:tcPr>
          <w:p w14:paraId="4E6DBA90"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No</w:t>
            </w:r>
          </w:p>
        </w:tc>
        <w:tc>
          <w:tcPr>
            <w:tcW w:w="758" w:type="dxa"/>
            <w:tcBorders>
              <w:top w:val="nil"/>
              <w:left w:val="nil"/>
              <w:bottom w:val="nil"/>
              <w:right w:val="nil"/>
            </w:tcBorders>
            <w:shd w:val="clear" w:color="000000" w:fill="FFFFFF"/>
            <w:noWrap/>
            <w:hideMark/>
          </w:tcPr>
          <w:p w14:paraId="629B06E5"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15</w:t>
            </w:r>
          </w:p>
        </w:tc>
        <w:tc>
          <w:tcPr>
            <w:tcW w:w="605" w:type="dxa"/>
            <w:tcBorders>
              <w:top w:val="nil"/>
              <w:left w:val="nil"/>
              <w:bottom w:val="nil"/>
              <w:right w:val="nil"/>
            </w:tcBorders>
            <w:shd w:val="clear" w:color="000000" w:fill="FFFFFF"/>
            <w:noWrap/>
            <w:hideMark/>
          </w:tcPr>
          <w:p w14:paraId="70645E33"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U62A</w:t>
            </w:r>
          </w:p>
        </w:tc>
        <w:tc>
          <w:tcPr>
            <w:tcW w:w="5490" w:type="dxa"/>
            <w:gridSpan w:val="2"/>
            <w:tcBorders>
              <w:top w:val="nil"/>
              <w:left w:val="nil"/>
              <w:bottom w:val="nil"/>
              <w:right w:val="nil"/>
            </w:tcBorders>
            <w:shd w:val="clear" w:color="000000" w:fill="FFFFFF"/>
            <w:noWrap/>
            <w:hideMark/>
          </w:tcPr>
          <w:p w14:paraId="557EB0A7"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Paranoia and Acute Psychotic Disorders, Major Complexity</w:t>
            </w:r>
          </w:p>
        </w:tc>
        <w:tc>
          <w:tcPr>
            <w:tcW w:w="567" w:type="dxa"/>
            <w:tcBorders>
              <w:top w:val="nil"/>
              <w:left w:val="nil"/>
              <w:bottom w:val="nil"/>
              <w:right w:val="nil"/>
            </w:tcBorders>
            <w:shd w:val="clear" w:color="000000" w:fill="FFFFFF"/>
            <w:noWrap/>
            <w:hideMark/>
          </w:tcPr>
          <w:p w14:paraId="784BE6AF" w14:textId="77777777" w:rsidR="00532BC8" w:rsidRPr="00532BC8" w:rsidRDefault="00532BC8" w:rsidP="00532BC8">
            <w:pPr>
              <w:jc w:val="right"/>
              <w:rPr>
                <w:b/>
                <w:bCs/>
                <w:color w:val="000000"/>
                <w:sz w:val="14"/>
                <w:szCs w:val="14"/>
                <w:lang w:val="en-US" w:eastAsia="en-US"/>
              </w:rPr>
            </w:pPr>
            <w:r w:rsidRPr="00532BC8">
              <w:rPr>
                <w:b/>
                <w:bCs/>
                <w:color w:val="000000"/>
                <w:sz w:val="14"/>
                <w:szCs w:val="14"/>
                <w:lang w:val="en-US" w:eastAsia="en-US"/>
              </w:rPr>
              <w:t>5.34</w:t>
            </w:r>
          </w:p>
        </w:tc>
        <w:tc>
          <w:tcPr>
            <w:tcW w:w="839" w:type="dxa"/>
            <w:tcBorders>
              <w:top w:val="nil"/>
              <w:left w:val="nil"/>
              <w:bottom w:val="nil"/>
              <w:right w:val="nil"/>
            </w:tcBorders>
            <w:shd w:val="clear" w:color="000000" w:fill="FFFFFF"/>
            <w:noWrap/>
            <w:hideMark/>
          </w:tcPr>
          <w:p w14:paraId="12DDB69F"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35</w:t>
            </w:r>
          </w:p>
        </w:tc>
        <w:tc>
          <w:tcPr>
            <w:tcW w:w="702" w:type="dxa"/>
            <w:tcBorders>
              <w:top w:val="nil"/>
              <w:left w:val="nil"/>
              <w:bottom w:val="nil"/>
              <w:right w:val="nil"/>
            </w:tcBorders>
            <w:shd w:val="clear" w:color="000000" w:fill="FFFFFF"/>
            <w:noWrap/>
            <w:hideMark/>
          </w:tcPr>
          <w:p w14:paraId="5EB3ACBB"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5.41</w:t>
            </w:r>
          </w:p>
        </w:tc>
        <w:tc>
          <w:tcPr>
            <w:tcW w:w="702" w:type="dxa"/>
            <w:tcBorders>
              <w:top w:val="nil"/>
              <w:left w:val="nil"/>
              <w:bottom w:val="nil"/>
              <w:right w:val="nil"/>
            </w:tcBorders>
            <w:shd w:val="clear" w:color="000000" w:fill="FFFFFF"/>
            <w:noWrap/>
            <w:hideMark/>
          </w:tcPr>
          <w:p w14:paraId="2DF659E7"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20.5</w:t>
            </w:r>
          </w:p>
        </w:tc>
        <w:tc>
          <w:tcPr>
            <w:tcW w:w="702" w:type="dxa"/>
            <w:tcBorders>
              <w:top w:val="nil"/>
              <w:left w:val="single" w:sz="4" w:space="0" w:color="000000"/>
              <w:bottom w:val="nil"/>
              <w:right w:val="nil"/>
            </w:tcBorders>
            <w:shd w:val="clear" w:color="000000" w:fill="FFFFFF"/>
            <w:noWrap/>
            <w:hideMark/>
          </w:tcPr>
          <w:p w14:paraId="5EE3AFD5"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w:t>
            </w:r>
          </w:p>
        </w:tc>
        <w:tc>
          <w:tcPr>
            <w:tcW w:w="702" w:type="dxa"/>
            <w:tcBorders>
              <w:top w:val="nil"/>
              <w:left w:val="nil"/>
              <w:bottom w:val="nil"/>
              <w:right w:val="nil"/>
            </w:tcBorders>
            <w:shd w:val="clear" w:color="000000" w:fill="FFFFFF"/>
            <w:noWrap/>
            <w:hideMark/>
          </w:tcPr>
          <w:p w14:paraId="5FDD7211"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0%</w:t>
            </w:r>
          </w:p>
        </w:tc>
        <w:tc>
          <w:tcPr>
            <w:tcW w:w="706" w:type="dxa"/>
            <w:tcBorders>
              <w:top w:val="nil"/>
              <w:left w:val="nil"/>
              <w:bottom w:val="nil"/>
              <w:right w:val="nil"/>
            </w:tcBorders>
            <w:shd w:val="clear" w:color="000000" w:fill="FFFFFF"/>
            <w:noWrap/>
            <w:hideMark/>
          </w:tcPr>
          <w:p w14:paraId="4D6DE166"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0%</w:t>
            </w:r>
          </w:p>
        </w:tc>
        <w:tc>
          <w:tcPr>
            <w:tcW w:w="730" w:type="dxa"/>
            <w:tcBorders>
              <w:top w:val="nil"/>
              <w:left w:val="nil"/>
              <w:bottom w:val="nil"/>
              <w:right w:val="nil"/>
            </w:tcBorders>
            <w:shd w:val="clear" w:color="000000" w:fill="FFFFFF"/>
            <w:noWrap/>
            <w:hideMark/>
          </w:tcPr>
          <w:p w14:paraId="0B6CDD20"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99%</w:t>
            </w:r>
          </w:p>
        </w:tc>
        <w:tc>
          <w:tcPr>
            <w:tcW w:w="901" w:type="dxa"/>
            <w:tcBorders>
              <w:top w:val="nil"/>
              <w:left w:val="single" w:sz="4" w:space="0" w:color="auto"/>
              <w:bottom w:val="nil"/>
              <w:right w:val="nil"/>
            </w:tcBorders>
            <w:shd w:val="clear" w:color="000000" w:fill="FFFFFF"/>
            <w:noWrap/>
            <w:hideMark/>
          </w:tcPr>
          <w:p w14:paraId="6A6BCAA5"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1.97</w:t>
            </w:r>
          </w:p>
        </w:tc>
        <w:tc>
          <w:tcPr>
            <w:tcW w:w="702" w:type="dxa"/>
            <w:tcBorders>
              <w:top w:val="nil"/>
              <w:left w:val="nil"/>
              <w:bottom w:val="nil"/>
              <w:right w:val="nil"/>
            </w:tcBorders>
            <w:shd w:val="clear" w:color="000000" w:fill="FFFFFF"/>
            <w:noWrap/>
            <w:hideMark/>
          </w:tcPr>
          <w:p w14:paraId="444A1AB8"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 xml:space="preserve">202 </w:t>
            </w:r>
          </w:p>
        </w:tc>
      </w:tr>
      <w:tr w:rsidR="00532BC8" w:rsidRPr="00532BC8" w14:paraId="6E37ED4F" w14:textId="77777777" w:rsidTr="00E22F35">
        <w:trPr>
          <w:trHeight w:hRule="exact" w:val="284"/>
        </w:trPr>
        <w:tc>
          <w:tcPr>
            <w:tcW w:w="660" w:type="dxa"/>
            <w:tcBorders>
              <w:top w:val="nil"/>
              <w:left w:val="nil"/>
              <w:bottom w:val="nil"/>
              <w:right w:val="nil"/>
            </w:tcBorders>
            <w:shd w:val="clear" w:color="000000" w:fill="FFFFFF"/>
            <w:noWrap/>
            <w:hideMark/>
          </w:tcPr>
          <w:p w14:paraId="342D1B01"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Yes</w:t>
            </w:r>
          </w:p>
        </w:tc>
        <w:tc>
          <w:tcPr>
            <w:tcW w:w="758" w:type="dxa"/>
            <w:tcBorders>
              <w:top w:val="nil"/>
              <w:left w:val="nil"/>
              <w:bottom w:val="nil"/>
              <w:right w:val="nil"/>
            </w:tcBorders>
            <w:shd w:val="clear" w:color="000000" w:fill="FFFFFF"/>
            <w:noWrap/>
            <w:hideMark/>
          </w:tcPr>
          <w:p w14:paraId="4171BC78"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16</w:t>
            </w:r>
          </w:p>
        </w:tc>
        <w:tc>
          <w:tcPr>
            <w:tcW w:w="605" w:type="dxa"/>
            <w:tcBorders>
              <w:top w:val="nil"/>
              <w:left w:val="nil"/>
              <w:bottom w:val="nil"/>
              <w:right w:val="nil"/>
            </w:tcBorders>
            <w:shd w:val="clear" w:color="000000" w:fill="FFFFFF"/>
            <w:noWrap/>
            <w:hideMark/>
          </w:tcPr>
          <w:p w14:paraId="43582FE5"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F04A</w:t>
            </w:r>
          </w:p>
        </w:tc>
        <w:tc>
          <w:tcPr>
            <w:tcW w:w="5490" w:type="dxa"/>
            <w:gridSpan w:val="2"/>
            <w:tcBorders>
              <w:top w:val="nil"/>
              <w:left w:val="nil"/>
              <w:bottom w:val="nil"/>
              <w:right w:val="nil"/>
            </w:tcBorders>
            <w:shd w:val="clear" w:color="000000" w:fill="FFFFFF"/>
            <w:noWrap/>
            <w:hideMark/>
          </w:tcPr>
          <w:p w14:paraId="2932380A"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Cardiac Valve Procedures W CPB Pump W/O Invasive Cardiac Invest, Major Comp</w:t>
            </w:r>
          </w:p>
        </w:tc>
        <w:tc>
          <w:tcPr>
            <w:tcW w:w="567" w:type="dxa"/>
            <w:tcBorders>
              <w:top w:val="nil"/>
              <w:left w:val="nil"/>
              <w:bottom w:val="nil"/>
              <w:right w:val="nil"/>
            </w:tcBorders>
            <w:shd w:val="clear" w:color="000000" w:fill="FFFFFF"/>
            <w:noWrap/>
            <w:hideMark/>
          </w:tcPr>
          <w:p w14:paraId="069C94EE" w14:textId="77777777" w:rsidR="00532BC8" w:rsidRPr="00532BC8" w:rsidRDefault="00532BC8" w:rsidP="00532BC8">
            <w:pPr>
              <w:jc w:val="right"/>
              <w:rPr>
                <w:b/>
                <w:bCs/>
                <w:color w:val="000000"/>
                <w:sz w:val="14"/>
                <w:szCs w:val="14"/>
                <w:lang w:val="en-US" w:eastAsia="en-US"/>
              </w:rPr>
            </w:pPr>
            <w:r w:rsidRPr="00532BC8">
              <w:rPr>
                <w:b/>
                <w:bCs/>
                <w:color w:val="000000"/>
                <w:sz w:val="14"/>
                <w:szCs w:val="14"/>
                <w:lang w:val="en-US" w:eastAsia="en-US"/>
              </w:rPr>
              <w:t>5.25</w:t>
            </w:r>
          </w:p>
        </w:tc>
        <w:tc>
          <w:tcPr>
            <w:tcW w:w="839" w:type="dxa"/>
            <w:tcBorders>
              <w:top w:val="nil"/>
              <w:left w:val="nil"/>
              <w:bottom w:val="nil"/>
              <w:right w:val="nil"/>
            </w:tcBorders>
            <w:shd w:val="clear" w:color="000000" w:fill="FFFFFF"/>
            <w:noWrap/>
            <w:hideMark/>
          </w:tcPr>
          <w:p w14:paraId="400A11E7"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291</w:t>
            </w:r>
          </w:p>
        </w:tc>
        <w:tc>
          <w:tcPr>
            <w:tcW w:w="702" w:type="dxa"/>
            <w:tcBorders>
              <w:top w:val="nil"/>
              <w:left w:val="nil"/>
              <w:bottom w:val="nil"/>
              <w:right w:val="nil"/>
            </w:tcBorders>
            <w:shd w:val="clear" w:color="000000" w:fill="FFFFFF"/>
            <w:noWrap/>
            <w:hideMark/>
          </w:tcPr>
          <w:p w14:paraId="5D5DA189"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16.52</w:t>
            </w:r>
          </w:p>
        </w:tc>
        <w:tc>
          <w:tcPr>
            <w:tcW w:w="702" w:type="dxa"/>
            <w:tcBorders>
              <w:top w:val="nil"/>
              <w:left w:val="nil"/>
              <w:bottom w:val="nil"/>
              <w:right w:val="nil"/>
            </w:tcBorders>
            <w:shd w:val="clear" w:color="000000" w:fill="FFFFFF"/>
            <w:noWrap/>
            <w:hideMark/>
          </w:tcPr>
          <w:p w14:paraId="6C0ADDB5"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24.4</w:t>
            </w:r>
          </w:p>
        </w:tc>
        <w:tc>
          <w:tcPr>
            <w:tcW w:w="702" w:type="dxa"/>
            <w:tcBorders>
              <w:top w:val="nil"/>
              <w:left w:val="single" w:sz="4" w:space="0" w:color="000000"/>
              <w:bottom w:val="nil"/>
              <w:right w:val="nil"/>
            </w:tcBorders>
            <w:shd w:val="clear" w:color="000000" w:fill="FFFFFF"/>
            <w:noWrap/>
            <w:hideMark/>
          </w:tcPr>
          <w:p w14:paraId="77E859E4"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14%</w:t>
            </w:r>
          </w:p>
        </w:tc>
        <w:tc>
          <w:tcPr>
            <w:tcW w:w="702" w:type="dxa"/>
            <w:tcBorders>
              <w:top w:val="nil"/>
              <w:left w:val="nil"/>
              <w:bottom w:val="nil"/>
              <w:right w:val="nil"/>
            </w:tcBorders>
            <w:shd w:val="clear" w:color="000000" w:fill="FFFFFF"/>
            <w:noWrap/>
            <w:hideMark/>
          </w:tcPr>
          <w:p w14:paraId="27CD8AD2"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35%</w:t>
            </w:r>
          </w:p>
        </w:tc>
        <w:tc>
          <w:tcPr>
            <w:tcW w:w="706" w:type="dxa"/>
            <w:tcBorders>
              <w:top w:val="nil"/>
              <w:left w:val="nil"/>
              <w:bottom w:val="nil"/>
              <w:right w:val="nil"/>
            </w:tcBorders>
            <w:shd w:val="clear" w:color="000000" w:fill="FFFFFF"/>
            <w:noWrap/>
            <w:hideMark/>
          </w:tcPr>
          <w:p w14:paraId="13537208"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19%</w:t>
            </w:r>
          </w:p>
        </w:tc>
        <w:tc>
          <w:tcPr>
            <w:tcW w:w="730" w:type="dxa"/>
            <w:tcBorders>
              <w:top w:val="nil"/>
              <w:left w:val="nil"/>
              <w:bottom w:val="nil"/>
              <w:right w:val="nil"/>
            </w:tcBorders>
            <w:shd w:val="clear" w:color="000000" w:fill="FFFFFF"/>
            <w:noWrap/>
            <w:hideMark/>
          </w:tcPr>
          <w:p w14:paraId="034A6B49"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32%</w:t>
            </w:r>
          </w:p>
        </w:tc>
        <w:tc>
          <w:tcPr>
            <w:tcW w:w="901" w:type="dxa"/>
            <w:tcBorders>
              <w:top w:val="nil"/>
              <w:left w:val="single" w:sz="4" w:space="0" w:color="auto"/>
              <w:bottom w:val="nil"/>
              <w:right w:val="nil"/>
            </w:tcBorders>
            <w:shd w:val="clear" w:color="000000" w:fill="FFFFFF"/>
            <w:noWrap/>
            <w:hideMark/>
          </w:tcPr>
          <w:p w14:paraId="590282D8"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7.63</w:t>
            </w:r>
          </w:p>
        </w:tc>
        <w:tc>
          <w:tcPr>
            <w:tcW w:w="702" w:type="dxa"/>
            <w:tcBorders>
              <w:top w:val="nil"/>
              <w:left w:val="nil"/>
              <w:bottom w:val="nil"/>
              <w:right w:val="nil"/>
            </w:tcBorders>
            <w:shd w:val="clear" w:color="000000" w:fill="FFFFFF"/>
            <w:noWrap/>
            <w:hideMark/>
          </w:tcPr>
          <w:p w14:paraId="50628292"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 xml:space="preserve">8 </w:t>
            </w:r>
          </w:p>
        </w:tc>
      </w:tr>
      <w:tr w:rsidR="00532BC8" w:rsidRPr="00532BC8" w14:paraId="568472E4" w14:textId="77777777" w:rsidTr="00E22F35">
        <w:trPr>
          <w:trHeight w:hRule="exact" w:val="284"/>
        </w:trPr>
        <w:tc>
          <w:tcPr>
            <w:tcW w:w="660" w:type="dxa"/>
            <w:tcBorders>
              <w:top w:val="nil"/>
              <w:left w:val="nil"/>
              <w:bottom w:val="nil"/>
              <w:right w:val="nil"/>
            </w:tcBorders>
            <w:shd w:val="clear" w:color="000000" w:fill="FFFFFF"/>
            <w:noWrap/>
            <w:hideMark/>
          </w:tcPr>
          <w:p w14:paraId="7297DA78"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No</w:t>
            </w:r>
          </w:p>
        </w:tc>
        <w:tc>
          <w:tcPr>
            <w:tcW w:w="758" w:type="dxa"/>
            <w:tcBorders>
              <w:top w:val="nil"/>
              <w:left w:val="nil"/>
              <w:bottom w:val="nil"/>
              <w:right w:val="nil"/>
            </w:tcBorders>
            <w:shd w:val="clear" w:color="000000" w:fill="FFFFFF"/>
            <w:noWrap/>
            <w:hideMark/>
          </w:tcPr>
          <w:p w14:paraId="46A527A7"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17</w:t>
            </w:r>
          </w:p>
        </w:tc>
        <w:tc>
          <w:tcPr>
            <w:tcW w:w="605" w:type="dxa"/>
            <w:tcBorders>
              <w:top w:val="nil"/>
              <w:left w:val="nil"/>
              <w:bottom w:val="nil"/>
              <w:right w:val="nil"/>
            </w:tcBorders>
            <w:shd w:val="clear" w:color="000000" w:fill="FFFFFF"/>
            <w:noWrap/>
            <w:hideMark/>
          </w:tcPr>
          <w:p w14:paraId="48EF0776"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I31A</w:t>
            </w:r>
          </w:p>
        </w:tc>
        <w:tc>
          <w:tcPr>
            <w:tcW w:w="5490" w:type="dxa"/>
            <w:gridSpan w:val="2"/>
            <w:tcBorders>
              <w:top w:val="nil"/>
              <w:left w:val="nil"/>
              <w:bottom w:val="nil"/>
              <w:right w:val="nil"/>
            </w:tcBorders>
            <w:shd w:val="clear" w:color="000000" w:fill="FFFFFF"/>
            <w:noWrap/>
            <w:hideMark/>
          </w:tcPr>
          <w:p w14:paraId="14FE12E3"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Revision of Hip Replacement, Major Complexity</w:t>
            </w:r>
          </w:p>
        </w:tc>
        <w:tc>
          <w:tcPr>
            <w:tcW w:w="567" w:type="dxa"/>
            <w:tcBorders>
              <w:top w:val="nil"/>
              <w:left w:val="nil"/>
              <w:bottom w:val="nil"/>
              <w:right w:val="nil"/>
            </w:tcBorders>
            <w:shd w:val="clear" w:color="000000" w:fill="FFFFFF"/>
            <w:noWrap/>
            <w:hideMark/>
          </w:tcPr>
          <w:p w14:paraId="722739D8" w14:textId="77777777" w:rsidR="00532BC8" w:rsidRPr="00532BC8" w:rsidRDefault="00532BC8" w:rsidP="00532BC8">
            <w:pPr>
              <w:jc w:val="right"/>
              <w:rPr>
                <w:b/>
                <w:bCs/>
                <w:color w:val="000000"/>
                <w:sz w:val="14"/>
                <w:szCs w:val="14"/>
                <w:lang w:val="en-US" w:eastAsia="en-US"/>
              </w:rPr>
            </w:pPr>
            <w:r w:rsidRPr="00532BC8">
              <w:rPr>
                <w:b/>
                <w:bCs/>
                <w:color w:val="000000"/>
                <w:sz w:val="14"/>
                <w:szCs w:val="14"/>
                <w:lang w:val="en-US" w:eastAsia="en-US"/>
              </w:rPr>
              <w:t>5.25</w:t>
            </w:r>
          </w:p>
        </w:tc>
        <w:tc>
          <w:tcPr>
            <w:tcW w:w="839" w:type="dxa"/>
            <w:tcBorders>
              <w:top w:val="nil"/>
              <w:left w:val="nil"/>
              <w:bottom w:val="nil"/>
              <w:right w:val="nil"/>
            </w:tcBorders>
            <w:shd w:val="clear" w:color="000000" w:fill="FFFFFF"/>
            <w:noWrap/>
            <w:hideMark/>
          </w:tcPr>
          <w:p w14:paraId="65E31A30"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283</w:t>
            </w:r>
          </w:p>
        </w:tc>
        <w:tc>
          <w:tcPr>
            <w:tcW w:w="702" w:type="dxa"/>
            <w:tcBorders>
              <w:top w:val="nil"/>
              <w:left w:val="nil"/>
              <w:bottom w:val="nil"/>
              <w:right w:val="nil"/>
            </w:tcBorders>
            <w:shd w:val="clear" w:color="000000" w:fill="FFFFFF"/>
            <w:noWrap/>
            <w:hideMark/>
          </w:tcPr>
          <w:p w14:paraId="5470940E"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11.91</w:t>
            </w:r>
          </w:p>
        </w:tc>
        <w:tc>
          <w:tcPr>
            <w:tcW w:w="702" w:type="dxa"/>
            <w:tcBorders>
              <w:top w:val="nil"/>
              <w:left w:val="nil"/>
              <w:bottom w:val="nil"/>
              <w:right w:val="nil"/>
            </w:tcBorders>
            <w:shd w:val="clear" w:color="000000" w:fill="FFFFFF"/>
            <w:noWrap/>
            <w:hideMark/>
          </w:tcPr>
          <w:p w14:paraId="7DECB725"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23.7</w:t>
            </w:r>
          </w:p>
        </w:tc>
        <w:tc>
          <w:tcPr>
            <w:tcW w:w="702" w:type="dxa"/>
            <w:tcBorders>
              <w:top w:val="nil"/>
              <w:left w:val="single" w:sz="4" w:space="0" w:color="000000"/>
              <w:bottom w:val="nil"/>
              <w:right w:val="nil"/>
            </w:tcBorders>
            <w:shd w:val="clear" w:color="000000" w:fill="FFFFFF"/>
            <w:noWrap/>
            <w:hideMark/>
          </w:tcPr>
          <w:p w14:paraId="7D3B1361"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13%</w:t>
            </w:r>
          </w:p>
        </w:tc>
        <w:tc>
          <w:tcPr>
            <w:tcW w:w="702" w:type="dxa"/>
            <w:tcBorders>
              <w:top w:val="nil"/>
              <w:left w:val="nil"/>
              <w:bottom w:val="nil"/>
              <w:right w:val="nil"/>
            </w:tcBorders>
            <w:shd w:val="clear" w:color="000000" w:fill="FFFFFF"/>
            <w:noWrap/>
            <w:hideMark/>
          </w:tcPr>
          <w:p w14:paraId="5E6363B4"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15%</w:t>
            </w:r>
          </w:p>
        </w:tc>
        <w:tc>
          <w:tcPr>
            <w:tcW w:w="706" w:type="dxa"/>
            <w:tcBorders>
              <w:top w:val="nil"/>
              <w:left w:val="nil"/>
              <w:bottom w:val="nil"/>
              <w:right w:val="nil"/>
            </w:tcBorders>
            <w:shd w:val="clear" w:color="000000" w:fill="FFFFFF"/>
            <w:noWrap/>
            <w:hideMark/>
          </w:tcPr>
          <w:p w14:paraId="25F4C6C9"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28%</w:t>
            </w:r>
          </w:p>
        </w:tc>
        <w:tc>
          <w:tcPr>
            <w:tcW w:w="730" w:type="dxa"/>
            <w:tcBorders>
              <w:top w:val="nil"/>
              <w:left w:val="nil"/>
              <w:bottom w:val="nil"/>
              <w:right w:val="nil"/>
            </w:tcBorders>
            <w:shd w:val="clear" w:color="000000" w:fill="FFFFFF"/>
            <w:noWrap/>
            <w:hideMark/>
          </w:tcPr>
          <w:p w14:paraId="3A7AD10E"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44%</w:t>
            </w:r>
          </w:p>
        </w:tc>
        <w:tc>
          <w:tcPr>
            <w:tcW w:w="901" w:type="dxa"/>
            <w:tcBorders>
              <w:top w:val="nil"/>
              <w:left w:val="single" w:sz="4" w:space="0" w:color="auto"/>
              <w:bottom w:val="nil"/>
              <w:right w:val="nil"/>
            </w:tcBorders>
            <w:shd w:val="clear" w:color="000000" w:fill="FFFFFF"/>
            <w:noWrap/>
            <w:hideMark/>
          </w:tcPr>
          <w:p w14:paraId="14B2DD3B"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5.36</w:t>
            </w:r>
          </w:p>
        </w:tc>
        <w:tc>
          <w:tcPr>
            <w:tcW w:w="702" w:type="dxa"/>
            <w:tcBorders>
              <w:top w:val="nil"/>
              <w:left w:val="nil"/>
              <w:bottom w:val="nil"/>
              <w:right w:val="nil"/>
            </w:tcBorders>
            <w:shd w:val="clear" w:color="000000" w:fill="FFFFFF"/>
            <w:noWrap/>
            <w:hideMark/>
          </w:tcPr>
          <w:p w14:paraId="2CDDDD6D"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 xml:space="preserve">32 </w:t>
            </w:r>
          </w:p>
        </w:tc>
      </w:tr>
      <w:tr w:rsidR="00532BC8" w:rsidRPr="00532BC8" w14:paraId="0C8A0EED" w14:textId="77777777" w:rsidTr="00E22F35">
        <w:trPr>
          <w:trHeight w:hRule="exact" w:val="284"/>
        </w:trPr>
        <w:tc>
          <w:tcPr>
            <w:tcW w:w="660" w:type="dxa"/>
            <w:tcBorders>
              <w:top w:val="nil"/>
              <w:left w:val="nil"/>
              <w:bottom w:val="nil"/>
              <w:right w:val="nil"/>
            </w:tcBorders>
            <w:shd w:val="clear" w:color="000000" w:fill="FFFFFF"/>
            <w:noWrap/>
            <w:hideMark/>
          </w:tcPr>
          <w:p w14:paraId="32387BEE"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No</w:t>
            </w:r>
          </w:p>
        </w:tc>
        <w:tc>
          <w:tcPr>
            <w:tcW w:w="758" w:type="dxa"/>
            <w:tcBorders>
              <w:top w:val="nil"/>
              <w:left w:val="nil"/>
              <w:bottom w:val="nil"/>
              <w:right w:val="nil"/>
            </w:tcBorders>
            <w:shd w:val="clear" w:color="000000" w:fill="FFFFFF"/>
            <w:noWrap/>
            <w:hideMark/>
          </w:tcPr>
          <w:p w14:paraId="3BF730E7"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18</w:t>
            </w:r>
          </w:p>
        </w:tc>
        <w:tc>
          <w:tcPr>
            <w:tcW w:w="605" w:type="dxa"/>
            <w:tcBorders>
              <w:top w:val="nil"/>
              <w:left w:val="nil"/>
              <w:bottom w:val="nil"/>
              <w:right w:val="nil"/>
            </w:tcBorders>
            <w:shd w:val="clear" w:color="000000" w:fill="FFFFFF"/>
            <w:noWrap/>
            <w:hideMark/>
          </w:tcPr>
          <w:p w14:paraId="151BE6C9"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K01B</w:t>
            </w:r>
          </w:p>
        </w:tc>
        <w:tc>
          <w:tcPr>
            <w:tcW w:w="5490" w:type="dxa"/>
            <w:gridSpan w:val="2"/>
            <w:tcBorders>
              <w:top w:val="nil"/>
              <w:left w:val="nil"/>
              <w:bottom w:val="nil"/>
              <w:right w:val="nil"/>
            </w:tcBorders>
            <w:shd w:val="clear" w:color="000000" w:fill="FFFFFF"/>
            <w:noWrap/>
            <w:hideMark/>
          </w:tcPr>
          <w:p w14:paraId="6A7170D4"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OR Procedures for Diabetic Complications, Intermediate Complexity</w:t>
            </w:r>
          </w:p>
        </w:tc>
        <w:tc>
          <w:tcPr>
            <w:tcW w:w="567" w:type="dxa"/>
            <w:tcBorders>
              <w:top w:val="nil"/>
              <w:left w:val="nil"/>
              <w:bottom w:val="nil"/>
              <w:right w:val="nil"/>
            </w:tcBorders>
            <w:shd w:val="clear" w:color="000000" w:fill="FFFFFF"/>
            <w:noWrap/>
            <w:hideMark/>
          </w:tcPr>
          <w:p w14:paraId="1D025D9E" w14:textId="77777777" w:rsidR="00532BC8" w:rsidRPr="00532BC8" w:rsidRDefault="00532BC8" w:rsidP="00532BC8">
            <w:pPr>
              <w:jc w:val="right"/>
              <w:rPr>
                <w:b/>
                <w:bCs/>
                <w:color w:val="000000"/>
                <w:sz w:val="14"/>
                <w:szCs w:val="14"/>
                <w:lang w:val="en-US" w:eastAsia="en-US"/>
              </w:rPr>
            </w:pPr>
            <w:r w:rsidRPr="00532BC8">
              <w:rPr>
                <w:b/>
                <w:bCs/>
                <w:color w:val="000000"/>
                <w:sz w:val="14"/>
                <w:szCs w:val="14"/>
                <w:lang w:val="en-US" w:eastAsia="en-US"/>
              </w:rPr>
              <w:t>5.12</w:t>
            </w:r>
          </w:p>
        </w:tc>
        <w:tc>
          <w:tcPr>
            <w:tcW w:w="839" w:type="dxa"/>
            <w:tcBorders>
              <w:top w:val="nil"/>
              <w:left w:val="nil"/>
              <w:bottom w:val="nil"/>
              <w:right w:val="nil"/>
            </w:tcBorders>
            <w:shd w:val="clear" w:color="000000" w:fill="FFFFFF"/>
            <w:noWrap/>
            <w:hideMark/>
          </w:tcPr>
          <w:p w14:paraId="7ECE3FC0"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168</w:t>
            </w:r>
          </w:p>
        </w:tc>
        <w:tc>
          <w:tcPr>
            <w:tcW w:w="702" w:type="dxa"/>
            <w:tcBorders>
              <w:top w:val="nil"/>
              <w:left w:val="nil"/>
              <w:bottom w:val="nil"/>
              <w:right w:val="nil"/>
            </w:tcBorders>
            <w:shd w:val="clear" w:color="000000" w:fill="FFFFFF"/>
            <w:noWrap/>
            <w:hideMark/>
          </w:tcPr>
          <w:p w14:paraId="4970A249"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6.76</w:t>
            </w:r>
          </w:p>
        </w:tc>
        <w:tc>
          <w:tcPr>
            <w:tcW w:w="702" w:type="dxa"/>
            <w:tcBorders>
              <w:top w:val="nil"/>
              <w:left w:val="nil"/>
              <w:bottom w:val="nil"/>
              <w:right w:val="nil"/>
            </w:tcBorders>
            <w:shd w:val="clear" w:color="000000" w:fill="FFFFFF"/>
            <w:noWrap/>
            <w:hideMark/>
          </w:tcPr>
          <w:p w14:paraId="010E95FA"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23.8</w:t>
            </w:r>
          </w:p>
        </w:tc>
        <w:tc>
          <w:tcPr>
            <w:tcW w:w="702" w:type="dxa"/>
            <w:tcBorders>
              <w:top w:val="nil"/>
              <w:left w:val="single" w:sz="4" w:space="0" w:color="000000"/>
              <w:bottom w:val="nil"/>
              <w:right w:val="nil"/>
            </w:tcBorders>
            <w:shd w:val="clear" w:color="000000" w:fill="FFFFFF"/>
            <w:noWrap/>
            <w:hideMark/>
          </w:tcPr>
          <w:p w14:paraId="279C47ED"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13%</w:t>
            </w:r>
          </w:p>
        </w:tc>
        <w:tc>
          <w:tcPr>
            <w:tcW w:w="702" w:type="dxa"/>
            <w:tcBorders>
              <w:top w:val="nil"/>
              <w:left w:val="nil"/>
              <w:bottom w:val="nil"/>
              <w:right w:val="nil"/>
            </w:tcBorders>
            <w:shd w:val="clear" w:color="000000" w:fill="FFFFFF"/>
            <w:noWrap/>
            <w:hideMark/>
          </w:tcPr>
          <w:p w14:paraId="31801A1A"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4%</w:t>
            </w:r>
          </w:p>
        </w:tc>
        <w:tc>
          <w:tcPr>
            <w:tcW w:w="706" w:type="dxa"/>
            <w:tcBorders>
              <w:top w:val="nil"/>
              <w:left w:val="nil"/>
              <w:bottom w:val="nil"/>
              <w:right w:val="nil"/>
            </w:tcBorders>
            <w:shd w:val="clear" w:color="000000" w:fill="FFFFFF"/>
            <w:noWrap/>
            <w:hideMark/>
          </w:tcPr>
          <w:p w14:paraId="1A7635F8"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7%</w:t>
            </w:r>
          </w:p>
        </w:tc>
        <w:tc>
          <w:tcPr>
            <w:tcW w:w="730" w:type="dxa"/>
            <w:tcBorders>
              <w:top w:val="nil"/>
              <w:left w:val="nil"/>
              <w:bottom w:val="nil"/>
              <w:right w:val="nil"/>
            </w:tcBorders>
            <w:shd w:val="clear" w:color="000000" w:fill="FFFFFF"/>
            <w:noWrap/>
            <w:hideMark/>
          </w:tcPr>
          <w:p w14:paraId="4401371C"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76%</w:t>
            </w:r>
          </w:p>
        </w:tc>
        <w:tc>
          <w:tcPr>
            <w:tcW w:w="901" w:type="dxa"/>
            <w:tcBorders>
              <w:top w:val="nil"/>
              <w:left w:val="single" w:sz="4" w:space="0" w:color="auto"/>
              <w:bottom w:val="nil"/>
              <w:right w:val="nil"/>
            </w:tcBorders>
            <w:shd w:val="clear" w:color="000000" w:fill="FFFFFF"/>
            <w:noWrap/>
            <w:hideMark/>
          </w:tcPr>
          <w:p w14:paraId="7DABFE5A"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4.55</w:t>
            </w:r>
          </w:p>
        </w:tc>
        <w:tc>
          <w:tcPr>
            <w:tcW w:w="702" w:type="dxa"/>
            <w:tcBorders>
              <w:top w:val="nil"/>
              <w:left w:val="nil"/>
              <w:bottom w:val="nil"/>
              <w:right w:val="nil"/>
            </w:tcBorders>
            <w:shd w:val="clear" w:color="000000" w:fill="FFFFFF"/>
            <w:noWrap/>
            <w:hideMark/>
          </w:tcPr>
          <w:p w14:paraId="4A49CEA9"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 xml:space="preserve">49 </w:t>
            </w:r>
          </w:p>
        </w:tc>
      </w:tr>
      <w:tr w:rsidR="00532BC8" w:rsidRPr="00532BC8" w14:paraId="3734DCC2" w14:textId="77777777" w:rsidTr="00E22F35">
        <w:trPr>
          <w:trHeight w:hRule="exact" w:val="284"/>
        </w:trPr>
        <w:tc>
          <w:tcPr>
            <w:tcW w:w="660" w:type="dxa"/>
            <w:tcBorders>
              <w:top w:val="nil"/>
              <w:left w:val="nil"/>
              <w:bottom w:val="nil"/>
              <w:right w:val="nil"/>
            </w:tcBorders>
            <w:shd w:val="clear" w:color="000000" w:fill="FFFFFF"/>
            <w:noWrap/>
            <w:hideMark/>
          </w:tcPr>
          <w:p w14:paraId="276B524C"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No</w:t>
            </w:r>
          </w:p>
        </w:tc>
        <w:tc>
          <w:tcPr>
            <w:tcW w:w="758" w:type="dxa"/>
            <w:tcBorders>
              <w:top w:val="nil"/>
              <w:left w:val="nil"/>
              <w:bottom w:val="nil"/>
              <w:right w:val="nil"/>
            </w:tcBorders>
            <w:shd w:val="clear" w:color="000000" w:fill="FFFFFF"/>
            <w:noWrap/>
            <w:hideMark/>
          </w:tcPr>
          <w:p w14:paraId="5B40E9ED"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19</w:t>
            </w:r>
          </w:p>
        </w:tc>
        <w:tc>
          <w:tcPr>
            <w:tcW w:w="605" w:type="dxa"/>
            <w:tcBorders>
              <w:top w:val="nil"/>
              <w:left w:val="nil"/>
              <w:bottom w:val="nil"/>
              <w:right w:val="nil"/>
            </w:tcBorders>
            <w:shd w:val="clear" w:color="000000" w:fill="FFFFFF"/>
            <w:noWrap/>
            <w:hideMark/>
          </w:tcPr>
          <w:p w14:paraId="645B0B67"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L09A</w:t>
            </w:r>
          </w:p>
        </w:tc>
        <w:tc>
          <w:tcPr>
            <w:tcW w:w="5490" w:type="dxa"/>
            <w:gridSpan w:val="2"/>
            <w:tcBorders>
              <w:top w:val="nil"/>
              <w:left w:val="nil"/>
              <w:bottom w:val="nil"/>
              <w:right w:val="nil"/>
            </w:tcBorders>
            <w:shd w:val="clear" w:color="000000" w:fill="FFFFFF"/>
            <w:noWrap/>
            <w:hideMark/>
          </w:tcPr>
          <w:p w14:paraId="13D15440"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Other Procedures for Kidney and Urinary Tract Disorders, Major Complexity</w:t>
            </w:r>
          </w:p>
        </w:tc>
        <w:tc>
          <w:tcPr>
            <w:tcW w:w="567" w:type="dxa"/>
            <w:tcBorders>
              <w:top w:val="nil"/>
              <w:left w:val="nil"/>
              <w:bottom w:val="nil"/>
              <w:right w:val="nil"/>
            </w:tcBorders>
            <w:shd w:val="clear" w:color="000000" w:fill="FFFFFF"/>
            <w:noWrap/>
            <w:hideMark/>
          </w:tcPr>
          <w:p w14:paraId="6099C8F4" w14:textId="77777777" w:rsidR="00532BC8" w:rsidRPr="00532BC8" w:rsidRDefault="00532BC8" w:rsidP="00532BC8">
            <w:pPr>
              <w:jc w:val="right"/>
              <w:rPr>
                <w:b/>
                <w:bCs/>
                <w:color w:val="000000"/>
                <w:sz w:val="14"/>
                <w:szCs w:val="14"/>
                <w:lang w:val="en-US" w:eastAsia="en-US"/>
              </w:rPr>
            </w:pPr>
            <w:r w:rsidRPr="00532BC8">
              <w:rPr>
                <w:b/>
                <w:bCs/>
                <w:color w:val="000000"/>
                <w:sz w:val="14"/>
                <w:szCs w:val="14"/>
                <w:lang w:val="en-US" w:eastAsia="en-US"/>
              </w:rPr>
              <w:t>5.05</w:t>
            </w:r>
          </w:p>
        </w:tc>
        <w:tc>
          <w:tcPr>
            <w:tcW w:w="839" w:type="dxa"/>
            <w:tcBorders>
              <w:top w:val="nil"/>
              <w:left w:val="nil"/>
              <w:bottom w:val="nil"/>
              <w:right w:val="nil"/>
            </w:tcBorders>
            <w:shd w:val="clear" w:color="000000" w:fill="FFFFFF"/>
            <w:noWrap/>
            <w:hideMark/>
          </w:tcPr>
          <w:p w14:paraId="06BF3134"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105</w:t>
            </w:r>
          </w:p>
        </w:tc>
        <w:tc>
          <w:tcPr>
            <w:tcW w:w="702" w:type="dxa"/>
            <w:tcBorders>
              <w:top w:val="nil"/>
              <w:left w:val="nil"/>
              <w:bottom w:val="nil"/>
              <w:right w:val="nil"/>
            </w:tcBorders>
            <w:shd w:val="clear" w:color="000000" w:fill="FFFFFF"/>
            <w:noWrap/>
            <w:hideMark/>
          </w:tcPr>
          <w:p w14:paraId="6FCF5554"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8.26</w:t>
            </w:r>
          </w:p>
        </w:tc>
        <w:tc>
          <w:tcPr>
            <w:tcW w:w="702" w:type="dxa"/>
            <w:tcBorders>
              <w:top w:val="nil"/>
              <w:left w:val="nil"/>
              <w:bottom w:val="nil"/>
              <w:right w:val="nil"/>
            </w:tcBorders>
            <w:shd w:val="clear" w:color="000000" w:fill="FFFFFF"/>
            <w:noWrap/>
            <w:hideMark/>
          </w:tcPr>
          <w:p w14:paraId="000975A0"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23.1</w:t>
            </w:r>
          </w:p>
        </w:tc>
        <w:tc>
          <w:tcPr>
            <w:tcW w:w="702" w:type="dxa"/>
            <w:tcBorders>
              <w:top w:val="nil"/>
              <w:left w:val="single" w:sz="4" w:space="0" w:color="000000"/>
              <w:bottom w:val="nil"/>
              <w:right w:val="nil"/>
            </w:tcBorders>
            <w:shd w:val="clear" w:color="000000" w:fill="FFFFFF"/>
            <w:noWrap/>
            <w:hideMark/>
          </w:tcPr>
          <w:p w14:paraId="05F22337"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10%</w:t>
            </w:r>
          </w:p>
        </w:tc>
        <w:tc>
          <w:tcPr>
            <w:tcW w:w="702" w:type="dxa"/>
            <w:tcBorders>
              <w:top w:val="nil"/>
              <w:left w:val="nil"/>
              <w:bottom w:val="nil"/>
              <w:right w:val="nil"/>
            </w:tcBorders>
            <w:shd w:val="clear" w:color="000000" w:fill="FFFFFF"/>
            <w:noWrap/>
            <w:hideMark/>
          </w:tcPr>
          <w:p w14:paraId="353DAF47"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26%</w:t>
            </w:r>
          </w:p>
        </w:tc>
        <w:tc>
          <w:tcPr>
            <w:tcW w:w="706" w:type="dxa"/>
            <w:tcBorders>
              <w:top w:val="nil"/>
              <w:left w:val="nil"/>
              <w:bottom w:val="nil"/>
              <w:right w:val="nil"/>
            </w:tcBorders>
            <w:shd w:val="clear" w:color="000000" w:fill="FFFFFF"/>
            <w:noWrap/>
            <w:hideMark/>
          </w:tcPr>
          <w:p w14:paraId="1A7A0411"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3%</w:t>
            </w:r>
          </w:p>
        </w:tc>
        <w:tc>
          <w:tcPr>
            <w:tcW w:w="730" w:type="dxa"/>
            <w:tcBorders>
              <w:top w:val="nil"/>
              <w:left w:val="nil"/>
              <w:bottom w:val="nil"/>
              <w:right w:val="nil"/>
            </w:tcBorders>
            <w:shd w:val="clear" w:color="000000" w:fill="FFFFFF"/>
            <w:noWrap/>
            <w:hideMark/>
          </w:tcPr>
          <w:p w14:paraId="55FAB633"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61%</w:t>
            </w:r>
          </w:p>
        </w:tc>
        <w:tc>
          <w:tcPr>
            <w:tcW w:w="901" w:type="dxa"/>
            <w:tcBorders>
              <w:top w:val="nil"/>
              <w:left w:val="single" w:sz="4" w:space="0" w:color="auto"/>
              <w:bottom w:val="nil"/>
              <w:right w:val="nil"/>
            </w:tcBorders>
            <w:shd w:val="clear" w:color="000000" w:fill="FFFFFF"/>
            <w:noWrap/>
            <w:hideMark/>
          </w:tcPr>
          <w:p w14:paraId="0E2C9AF2"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5.24</w:t>
            </w:r>
          </w:p>
        </w:tc>
        <w:tc>
          <w:tcPr>
            <w:tcW w:w="702" w:type="dxa"/>
            <w:tcBorders>
              <w:top w:val="nil"/>
              <w:left w:val="nil"/>
              <w:bottom w:val="nil"/>
              <w:right w:val="nil"/>
            </w:tcBorders>
            <w:shd w:val="clear" w:color="000000" w:fill="FFFFFF"/>
            <w:noWrap/>
            <w:hideMark/>
          </w:tcPr>
          <w:p w14:paraId="6040F647"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 xml:space="preserve">35 </w:t>
            </w:r>
          </w:p>
        </w:tc>
      </w:tr>
      <w:tr w:rsidR="00532BC8" w:rsidRPr="00532BC8" w14:paraId="32C65A1E" w14:textId="77777777" w:rsidTr="00E22F35">
        <w:trPr>
          <w:trHeight w:hRule="exact" w:val="284"/>
        </w:trPr>
        <w:tc>
          <w:tcPr>
            <w:tcW w:w="660" w:type="dxa"/>
            <w:tcBorders>
              <w:top w:val="nil"/>
              <w:left w:val="nil"/>
              <w:bottom w:val="nil"/>
              <w:right w:val="nil"/>
            </w:tcBorders>
            <w:shd w:val="clear" w:color="000000" w:fill="FFFFFF"/>
            <w:noWrap/>
            <w:hideMark/>
          </w:tcPr>
          <w:p w14:paraId="0205C596"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No</w:t>
            </w:r>
          </w:p>
        </w:tc>
        <w:tc>
          <w:tcPr>
            <w:tcW w:w="758" w:type="dxa"/>
            <w:tcBorders>
              <w:top w:val="nil"/>
              <w:left w:val="nil"/>
              <w:bottom w:val="nil"/>
              <w:right w:val="nil"/>
            </w:tcBorders>
            <w:shd w:val="clear" w:color="000000" w:fill="FFFFFF"/>
            <w:noWrap/>
            <w:hideMark/>
          </w:tcPr>
          <w:p w14:paraId="3279CD6E"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20</w:t>
            </w:r>
          </w:p>
        </w:tc>
        <w:tc>
          <w:tcPr>
            <w:tcW w:w="605" w:type="dxa"/>
            <w:tcBorders>
              <w:top w:val="nil"/>
              <w:left w:val="nil"/>
              <w:bottom w:val="nil"/>
              <w:right w:val="nil"/>
            </w:tcBorders>
            <w:shd w:val="clear" w:color="000000" w:fill="FFFFFF"/>
            <w:noWrap/>
            <w:hideMark/>
          </w:tcPr>
          <w:p w14:paraId="05CAC8D0"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801A</w:t>
            </w:r>
          </w:p>
        </w:tc>
        <w:tc>
          <w:tcPr>
            <w:tcW w:w="5490" w:type="dxa"/>
            <w:gridSpan w:val="2"/>
            <w:tcBorders>
              <w:top w:val="nil"/>
              <w:left w:val="nil"/>
              <w:bottom w:val="nil"/>
              <w:right w:val="nil"/>
            </w:tcBorders>
            <w:shd w:val="clear" w:color="000000" w:fill="FFFFFF"/>
            <w:noWrap/>
            <w:hideMark/>
          </w:tcPr>
          <w:p w14:paraId="4F86817E"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OR Procedures Unrelated to Principal Diagnosis, Major Complexity</w:t>
            </w:r>
          </w:p>
        </w:tc>
        <w:tc>
          <w:tcPr>
            <w:tcW w:w="567" w:type="dxa"/>
            <w:tcBorders>
              <w:top w:val="nil"/>
              <w:left w:val="nil"/>
              <w:bottom w:val="nil"/>
              <w:right w:val="nil"/>
            </w:tcBorders>
            <w:shd w:val="clear" w:color="000000" w:fill="FFFFFF"/>
            <w:noWrap/>
            <w:hideMark/>
          </w:tcPr>
          <w:p w14:paraId="7622A5DF" w14:textId="0BDFFA70" w:rsidR="00532BC8" w:rsidRPr="00532BC8" w:rsidRDefault="00532BC8" w:rsidP="00532BC8">
            <w:pPr>
              <w:jc w:val="right"/>
              <w:rPr>
                <w:b/>
                <w:bCs/>
                <w:color w:val="000000"/>
                <w:sz w:val="14"/>
                <w:szCs w:val="14"/>
                <w:lang w:val="en-US" w:eastAsia="en-US"/>
              </w:rPr>
            </w:pPr>
            <w:r w:rsidRPr="00532BC8">
              <w:rPr>
                <w:b/>
                <w:bCs/>
                <w:color w:val="000000"/>
                <w:sz w:val="14"/>
                <w:szCs w:val="14"/>
                <w:lang w:val="en-US" w:eastAsia="en-US"/>
              </w:rPr>
              <w:t>5.03</w:t>
            </w:r>
          </w:p>
        </w:tc>
        <w:tc>
          <w:tcPr>
            <w:tcW w:w="839" w:type="dxa"/>
            <w:tcBorders>
              <w:top w:val="nil"/>
              <w:left w:val="nil"/>
              <w:bottom w:val="nil"/>
              <w:right w:val="nil"/>
            </w:tcBorders>
            <w:shd w:val="clear" w:color="000000" w:fill="FFFFFF"/>
            <w:noWrap/>
            <w:hideMark/>
          </w:tcPr>
          <w:p w14:paraId="2A4259D1" w14:textId="16D726F5" w:rsidR="00532BC8" w:rsidRPr="00532BC8" w:rsidRDefault="00532BC8" w:rsidP="00532BC8">
            <w:pPr>
              <w:jc w:val="right"/>
              <w:rPr>
                <w:color w:val="000000"/>
                <w:sz w:val="14"/>
                <w:szCs w:val="14"/>
                <w:lang w:val="en-US" w:eastAsia="en-US"/>
              </w:rPr>
            </w:pPr>
            <w:r w:rsidRPr="00532BC8">
              <w:rPr>
                <w:color w:val="000000"/>
                <w:sz w:val="14"/>
                <w:szCs w:val="14"/>
                <w:lang w:val="en-US" w:eastAsia="en-US"/>
              </w:rPr>
              <w:t>600</w:t>
            </w:r>
          </w:p>
        </w:tc>
        <w:tc>
          <w:tcPr>
            <w:tcW w:w="702" w:type="dxa"/>
            <w:tcBorders>
              <w:top w:val="nil"/>
              <w:left w:val="nil"/>
              <w:bottom w:val="nil"/>
              <w:right w:val="nil"/>
            </w:tcBorders>
            <w:shd w:val="clear" w:color="000000" w:fill="FFFFFF"/>
            <w:noWrap/>
            <w:hideMark/>
          </w:tcPr>
          <w:p w14:paraId="4E7C7FDD"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7.91</w:t>
            </w:r>
          </w:p>
        </w:tc>
        <w:tc>
          <w:tcPr>
            <w:tcW w:w="702" w:type="dxa"/>
            <w:tcBorders>
              <w:top w:val="nil"/>
              <w:left w:val="nil"/>
              <w:bottom w:val="nil"/>
              <w:right w:val="nil"/>
            </w:tcBorders>
            <w:shd w:val="clear" w:color="000000" w:fill="FFFFFF"/>
            <w:noWrap/>
            <w:hideMark/>
          </w:tcPr>
          <w:p w14:paraId="1942326E"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23.6</w:t>
            </w:r>
          </w:p>
        </w:tc>
        <w:tc>
          <w:tcPr>
            <w:tcW w:w="702" w:type="dxa"/>
            <w:tcBorders>
              <w:top w:val="nil"/>
              <w:left w:val="single" w:sz="4" w:space="0" w:color="000000"/>
              <w:bottom w:val="nil"/>
              <w:right w:val="nil"/>
            </w:tcBorders>
            <w:shd w:val="clear" w:color="000000" w:fill="FFFFFF"/>
            <w:noWrap/>
            <w:hideMark/>
          </w:tcPr>
          <w:p w14:paraId="1B956414"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10%</w:t>
            </w:r>
          </w:p>
        </w:tc>
        <w:tc>
          <w:tcPr>
            <w:tcW w:w="702" w:type="dxa"/>
            <w:tcBorders>
              <w:top w:val="nil"/>
              <w:left w:val="nil"/>
              <w:bottom w:val="nil"/>
              <w:right w:val="nil"/>
            </w:tcBorders>
            <w:shd w:val="clear" w:color="000000" w:fill="FFFFFF"/>
            <w:noWrap/>
            <w:hideMark/>
          </w:tcPr>
          <w:p w14:paraId="4D2D1CFF"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16%</w:t>
            </w:r>
          </w:p>
        </w:tc>
        <w:tc>
          <w:tcPr>
            <w:tcW w:w="706" w:type="dxa"/>
            <w:tcBorders>
              <w:top w:val="nil"/>
              <w:left w:val="nil"/>
              <w:bottom w:val="nil"/>
              <w:right w:val="nil"/>
            </w:tcBorders>
            <w:shd w:val="clear" w:color="000000" w:fill="FFFFFF"/>
            <w:noWrap/>
            <w:hideMark/>
          </w:tcPr>
          <w:p w14:paraId="56BE3249"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11%</w:t>
            </w:r>
          </w:p>
        </w:tc>
        <w:tc>
          <w:tcPr>
            <w:tcW w:w="730" w:type="dxa"/>
            <w:tcBorders>
              <w:top w:val="nil"/>
              <w:left w:val="nil"/>
              <w:bottom w:val="nil"/>
              <w:right w:val="nil"/>
            </w:tcBorders>
            <w:shd w:val="clear" w:color="000000" w:fill="FFFFFF"/>
            <w:noWrap/>
            <w:hideMark/>
          </w:tcPr>
          <w:p w14:paraId="599BF794"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64%</w:t>
            </w:r>
          </w:p>
        </w:tc>
        <w:tc>
          <w:tcPr>
            <w:tcW w:w="901" w:type="dxa"/>
            <w:tcBorders>
              <w:top w:val="nil"/>
              <w:left w:val="single" w:sz="4" w:space="0" w:color="auto"/>
              <w:bottom w:val="nil"/>
              <w:right w:val="nil"/>
            </w:tcBorders>
            <w:shd w:val="clear" w:color="000000" w:fill="FFFFFF"/>
            <w:noWrap/>
            <w:hideMark/>
          </w:tcPr>
          <w:p w14:paraId="4F75D988"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5.73</w:t>
            </w:r>
          </w:p>
        </w:tc>
        <w:tc>
          <w:tcPr>
            <w:tcW w:w="702" w:type="dxa"/>
            <w:tcBorders>
              <w:top w:val="nil"/>
              <w:left w:val="nil"/>
              <w:bottom w:val="nil"/>
              <w:right w:val="nil"/>
            </w:tcBorders>
            <w:shd w:val="clear" w:color="000000" w:fill="FFFFFF"/>
            <w:noWrap/>
            <w:hideMark/>
          </w:tcPr>
          <w:p w14:paraId="77271E67"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 xml:space="preserve">23 </w:t>
            </w:r>
          </w:p>
        </w:tc>
      </w:tr>
      <w:tr w:rsidR="00532BC8" w:rsidRPr="00532BC8" w14:paraId="3C089142" w14:textId="77777777" w:rsidTr="008C0756">
        <w:trPr>
          <w:trHeight w:val="243"/>
        </w:trPr>
        <w:tc>
          <w:tcPr>
            <w:tcW w:w="660" w:type="dxa"/>
            <w:tcBorders>
              <w:top w:val="single" w:sz="4" w:space="0" w:color="auto"/>
              <w:left w:val="nil"/>
              <w:bottom w:val="nil"/>
              <w:right w:val="nil"/>
            </w:tcBorders>
            <w:shd w:val="clear" w:color="000000" w:fill="FFFFFF"/>
            <w:noWrap/>
            <w:hideMark/>
          </w:tcPr>
          <w:p w14:paraId="7E7BFEBF"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9</w:t>
            </w:r>
          </w:p>
        </w:tc>
        <w:tc>
          <w:tcPr>
            <w:tcW w:w="758" w:type="dxa"/>
            <w:tcBorders>
              <w:top w:val="single" w:sz="4" w:space="0" w:color="auto"/>
              <w:left w:val="nil"/>
              <w:bottom w:val="nil"/>
              <w:right w:val="nil"/>
            </w:tcBorders>
            <w:shd w:val="clear" w:color="000000" w:fill="FFFFFF"/>
            <w:noWrap/>
            <w:hideMark/>
          </w:tcPr>
          <w:p w14:paraId="75E8DB05" w14:textId="77777777" w:rsidR="00532BC8" w:rsidRPr="00532BC8" w:rsidRDefault="00532BC8" w:rsidP="00A66B65">
            <w:pPr>
              <w:spacing w:after="0"/>
              <w:jc w:val="right"/>
              <w:rPr>
                <w:color w:val="000000"/>
                <w:sz w:val="14"/>
                <w:szCs w:val="14"/>
                <w:lang w:val="en-US" w:eastAsia="en-US"/>
              </w:rPr>
            </w:pPr>
            <w:r w:rsidRPr="00532BC8">
              <w:rPr>
                <w:color w:val="000000"/>
                <w:sz w:val="14"/>
                <w:szCs w:val="14"/>
                <w:lang w:val="en-US" w:eastAsia="en-US"/>
              </w:rPr>
              <w:t> </w:t>
            </w:r>
          </w:p>
        </w:tc>
        <w:tc>
          <w:tcPr>
            <w:tcW w:w="5787" w:type="dxa"/>
            <w:gridSpan w:val="2"/>
            <w:tcBorders>
              <w:top w:val="single" w:sz="4" w:space="0" w:color="auto"/>
              <w:left w:val="nil"/>
              <w:bottom w:val="nil"/>
              <w:right w:val="nil"/>
            </w:tcBorders>
            <w:shd w:val="clear" w:color="000000" w:fill="FFFFFF"/>
            <w:noWrap/>
            <w:hideMark/>
          </w:tcPr>
          <w:p w14:paraId="012755EB" w14:textId="77777777" w:rsidR="00532BC8" w:rsidRPr="00532BC8" w:rsidRDefault="00532BC8" w:rsidP="00A66B65">
            <w:pPr>
              <w:spacing w:after="0"/>
              <w:rPr>
                <w:b/>
                <w:bCs/>
                <w:color w:val="000000"/>
                <w:sz w:val="14"/>
                <w:szCs w:val="14"/>
                <w:lang w:val="en-US" w:eastAsia="en-US"/>
              </w:rPr>
            </w:pPr>
            <w:r w:rsidRPr="00532BC8">
              <w:rPr>
                <w:b/>
                <w:bCs/>
                <w:color w:val="000000"/>
                <w:sz w:val="14"/>
                <w:szCs w:val="14"/>
                <w:lang w:val="en-US" w:eastAsia="en-US"/>
              </w:rPr>
              <w:t>Sub-total, top 20 highest miscellaneous cost-weight DRGs</w:t>
            </w:r>
          </w:p>
        </w:tc>
        <w:tc>
          <w:tcPr>
            <w:tcW w:w="875" w:type="dxa"/>
            <w:gridSpan w:val="2"/>
            <w:tcBorders>
              <w:top w:val="single" w:sz="4" w:space="0" w:color="auto"/>
              <w:left w:val="nil"/>
              <w:bottom w:val="nil"/>
              <w:right w:val="nil"/>
            </w:tcBorders>
            <w:shd w:val="clear" w:color="000000" w:fill="FFFFFF"/>
            <w:noWrap/>
            <w:hideMark/>
          </w:tcPr>
          <w:p w14:paraId="5D17B8AA" w14:textId="77777777" w:rsidR="00532BC8" w:rsidRPr="00532BC8" w:rsidRDefault="00532BC8" w:rsidP="00532BC8">
            <w:pPr>
              <w:jc w:val="right"/>
              <w:rPr>
                <w:b/>
                <w:bCs/>
                <w:color w:val="000000"/>
                <w:sz w:val="14"/>
                <w:szCs w:val="14"/>
                <w:lang w:val="en-US" w:eastAsia="en-US"/>
              </w:rPr>
            </w:pPr>
            <w:r w:rsidRPr="00532BC8">
              <w:rPr>
                <w:b/>
                <w:bCs/>
                <w:color w:val="000000"/>
                <w:sz w:val="14"/>
                <w:szCs w:val="14"/>
                <w:lang w:val="en-US" w:eastAsia="en-US"/>
              </w:rPr>
              <w:t>6.13</w:t>
            </w:r>
          </w:p>
        </w:tc>
        <w:tc>
          <w:tcPr>
            <w:tcW w:w="839" w:type="dxa"/>
            <w:tcBorders>
              <w:top w:val="single" w:sz="4" w:space="0" w:color="auto"/>
              <w:left w:val="nil"/>
              <w:bottom w:val="nil"/>
              <w:right w:val="nil"/>
            </w:tcBorders>
            <w:shd w:val="clear" w:color="000000" w:fill="FFFFFF"/>
            <w:noWrap/>
            <w:hideMark/>
          </w:tcPr>
          <w:p w14:paraId="7214369C" w14:textId="5B46FB20" w:rsidR="00532BC8" w:rsidRPr="00532BC8" w:rsidRDefault="00532BC8" w:rsidP="00532BC8">
            <w:pPr>
              <w:jc w:val="right"/>
              <w:rPr>
                <w:b/>
                <w:bCs/>
                <w:color w:val="000000"/>
                <w:sz w:val="14"/>
                <w:szCs w:val="14"/>
                <w:lang w:val="en-US" w:eastAsia="en-US"/>
              </w:rPr>
            </w:pPr>
            <w:r w:rsidRPr="00532BC8">
              <w:rPr>
                <w:b/>
                <w:bCs/>
                <w:color w:val="000000"/>
                <w:sz w:val="14"/>
                <w:szCs w:val="14"/>
                <w:lang w:val="en-US" w:eastAsia="en-US"/>
              </w:rPr>
              <w:t>5,034</w:t>
            </w:r>
          </w:p>
        </w:tc>
        <w:tc>
          <w:tcPr>
            <w:tcW w:w="702" w:type="dxa"/>
            <w:tcBorders>
              <w:top w:val="single" w:sz="4" w:space="0" w:color="auto"/>
              <w:left w:val="nil"/>
              <w:bottom w:val="nil"/>
              <w:right w:val="nil"/>
            </w:tcBorders>
            <w:shd w:val="clear" w:color="000000" w:fill="FFFFFF"/>
            <w:noWrap/>
            <w:hideMark/>
          </w:tcPr>
          <w:p w14:paraId="0C7FF6B6" w14:textId="77777777" w:rsidR="00532BC8" w:rsidRPr="00532BC8" w:rsidRDefault="00532BC8" w:rsidP="00532BC8">
            <w:pPr>
              <w:jc w:val="right"/>
              <w:rPr>
                <w:b/>
                <w:bCs/>
                <w:color w:val="000000"/>
                <w:sz w:val="14"/>
                <w:szCs w:val="14"/>
                <w:lang w:val="en-US" w:eastAsia="en-US"/>
              </w:rPr>
            </w:pPr>
            <w:r w:rsidRPr="00532BC8">
              <w:rPr>
                <w:b/>
                <w:bCs/>
                <w:color w:val="000000"/>
                <w:sz w:val="14"/>
                <w:szCs w:val="14"/>
                <w:lang w:val="en-US" w:eastAsia="en-US"/>
              </w:rPr>
              <w:t>12.33</w:t>
            </w:r>
          </w:p>
        </w:tc>
        <w:tc>
          <w:tcPr>
            <w:tcW w:w="702" w:type="dxa"/>
            <w:tcBorders>
              <w:top w:val="single" w:sz="4" w:space="0" w:color="auto"/>
              <w:left w:val="nil"/>
              <w:bottom w:val="nil"/>
              <w:right w:val="nil"/>
            </w:tcBorders>
            <w:shd w:val="clear" w:color="000000" w:fill="FFFFFF"/>
            <w:noWrap/>
            <w:hideMark/>
          </w:tcPr>
          <w:p w14:paraId="2428574C" w14:textId="77777777" w:rsidR="00532BC8" w:rsidRPr="00532BC8" w:rsidRDefault="00532BC8" w:rsidP="00532BC8">
            <w:pPr>
              <w:jc w:val="right"/>
              <w:rPr>
                <w:b/>
                <w:bCs/>
                <w:color w:val="000000"/>
                <w:sz w:val="14"/>
                <w:szCs w:val="14"/>
                <w:lang w:val="en-US" w:eastAsia="en-US"/>
              </w:rPr>
            </w:pPr>
            <w:r w:rsidRPr="00532BC8">
              <w:rPr>
                <w:b/>
                <w:bCs/>
                <w:color w:val="000000"/>
                <w:sz w:val="14"/>
                <w:szCs w:val="14"/>
                <w:lang w:val="en-US" w:eastAsia="en-US"/>
              </w:rPr>
              <w:t>27.2</w:t>
            </w:r>
          </w:p>
        </w:tc>
        <w:tc>
          <w:tcPr>
            <w:tcW w:w="702" w:type="dxa"/>
            <w:tcBorders>
              <w:top w:val="single" w:sz="4" w:space="0" w:color="auto"/>
              <w:left w:val="single" w:sz="4" w:space="0" w:color="000000"/>
              <w:bottom w:val="nil"/>
              <w:right w:val="nil"/>
            </w:tcBorders>
            <w:shd w:val="clear" w:color="000000" w:fill="FFFFFF"/>
            <w:noWrap/>
            <w:hideMark/>
          </w:tcPr>
          <w:p w14:paraId="3AA9B469"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10%</w:t>
            </w:r>
          </w:p>
        </w:tc>
        <w:tc>
          <w:tcPr>
            <w:tcW w:w="702" w:type="dxa"/>
            <w:tcBorders>
              <w:top w:val="single" w:sz="4" w:space="0" w:color="auto"/>
              <w:left w:val="nil"/>
              <w:bottom w:val="nil"/>
              <w:right w:val="nil"/>
            </w:tcBorders>
            <w:shd w:val="clear" w:color="000000" w:fill="FFFFFF"/>
            <w:noWrap/>
            <w:hideMark/>
          </w:tcPr>
          <w:p w14:paraId="1B7AE3A8"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32%</w:t>
            </w:r>
          </w:p>
        </w:tc>
        <w:tc>
          <w:tcPr>
            <w:tcW w:w="706" w:type="dxa"/>
            <w:tcBorders>
              <w:top w:val="single" w:sz="4" w:space="0" w:color="auto"/>
              <w:left w:val="nil"/>
              <w:bottom w:val="nil"/>
              <w:right w:val="nil"/>
            </w:tcBorders>
            <w:shd w:val="clear" w:color="000000" w:fill="FFFFFF"/>
            <w:noWrap/>
            <w:hideMark/>
          </w:tcPr>
          <w:p w14:paraId="547C70C2"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8%</w:t>
            </w:r>
          </w:p>
        </w:tc>
        <w:tc>
          <w:tcPr>
            <w:tcW w:w="730" w:type="dxa"/>
            <w:tcBorders>
              <w:top w:val="single" w:sz="4" w:space="0" w:color="auto"/>
              <w:left w:val="nil"/>
              <w:bottom w:val="nil"/>
              <w:right w:val="nil"/>
            </w:tcBorders>
            <w:shd w:val="clear" w:color="000000" w:fill="FFFFFF"/>
            <w:noWrap/>
            <w:hideMark/>
          </w:tcPr>
          <w:p w14:paraId="44FE9C51" w14:textId="77777777" w:rsidR="00532BC8" w:rsidRPr="00532BC8" w:rsidRDefault="00532BC8" w:rsidP="00532BC8">
            <w:pPr>
              <w:jc w:val="right"/>
              <w:rPr>
                <w:color w:val="000000"/>
                <w:sz w:val="14"/>
                <w:szCs w:val="14"/>
                <w:lang w:val="en-US" w:eastAsia="en-US"/>
              </w:rPr>
            </w:pPr>
            <w:r w:rsidRPr="00532BC8">
              <w:rPr>
                <w:color w:val="000000"/>
                <w:sz w:val="14"/>
                <w:szCs w:val="14"/>
                <w:lang w:val="en-US" w:eastAsia="en-US"/>
              </w:rPr>
              <w:t>50%</w:t>
            </w:r>
          </w:p>
        </w:tc>
        <w:tc>
          <w:tcPr>
            <w:tcW w:w="901" w:type="dxa"/>
            <w:tcBorders>
              <w:top w:val="single" w:sz="4" w:space="0" w:color="auto"/>
              <w:left w:val="single" w:sz="4" w:space="0" w:color="auto"/>
              <w:bottom w:val="nil"/>
              <w:right w:val="nil"/>
            </w:tcBorders>
            <w:shd w:val="clear" w:color="000000" w:fill="FFFFFF"/>
            <w:noWrap/>
            <w:hideMark/>
          </w:tcPr>
          <w:p w14:paraId="76BFA118" w14:textId="77777777" w:rsidR="00532BC8" w:rsidRPr="00532BC8" w:rsidRDefault="00532BC8" w:rsidP="00532BC8">
            <w:pPr>
              <w:rPr>
                <w:b/>
                <w:bCs/>
                <w:color w:val="000000"/>
                <w:sz w:val="14"/>
                <w:szCs w:val="14"/>
                <w:lang w:val="en-US" w:eastAsia="en-US"/>
              </w:rPr>
            </w:pPr>
            <w:r w:rsidRPr="00532BC8">
              <w:rPr>
                <w:b/>
                <w:bCs/>
                <w:color w:val="000000"/>
                <w:sz w:val="14"/>
                <w:szCs w:val="14"/>
                <w:lang w:val="en-US" w:eastAsia="en-US"/>
              </w:rPr>
              <w:t> </w:t>
            </w:r>
          </w:p>
        </w:tc>
        <w:tc>
          <w:tcPr>
            <w:tcW w:w="702" w:type="dxa"/>
            <w:tcBorders>
              <w:top w:val="single" w:sz="4" w:space="0" w:color="auto"/>
              <w:left w:val="nil"/>
              <w:bottom w:val="nil"/>
              <w:right w:val="nil"/>
            </w:tcBorders>
            <w:shd w:val="clear" w:color="000000" w:fill="FFFFFF"/>
            <w:noWrap/>
            <w:hideMark/>
          </w:tcPr>
          <w:p w14:paraId="30941579" w14:textId="77777777" w:rsidR="00532BC8" w:rsidRPr="00532BC8" w:rsidRDefault="00532BC8" w:rsidP="00532BC8">
            <w:pPr>
              <w:rPr>
                <w:b/>
                <w:bCs/>
                <w:color w:val="000000"/>
                <w:sz w:val="14"/>
                <w:szCs w:val="14"/>
                <w:lang w:val="en-US" w:eastAsia="en-US"/>
              </w:rPr>
            </w:pPr>
            <w:r w:rsidRPr="00532BC8">
              <w:rPr>
                <w:b/>
                <w:bCs/>
                <w:color w:val="000000"/>
                <w:sz w:val="14"/>
                <w:szCs w:val="14"/>
                <w:lang w:val="en-US" w:eastAsia="en-US"/>
              </w:rPr>
              <w:t> </w:t>
            </w:r>
          </w:p>
        </w:tc>
      </w:tr>
      <w:tr w:rsidR="00A66B65" w:rsidRPr="00532BC8" w14:paraId="4459083B" w14:textId="77777777" w:rsidTr="008C0756">
        <w:trPr>
          <w:trHeight w:val="243"/>
        </w:trPr>
        <w:tc>
          <w:tcPr>
            <w:tcW w:w="660" w:type="dxa"/>
            <w:tcBorders>
              <w:top w:val="nil"/>
              <w:left w:val="nil"/>
              <w:bottom w:val="nil"/>
              <w:right w:val="nil"/>
            </w:tcBorders>
            <w:shd w:val="clear" w:color="000000" w:fill="FFFFFF"/>
            <w:noWrap/>
            <w:hideMark/>
          </w:tcPr>
          <w:p w14:paraId="2FB963B3" w14:textId="77777777" w:rsidR="00A66B65" w:rsidRPr="00532BC8" w:rsidRDefault="00A66B65" w:rsidP="00532BC8">
            <w:pPr>
              <w:jc w:val="center"/>
              <w:rPr>
                <w:color w:val="000000"/>
                <w:sz w:val="14"/>
                <w:szCs w:val="14"/>
                <w:lang w:val="en-US" w:eastAsia="en-US"/>
              </w:rPr>
            </w:pPr>
            <w:r w:rsidRPr="00532BC8">
              <w:rPr>
                <w:color w:val="000000"/>
                <w:sz w:val="14"/>
                <w:szCs w:val="14"/>
                <w:lang w:val="en-US" w:eastAsia="en-US"/>
              </w:rPr>
              <w:t xml:space="preserve">in </w:t>
            </w:r>
          </w:p>
        </w:tc>
        <w:tc>
          <w:tcPr>
            <w:tcW w:w="758" w:type="dxa"/>
            <w:tcBorders>
              <w:top w:val="nil"/>
              <w:left w:val="nil"/>
              <w:bottom w:val="nil"/>
              <w:right w:val="nil"/>
            </w:tcBorders>
            <w:shd w:val="clear" w:color="000000" w:fill="FFFFFF"/>
            <w:noWrap/>
            <w:hideMark/>
          </w:tcPr>
          <w:p w14:paraId="763291E1" w14:textId="77777777" w:rsidR="00A66B65" w:rsidRPr="00532BC8" w:rsidRDefault="00A66B65" w:rsidP="00A66B65">
            <w:pPr>
              <w:spacing w:after="0"/>
              <w:jc w:val="right"/>
              <w:rPr>
                <w:color w:val="000000"/>
                <w:sz w:val="14"/>
                <w:szCs w:val="14"/>
                <w:lang w:val="en-US" w:eastAsia="en-US"/>
              </w:rPr>
            </w:pPr>
            <w:r w:rsidRPr="00532BC8">
              <w:rPr>
                <w:color w:val="000000"/>
                <w:sz w:val="14"/>
                <w:szCs w:val="14"/>
                <w:lang w:val="en-US" w:eastAsia="en-US"/>
              </w:rPr>
              <w:t> </w:t>
            </w:r>
          </w:p>
        </w:tc>
        <w:tc>
          <w:tcPr>
            <w:tcW w:w="5787" w:type="dxa"/>
            <w:gridSpan w:val="2"/>
            <w:tcBorders>
              <w:top w:val="nil"/>
              <w:left w:val="nil"/>
              <w:bottom w:val="nil"/>
              <w:right w:val="nil"/>
            </w:tcBorders>
            <w:shd w:val="clear" w:color="000000" w:fill="FFFFFF"/>
            <w:noWrap/>
            <w:hideMark/>
          </w:tcPr>
          <w:p w14:paraId="3D30D692" w14:textId="22CB2258" w:rsidR="00A66B65" w:rsidRPr="00A66B65" w:rsidRDefault="00A66B65" w:rsidP="00A66B65">
            <w:pPr>
              <w:spacing w:after="0"/>
              <w:rPr>
                <w:b/>
                <w:bCs/>
                <w:color w:val="000000"/>
                <w:sz w:val="14"/>
                <w:szCs w:val="14"/>
                <w:lang w:val="en-US" w:eastAsia="en-US"/>
              </w:rPr>
            </w:pPr>
            <w:r w:rsidRPr="00532BC8">
              <w:rPr>
                <w:b/>
                <w:bCs/>
                <w:color w:val="000000"/>
                <w:sz w:val="14"/>
                <w:szCs w:val="14"/>
                <w:lang w:val="en-US" w:eastAsia="en-US"/>
              </w:rPr>
              <w:t>All DRGs</w:t>
            </w:r>
          </w:p>
        </w:tc>
        <w:tc>
          <w:tcPr>
            <w:tcW w:w="875" w:type="dxa"/>
            <w:gridSpan w:val="2"/>
            <w:tcBorders>
              <w:top w:val="nil"/>
              <w:left w:val="nil"/>
              <w:bottom w:val="nil"/>
              <w:right w:val="nil"/>
            </w:tcBorders>
            <w:shd w:val="clear" w:color="000000" w:fill="FFFFFF"/>
            <w:noWrap/>
            <w:hideMark/>
          </w:tcPr>
          <w:p w14:paraId="15A46E04" w14:textId="77777777" w:rsidR="00A66B65" w:rsidRPr="00532BC8" w:rsidRDefault="00A66B65" w:rsidP="00532BC8">
            <w:pPr>
              <w:jc w:val="right"/>
              <w:rPr>
                <w:b/>
                <w:bCs/>
                <w:color w:val="000000"/>
                <w:sz w:val="14"/>
                <w:szCs w:val="14"/>
                <w:lang w:val="en-US" w:eastAsia="en-US"/>
              </w:rPr>
            </w:pPr>
            <w:r w:rsidRPr="00532BC8">
              <w:rPr>
                <w:b/>
                <w:bCs/>
                <w:color w:val="000000"/>
                <w:sz w:val="14"/>
                <w:szCs w:val="14"/>
                <w:lang w:val="en-US" w:eastAsia="en-US"/>
              </w:rPr>
              <w:t>0.48</w:t>
            </w:r>
          </w:p>
        </w:tc>
        <w:tc>
          <w:tcPr>
            <w:tcW w:w="839" w:type="dxa"/>
            <w:tcBorders>
              <w:top w:val="nil"/>
              <w:left w:val="nil"/>
              <w:bottom w:val="nil"/>
              <w:right w:val="nil"/>
            </w:tcBorders>
            <w:shd w:val="clear" w:color="000000" w:fill="FFFFFF"/>
            <w:noWrap/>
            <w:hideMark/>
          </w:tcPr>
          <w:p w14:paraId="601D5429" w14:textId="077D0072" w:rsidR="00A66B65" w:rsidRPr="00532BC8" w:rsidRDefault="00A66B65" w:rsidP="00532BC8">
            <w:pPr>
              <w:jc w:val="right"/>
              <w:rPr>
                <w:b/>
                <w:bCs/>
                <w:color w:val="000000"/>
                <w:sz w:val="14"/>
                <w:szCs w:val="14"/>
                <w:lang w:val="en-US" w:eastAsia="en-US"/>
              </w:rPr>
            </w:pPr>
            <w:r w:rsidRPr="00532BC8">
              <w:rPr>
                <w:b/>
                <w:bCs/>
                <w:color w:val="000000"/>
                <w:sz w:val="14"/>
                <w:szCs w:val="14"/>
                <w:lang w:val="en-US" w:eastAsia="en-US"/>
              </w:rPr>
              <w:t>3,051,681</w:t>
            </w:r>
          </w:p>
        </w:tc>
        <w:tc>
          <w:tcPr>
            <w:tcW w:w="702" w:type="dxa"/>
            <w:tcBorders>
              <w:top w:val="nil"/>
              <w:left w:val="nil"/>
              <w:bottom w:val="nil"/>
              <w:right w:val="nil"/>
            </w:tcBorders>
            <w:shd w:val="clear" w:color="000000" w:fill="FFFFFF"/>
            <w:noWrap/>
            <w:hideMark/>
          </w:tcPr>
          <w:p w14:paraId="60329863" w14:textId="5F4FD3A4" w:rsidR="00A66B65" w:rsidRPr="00532BC8" w:rsidRDefault="00A66B65" w:rsidP="00532BC8">
            <w:pPr>
              <w:jc w:val="right"/>
              <w:rPr>
                <w:b/>
                <w:bCs/>
                <w:color w:val="000000"/>
                <w:sz w:val="14"/>
                <w:szCs w:val="14"/>
                <w:lang w:val="en-US" w:eastAsia="en-US"/>
              </w:rPr>
            </w:pPr>
            <w:r w:rsidRPr="00532BC8">
              <w:rPr>
                <w:b/>
                <w:bCs/>
                <w:color w:val="000000"/>
                <w:sz w:val="14"/>
                <w:szCs w:val="14"/>
                <w:lang w:val="en-US" w:eastAsia="en-US"/>
              </w:rPr>
              <w:t>1.00</w:t>
            </w:r>
          </w:p>
        </w:tc>
        <w:tc>
          <w:tcPr>
            <w:tcW w:w="702" w:type="dxa"/>
            <w:tcBorders>
              <w:top w:val="nil"/>
              <w:left w:val="nil"/>
              <w:bottom w:val="nil"/>
              <w:right w:val="nil"/>
            </w:tcBorders>
            <w:shd w:val="clear" w:color="000000" w:fill="FFFFFF"/>
            <w:noWrap/>
            <w:hideMark/>
          </w:tcPr>
          <w:p w14:paraId="100CF299" w14:textId="77777777" w:rsidR="00A66B65" w:rsidRPr="00532BC8" w:rsidRDefault="00A66B65" w:rsidP="00532BC8">
            <w:pPr>
              <w:jc w:val="right"/>
              <w:rPr>
                <w:b/>
                <w:bCs/>
                <w:color w:val="000000"/>
                <w:sz w:val="14"/>
                <w:szCs w:val="14"/>
                <w:lang w:val="en-US" w:eastAsia="en-US"/>
              </w:rPr>
            </w:pPr>
            <w:r w:rsidRPr="00532BC8">
              <w:rPr>
                <w:b/>
                <w:bCs/>
                <w:color w:val="000000"/>
                <w:sz w:val="14"/>
                <w:szCs w:val="14"/>
                <w:lang w:val="en-US" w:eastAsia="en-US"/>
              </w:rPr>
              <w:t>2.3</w:t>
            </w:r>
          </w:p>
        </w:tc>
        <w:tc>
          <w:tcPr>
            <w:tcW w:w="702" w:type="dxa"/>
            <w:tcBorders>
              <w:top w:val="nil"/>
              <w:left w:val="single" w:sz="4" w:space="0" w:color="000000"/>
              <w:bottom w:val="nil"/>
              <w:right w:val="nil"/>
            </w:tcBorders>
            <w:shd w:val="clear" w:color="000000" w:fill="FFFFFF"/>
            <w:noWrap/>
            <w:hideMark/>
          </w:tcPr>
          <w:p w14:paraId="5BC388E2" w14:textId="77777777" w:rsidR="00A66B65" w:rsidRPr="00532BC8" w:rsidRDefault="00A66B65" w:rsidP="00532BC8">
            <w:pPr>
              <w:jc w:val="right"/>
              <w:rPr>
                <w:color w:val="000000"/>
                <w:sz w:val="14"/>
                <w:szCs w:val="14"/>
                <w:lang w:val="en-US" w:eastAsia="en-US"/>
              </w:rPr>
            </w:pPr>
            <w:r w:rsidRPr="00532BC8">
              <w:rPr>
                <w:color w:val="000000"/>
                <w:sz w:val="14"/>
                <w:szCs w:val="14"/>
                <w:lang w:val="en-US" w:eastAsia="en-US"/>
              </w:rPr>
              <w:t>26%</w:t>
            </w:r>
          </w:p>
        </w:tc>
        <w:tc>
          <w:tcPr>
            <w:tcW w:w="702" w:type="dxa"/>
            <w:tcBorders>
              <w:top w:val="nil"/>
              <w:left w:val="nil"/>
              <w:bottom w:val="nil"/>
              <w:right w:val="nil"/>
            </w:tcBorders>
            <w:shd w:val="clear" w:color="000000" w:fill="FFFFFF"/>
            <w:noWrap/>
            <w:hideMark/>
          </w:tcPr>
          <w:p w14:paraId="776733DE" w14:textId="77777777" w:rsidR="00A66B65" w:rsidRPr="00532BC8" w:rsidRDefault="00A66B65" w:rsidP="00532BC8">
            <w:pPr>
              <w:jc w:val="right"/>
              <w:rPr>
                <w:color w:val="000000"/>
                <w:sz w:val="14"/>
                <w:szCs w:val="14"/>
                <w:lang w:val="en-US" w:eastAsia="en-US"/>
              </w:rPr>
            </w:pPr>
            <w:r w:rsidRPr="00532BC8">
              <w:rPr>
                <w:color w:val="000000"/>
                <w:sz w:val="14"/>
                <w:szCs w:val="14"/>
                <w:lang w:val="en-US" w:eastAsia="en-US"/>
              </w:rPr>
              <w:t>6%</w:t>
            </w:r>
          </w:p>
        </w:tc>
        <w:tc>
          <w:tcPr>
            <w:tcW w:w="706" w:type="dxa"/>
            <w:tcBorders>
              <w:top w:val="nil"/>
              <w:left w:val="nil"/>
              <w:bottom w:val="nil"/>
              <w:right w:val="nil"/>
            </w:tcBorders>
            <w:shd w:val="clear" w:color="000000" w:fill="FFFFFF"/>
            <w:noWrap/>
            <w:hideMark/>
          </w:tcPr>
          <w:p w14:paraId="4D3DCFD2" w14:textId="77777777" w:rsidR="00A66B65" w:rsidRPr="00532BC8" w:rsidRDefault="00A66B65" w:rsidP="00532BC8">
            <w:pPr>
              <w:jc w:val="right"/>
              <w:rPr>
                <w:color w:val="000000"/>
                <w:sz w:val="14"/>
                <w:szCs w:val="14"/>
                <w:lang w:val="en-US" w:eastAsia="en-US"/>
              </w:rPr>
            </w:pPr>
            <w:r w:rsidRPr="00532BC8">
              <w:rPr>
                <w:color w:val="000000"/>
                <w:sz w:val="14"/>
                <w:szCs w:val="14"/>
                <w:lang w:val="en-US" w:eastAsia="en-US"/>
              </w:rPr>
              <w:t>19%</w:t>
            </w:r>
          </w:p>
        </w:tc>
        <w:tc>
          <w:tcPr>
            <w:tcW w:w="730" w:type="dxa"/>
            <w:tcBorders>
              <w:top w:val="nil"/>
              <w:left w:val="nil"/>
              <w:bottom w:val="nil"/>
              <w:right w:val="nil"/>
            </w:tcBorders>
            <w:shd w:val="clear" w:color="000000" w:fill="FFFFFF"/>
            <w:noWrap/>
            <w:hideMark/>
          </w:tcPr>
          <w:p w14:paraId="575A9503" w14:textId="77777777" w:rsidR="00A66B65" w:rsidRPr="00532BC8" w:rsidRDefault="00A66B65" w:rsidP="00532BC8">
            <w:pPr>
              <w:jc w:val="right"/>
              <w:rPr>
                <w:color w:val="000000"/>
                <w:sz w:val="14"/>
                <w:szCs w:val="14"/>
                <w:lang w:val="en-US" w:eastAsia="en-US"/>
              </w:rPr>
            </w:pPr>
            <w:r w:rsidRPr="00532BC8">
              <w:rPr>
                <w:color w:val="000000"/>
                <w:sz w:val="14"/>
                <w:szCs w:val="14"/>
                <w:lang w:val="en-US" w:eastAsia="en-US"/>
              </w:rPr>
              <w:t>48%</w:t>
            </w:r>
          </w:p>
        </w:tc>
        <w:tc>
          <w:tcPr>
            <w:tcW w:w="901" w:type="dxa"/>
            <w:tcBorders>
              <w:top w:val="nil"/>
              <w:left w:val="single" w:sz="4" w:space="0" w:color="auto"/>
              <w:bottom w:val="nil"/>
              <w:right w:val="nil"/>
            </w:tcBorders>
            <w:shd w:val="clear" w:color="000000" w:fill="FFFFFF"/>
            <w:noWrap/>
            <w:hideMark/>
          </w:tcPr>
          <w:p w14:paraId="4913793E" w14:textId="77777777" w:rsidR="00A66B65" w:rsidRPr="00532BC8" w:rsidRDefault="00A66B65" w:rsidP="00532BC8">
            <w:pPr>
              <w:rPr>
                <w:b/>
                <w:bCs/>
                <w:color w:val="000000"/>
                <w:sz w:val="14"/>
                <w:szCs w:val="14"/>
                <w:lang w:val="en-US" w:eastAsia="en-US"/>
              </w:rPr>
            </w:pPr>
            <w:r w:rsidRPr="00532BC8">
              <w:rPr>
                <w:b/>
                <w:bCs/>
                <w:color w:val="000000"/>
                <w:sz w:val="14"/>
                <w:szCs w:val="14"/>
                <w:lang w:val="en-US" w:eastAsia="en-US"/>
              </w:rPr>
              <w:t> </w:t>
            </w:r>
          </w:p>
        </w:tc>
        <w:tc>
          <w:tcPr>
            <w:tcW w:w="702" w:type="dxa"/>
            <w:tcBorders>
              <w:top w:val="nil"/>
              <w:left w:val="nil"/>
              <w:bottom w:val="nil"/>
              <w:right w:val="nil"/>
            </w:tcBorders>
            <w:shd w:val="clear" w:color="000000" w:fill="FFFFFF"/>
            <w:noWrap/>
            <w:hideMark/>
          </w:tcPr>
          <w:p w14:paraId="0B1F219C" w14:textId="77777777" w:rsidR="00A66B65" w:rsidRPr="00532BC8" w:rsidRDefault="00A66B65" w:rsidP="00532BC8">
            <w:pPr>
              <w:rPr>
                <w:b/>
                <w:bCs/>
                <w:color w:val="000000"/>
                <w:sz w:val="14"/>
                <w:szCs w:val="14"/>
                <w:lang w:val="en-US" w:eastAsia="en-US"/>
              </w:rPr>
            </w:pPr>
            <w:r w:rsidRPr="00532BC8">
              <w:rPr>
                <w:b/>
                <w:bCs/>
                <w:color w:val="000000"/>
                <w:sz w:val="14"/>
                <w:szCs w:val="14"/>
                <w:lang w:val="en-US" w:eastAsia="en-US"/>
              </w:rPr>
              <w:t> </w:t>
            </w:r>
          </w:p>
        </w:tc>
      </w:tr>
      <w:tr w:rsidR="00532BC8" w:rsidRPr="00532BC8" w14:paraId="48425C5F" w14:textId="77777777" w:rsidTr="008C0756">
        <w:trPr>
          <w:trHeight w:val="243"/>
        </w:trPr>
        <w:tc>
          <w:tcPr>
            <w:tcW w:w="660" w:type="dxa"/>
            <w:tcBorders>
              <w:top w:val="nil"/>
              <w:left w:val="nil"/>
              <w:bottom w:val="single" w:sz="4" w:space="0" w:color="000000"/>
              <w:right w:val="nil"/>
            </w:tcBorders>
            <w:shd w:val="clear" w:color="000000" w:fill="FFFFFF"/>
            <w:noWrap/>
            <w:hideMark/>
          </w:tcPr>
          <w:p w14:paraId="269D9FDE" w14:textId="77777777" w:rsidR="00532BC8" w:rsidRPr="00532BC8" w:rsidRDefault="00532BC8" w:rsidP="00532BC8">
            <w:pPr>
              <w:jc w:val="center"/>
              <w:rPr>
                <w:color w:val="000000"/>
                <w:sz w:val="14"/>
                <w:szCs w:val="14"/>
                <w:lang w:val="en-US" w:eastAsia="en-US"/>
              </w:rPr>
            </w:pPr>
            <w:r w:rsidRPr="00532BC8">
              <w:rPr>
                <w:color w:val="000000"/>
                <w:sz w:val="14"/>
                <w:szCs w:val="14"/>
                <w:lang w:val="en-US" w:eastAsia="en-US"/>
              </w:rPr>
              <w:t>Top 20</w:t>
            </w:r>
          </w:p>
        </w:tc>
        <w:tc>
          <w:tcPr>
            <w:tcW w:w="758" w:type="dxa"/>
            <w:tcBorders>
              <w:top w:val="nil"/>
              <w:left w:val="nil"/>
              <w:bottom w:val="single" w:sz="4" w:space="0" w:color="000000"/>
              <w:right w:val="nil"/>
            </w:tcBorders>
            <w:shd w:val="clear" w:color="000000" w:fill="FFFFFF"/>
            <w:noWrap/>
            <w:hideMark/>
          </w:tcPr>
          <w:p w14:paraId="080AD8B9" w14:textId="77777777" w:rsidR="00532BC8" w:rsidRPr="00532BC8" w:rsidRDefault="00532BC8" w:rsidP="00A66B65">
            <w:pPr>
              <w:spacing w:after="0"/>
              <w:jc w:val="right"/>
              <w:rPr>
                <w:color w:val="000000"/>
                <w:sz w:val="14"/>
                <w:szCs w:val="14"/>
                <w:lang w:val="en-US" w:eastAsia="en-US"/>
              </w:rPr>
            </w:pPr>
            <w:r w:rsidRPr="00532BC8">
              <w:rPr>
                <w:color w:val="000000"/>
                <w:sz w:val="14"/>
                <w:szCs w:val="14"/>
                <w:lang w:val="en-US" w:eastAsia="en-US"/>
              </w:rPr>
              <w:t> </w:t>
            </w:r>
          </w:p>
        </w:tc>
        <w:tc>
          <w:tcPr>
            <w:tcW w:w="5787" w:type="dxa"/>
            <w:gridSpan w:val="2"/>
            <w:tcBorders>
              <w:top w:val="nil"/>
              <w:left w:val="nil"/>
              <w:bottom w:val="single" w:sz="4" w:space="0" w:color="000000"/>
              <w:right w:val="nil"/>
            </w:tcBorders>
            <w:shd w:val="clear" w:color="000000" w:fill="FFFFFF"/>
            <w:noWrap/>
            <w:hideMark/>
          </w:tcPr>
          <w:p w14:paraId="2328F937" w14:textId="77777777" w:rsidR="00532BC8" w:rsidRPr="00532BC8" w:rsidRDefault="00532BC8" w:rsidP="00A66B65">
            <w:pPr>
              <w:spacing w:after="0"/>
              <w:rPr>
                <w:b/>
                <w:bCs/>
                <w:color w:val="000000"/>
                <w:sz w:val="14"/>
                <w:szCs w:val="14"/>
                <w:lang w:val="en-US" w:eastAsia="en-US"/>
              </w:rPr>
            </w:pPr>
            <w:r w:rsidRPr="00532BC8">
              <w:rPr>
                <w:b/>
                <w:bCs/>
                <w:color w:val="000000"/>
                <w:sz w:val="14"/>
                <w:szCs w:val="14"/>
                <w:lang w:val="en-US" w:eastAsia="en-US"/>
              </w:rPr>
              <w:t>Top 20 Miscellaneous cost-weight DRGs, % of all DRGs</w:t>
            </w:r>
          </w:p>
        </w:tc>
        <w:tc>
          <w:tcPr>
            <w:tcW w:w="875" w:type="dxa"/>
            <w:gridSpan w:val="2"/>
            <w:tcBorders>
              <w:top w:val="nil"/>
              <w:left w:val="nil"/>
              <w:bottom w:val="single" w:sz="4" w:space="0" w:color="000000"/>
              <w:right w:val="nil"/>
            </w:tcBorders>
            <w:shd w:val="clear" w:color="000000" w:fill="FFFFFF"/>
            <w:noWrap/>
            <w:hideMark/>
          </w:tcPr>
          <w:p w14:paraId="75ED7BCF" w14:textId="77777777" w:rsidR="00532BC8" w:rsidRPr="00532BC8" w:rsidRDefault="00532BC8" w:rsidP="00532BC8">
            <w:pPr>
              <w:rPr>
                <w:b/>
                <w:bCs/>
                <w:color w:val="000000"/>
                <w:sz w:val="14"/>
                <w:szCs w:val="14"/>
                <w:lang w:val="en-US" w:eastAsia="en-US"/>
              </w:rPr>
            </w:pPr>
            <w:r w:rsidRPr="00532BC8">
              <w:rPr>
                <w:b/>
                <w:bCs/>
                <w:color w:val="000000"/>
                <w:sz w:val="14"/>
                <w:szCs w:val="14"/>
                <w:lang w:val="en-US" w:eastAsia="en-US"/>
              </w:rPr>
              <w:t> </w:t>
            </w:r>
          </w:p>
        </w:tc>
        <w:tc>
          <w:tcPr>
            <w:tcW w:w="839" w:type="dxa"/>
            <w:tcBorders>
              <w:top w:val="nil"/>
              <w:left w:val="nil"/>
              <w:bottom w:val="single" w:sz="4" w:space="0" w:color="000000"/>
              <w:right w:val="nil"/>
            </w:tcBorders>
            <w:shd w:val="clear" w:color="000000" w:fill="FFFFFF"/>
            <w:noWrap/>
            <w:hideMark/>
          </w:tcPr>
          <w:p w14:paraId="32B3A352" w14:textId="587A5D24" w:rsidR="00532BC8" w:rsidRPr="00532BC8" w:rsidRDefault="00532BC8" w:rsidP="00532BC8">
            <w:pPr>
              <w:jc w:val="right"/>
              <w:rPr>
                <w:b/>
                <w:bCs/>
                <w:color w:val="000000"/>
                <w:sz w:val="14"/>
                <w:szCs w:val="14"/>
                <w:lang w:val="en-US" w:eastAsia="en-US"/>
              </w:rPr>
            </w:pPr>
            <w:r w:rsidRPr="00532BC8">
              <w:rPr>
                <w:b/>
                <w:bCs/>
                <w:color w:val="000000"/>
                <w:sz w:val="14"/>
                <w:szCs w:val="14"/>
                <w:lang w:val="en-US" w:eastAsia="en-US"/>
              </w:rPr>
              <w:t>0.2%</w:t>
            </w:r>
          </w:p>
        </w:tc>
        <w:tc>
          <w:tcPr>
            <w:tcW w:w="702" w:type="dxa"/>
            <w:tcBorders>
              <w:top w:val="nil"/>
              <w:left w:val="nil"/>
              <w:bottom w:val="single" w:sz="4" w:space="0" w:color="000000"/>
              <w:right w:val="nil"/>
            </w:tcBorders>
            <w:shd w:val="clear" w:color="000000" w:fill="FFFFFF"/>
            <w:noWrap/>
            <w:hideMark/>
          </w:tcPr>
          <w:p w14:paraId="308D42A7" w14:textId="18835D68" w:rsidR="00532BC8" w:rsidRPr="00532BC8" w:rsidRDefault="00532BC8" w:rsidP="00532BC8">
            <w:pPr>
              <w:rPr>
                <w:color w:val="000000"/>
                <w:sz w:val="14"/>
                <w:szCs w:val="14"/>
                <w:lang w:val="en-US" w:eastAsia="en-US"/>
              </w:rPr>
            </w:pPr>
            <w:r w:rsidRPr="00532BC8">
              <w:rPr>
                <w:color w:val="000000"/>
                <w:sz w:val="14"/>
                <w:szCs w:val="14"/>
                <w:lang w:val="en-US" w:eastAsia="en-US"/>
              </w:rPr>
              <w:t> </w:t>
            </w:r>
          </w:p>
        </w:tc>
        <w:tc>
          <w:tcPr>
            <w:tcW w:w="702" w:type="dxa"/>
            <w:tcBorders>
              <w:top w:val="nil"/>
              <w:left w:val="nil"/>
              <w:bottom w:val="single" w:sz="4" w:space="0" w:color="000000"/>
              <w:right w:val="nil"/>
            </w:tcBorders>
            <w:shd w:val="clear" w:color="000000" w:fill="FFFFFF"/>
            <w:noWrap/>
            <w:hideMark/>
          </w:tcPr>
          <w:p w14:paraId="3642CD8C"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 </w:t>
            </w:r>
          </w:p>
        </w:tc>
        <w:tc>
          <w:tcPr>
            <w:tcW w:w="702" w:type="dxa"/>
            <w:tcBorders>
              <w:top w:val="nil"/>
              <w:left w:val="single" w:sz="4" w:space="0" w:color="000000"/>
              <w:bottom w:val="single" w:sz="4" w:space="0" w:color="000000"/>
              <w:right w:val="nil"/>
            </w:tcBorders>
            <w:shd w:val="clear" w:color="000000" w:fill="FFFFFF"/>
            <w:noWrap/>
            <w:hideMark/>
          </w:tcPr>
          <w:p w14:paraId="3BD43546"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 </w:t>
            </w:r>
          </w:p>
        </w:tc>
        <w:tc>
          <w:tcPr>
            <w:tcW w:w="702" w:type="dxa"/>
            <w:tcBorders>
              <w:top w:val="nil"/>
              <w:left w:val="nil"/>
              <w:bottom w:val="single" w:sz="4" w:space="0" w:color="000000"/>
              <w:right w:val="nil"/>
            </w:tcBorders>
            <w:shd w:val="clear" w:color="000000" w:fill="FFFFFF"/>
            <w:noWrap/>
            <w:hideMark/>
          </w:tcPr>
          <w:p w14:paraId="570C87DC"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 </w:t>
            </w:r>
          </w:p>
        </w:tc>
        <w:tc>
          <w:tcPr>
            <w:tcW w:w="706" w:type="dxa"/>
            <w:tcBorders>
              <w:top w:val="nil"/>
              <w:left w:val="nil"/>
              <w:bottom w:val="single" w:sz="4" w:space="0" w:color="000000"/>
              <w:right w:val="nil"/>
            </w:tcBorders>
            <w:shd w:val="clear" w:color="000000" w:fill="FFFFFF"/>
            <w:noWrap/>
            <w:hideMark/>
          </w:tcPr>
          <w:p w14:paraId="16C4DD10"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 </w:t>
            </w:r>
          </w:p>
        </w:tc>
        <w:tc>
          <w:tcPr>
            <w:tcW w:w="730" w:type="dxa"/>
            <w:tcBorders>
              <w:top w:val="nil"/>
              <w:left w:val="nil"/>
              <w:bottom w:val="single" w:sz="4" w:space="0" w:color="000000"/>
              <w:right w:val="nil"/>
            </w:tcBorders>
            <w:shd w:val="clear" w:color="000000" w:fill="FFFFFF"/>
            <w:noWrap/>
            <w:hideMark/>
          </w:tcPr>
          <w:p w14:paraId="196175FF"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 </w:t>
            </w:r>
          </w:p>
        </w:tc>
        <w:tc>
          <w:tcPr>
            <w:tcW w:w="901" w:type="dxa"/>
            <w:tcBorders>
              <w:top w:val="nil"/>
              <w:left w:val="single" w:sz="4" w:space="0" w:color="auto"/>
              <w:bottom w:val="single" w:sz="4" w:space="0" w:color="auto"/>
              <w:right w:val="nil"/>
            </w:tcBorders>
            <w:shd w:val="clear" w:color="000000" w:fill="FFFFFF"/>
            <w:noWrap/>
            <w:hideMark/>
          </w:tcPr>
          <w:p w14:paraId="4AF8808B"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 </w:t>
            </w:r>
          </w:p>
        </w:tc>
        <w:tc>
          <w:tcPr>
            <w:tcW w:w="702" w:type="dxa"/>
            <w:tcBorders>
              <w:top w:val="nil"/>
              <w:left w:val="nil"/>
              <w:bottom w:val="single" w:sz="4" w:space="0" w:color="auto"/>
              <w:right w:val="nil"/>
            </w:tcBorders>
            <w:shd w:val="clear" w:color="000000" w:fill="FFFFFF"/>
            <w:noWrap/>
            <w:hideMark/>
          </w:tcPr>
          <w:p w14:paraId="3A682438" w14:textId="77777777" w:rsidR="00532BC8" w:rsidRPr="00532BC8" w:rsidRDefault="00532BC8" w:rsidP="00532BC8">
            <w:pPr>
              <w:rPr>
                <w:color w:val="000000"/>
                <w:sz w:val="14"/>
                <w:szCs w:val="14"/>
                <w:lang w:val="en-US" w:eastAsia="en-US"/>
              </w:rPr>
            </w:pPr>
            <w:r w:rsidRPr="00532BC8">
              <w:rPr>
                <w:color w:val="000000"/>
                <w:sz w:val="14"/>
                <w:szCs w:val="14"/>
                <w:lang w:val="en-US" w:eastAsia="en-US"/>
              </w:rPr>
              <w:t> </w:t>
            </w:r>
          </w:p>
        </w:tc>
      </w:tr>
    </w:tbl>
    <w:p w14:paraId="3A3B8216" w14:textId="0474020C" w:rsidR="00A24567" w:rsidRPr="00272A9E" w:rsidRDefault="00A24567" w:rsidP="00A24567">
      <w:pPr>
        <w:rPr>
          <w:rFonts w:asciiTheme="minorHAnsi" w:hAnsiTheme="minorHAnsi" w:cstheme="minorHAnsi"/>
          <w:color w:val="008A00" w:themeColor="accent2"/>
          <w:sz w:val="16"/>
        </w:rPr>
      </w:pPr>
      <w:r w:rsidRPr="00272A9E">
        <w:rPr>
          <w:rFonts w:asciiTheme="minorHAnsi" w:hAnsiTheme="minorHAnsi" w:cstheme="minorHAnsi"/>
          <w:color w:val="008A00" w:themeColor="accent2"/>
          <w:sz w:val="16"/>
        </w:rPr>
        <w:t>Notes</w:t>
      </w:r>
      <w:r w:rsidRPr="00272A9E">
        <w:rPr>
          <w:rFonts w:asciiTheme="minorHAnsi" w:hAnsiTheme="minorHAnsi" w:cstheme="minorHAnsi"/>
          <w:color w:val="008A00" w:themeColor="accent2"/>
          <w:sz w:val="16"/>
        </w:rPr>
        <w:tab/>
      </w:r>
      <w:r w:rsidRPr="00272A9E">
        <w:rPr>
          <w:rFonts w:asciiTheme="minorHAnsi" w:hAnsiTheme="minorHAnsi" w:cstheme="minorHAnsi"/>
          <w:color w:val="008A00" w:themeColor="accent2"/>
          <w:sz w:val="16"/>
        </w:rPr>
        <w:tab/>
      </w:r>
    </w:p>
    <w:p w14:paraId="17FA618F" w14:textId="454B4055" w:rsidR="00A24567" w:rsidRPr="00272A9E" w:rsidRDefault="00A24567" w:rsidP="00476F62">
      <w:pPr>
        <w:spacing w:after="0"/>
        <w:rPr>
          <w:rFonts w:asciiTheme="minorHAnsi" w:hAnsiTheme="minorHAnsi" w:cstheme="minorHAnsi"/>
          <w:sz w:val="16"/>
        </w:rPr>
      </w:pPr>
      <w:r w:rsidRPr="00272A9E">
        <w:rPr>
          <w:rFonts w:asciiTheme="minorHAnsi" w:hAnsiTheme="minorHAnsi" w:cstheme="minorHAnsi"/>
          <w:sz w:val="16"/>
        </w:rPr>
        <w:t xml:space="preserve">(a) For cost weight (cost bucket specific) calculations please refer </w:t>
      </w:r>
      <w:r w:rsidR="00544B40" w:rsidRPr="00544B40">
        <w:rPr>
          <w:rFonts w:asciiTheme="minorHAnsi" w:hAnsiTheme="minorHAnsi" w:cstheme="minorHAnsi"/>
          <w:sz w:val="16"/>
        </w:rPr>
        <w:t>Appendix D: Cost weight tables by AR-DRG Version 8.0</w:t>
      </w:r>
      <w:r w:rsidR="00544B40" w:rsidRPr="00544B40">
        <w:rPr>
          <w:rFonts w:asciiTheme="minorHAnsi" w:hAnsiTheme="minorHAnsi" w:cstheme="minorHAnsi"/>
          <w:sz w:val="16"/>
        </w:rPr>
        <w:tab/>
      </w:r>
    </w:p>
    <w:p w14:paraId="7B7D5D13" w14:textId="4FADB354" w:rsidR="00A24567" w:rsidRPr="00272A9E" w:rsidRDefault="00A24567" w:rsidP="00A24567">
      <w:pPr>
        <w:pStyle w:val="Tablesheadings"/>
        <w:rPr>
          <w:rFonts w:asciiTheme="minorHAnsi" w:hAnsiTheme="minorHAnsi" w:cstheme="minorHAnsi"/>
          <w:b w:val="0"/>
          <w:color w:val="auto"/>
          <w:sz w:val="16"/>
        </w:rPr>
      </w:pPr>
      <w:bookmarkStart w:id="243" w:name="_Toc497332786"/>
      <w:bookmarkStart w:id="244" w:name="_Toc497332925"/>
      <w:bookmarkStart w:id="245" w:name="_Toc497486130"/>
      <w:bookmarkStart w:id="246" w:name="_Toc497488050"/>
      <w:r w:rsidRPr="00272A9E">
        <w:rPr>
          <w:rFonts w:asciiTheme="minorHAnsi" w:hAnsiTheme="minorHAnsi" w:cstheme="minorHAnsi"/>
          <w:b w:val="0"/>
          <w:color w:val="auto"/>
          <w:sz w:val="16"/>
        </w:rPr>
        <w:t>(b) Separations shown are strata weighted</w:t>
      </w:r>
      <w:bookmarkEnd w:id="243"/>
      <w:bookmarkEnd w:id="244"/>
      <w:bookmarkEnd w:id="245"/>
      <w:bookmarkEnd w:id="246"/>
      <w:r w:rsidRPr="00272A9E">
        <w:rPr>
          <w:rFonts w:asciiTheme="minorHAnsi" w:hAnsiTheme="minorHAnsi" w:cstheme="minorHAnsi"/>
          <w:b w:val="0"/>
          <w:color w:val="auto"/>
          <w:sz w:val="16"/>
        </w:rPr>
        <w:tab/>
      </w:r>
    </w:p>
    <w:p w14:paraId="13688F9A" w14:textId="77777777" w:rsidR="00A24567" w:rsidRPr="00272A9E" w:rsidRDefault="00A24567" w:rsidP="00A24567">
      <w:pPr>
        <w:pStyle w:val="Tablesheadings"/>
        <w:rPr>
          <w:rFonts w:asciiTheme="minorHAnsi" w:hAnsiTheme="minorHAnsi" w:cstheme="minorHAnsi"/>
          <w:b w:val="0"/>
          <w:color w:val="auto"/>
          <w:sz w:val="16"/>
        </w:rPr>
      </w:pPr>
      <w:bookmarkStart w:id="247" w:name="_Toc497332787"/>
      <w:bookmarkStart w:id="248" w:name="_Toc497332926"/>
      <w:bookmarkStart w:id="249" w:name="_Toc497486131"/>
      <w:bookmarkStart w:id="250" w:name="_Toc497488051"/>
      <w:r w:rsidRPr="00272A9E">
        <w:rPr>
          <w:rFonts w:asciiTheme="minorHAnsi" w:hAnsiTheme="minorHAnsi" w:cstheme="minorHAnsi"/>
          <w:b w:val="0"/>
          <w:color w:val="auto"/>
          <w:sz w:val="16"/>
        </w:rPr>
        <w:t xml:space="preserve">(c) DRG-rank for cost weight across all cost buckets. </w:t>
      </w:r>
      <w:proofErr w:type="gramStart"/>
      <w:r w:rsidRPr="00272A9E">
        <w:rPr>
          <w:rFonts w:asciiTheme="minorHAnsi" w:hAnsiTheme="minorHAnsi" w:cstheme="minorHAnsi"/>
          <w:b w:val="0"/>
          <w:color w:val="auto"/>
          <w:sz w:val="16"/>
        </w:rPr>
        <w:t>A rank of 1 means that the DRG has the highest cost weight.</w:t>
      </w:r>
      <w:bookmarkEnd w:id="247"/>
      <w:bookmarkEnd w:id="248"/>
      <w:bookmarkEnd w:id="249"/>
      <w:bookmarkEnd w:id="250"/>
      <w:proofErr w:type="gramEnd"/>
      <w:r w:rsidRPr="00272A9E">
        <w:rPr>
          <w:rFonts w:asciiTheme="minorHAnsi" w:hAnsiTheme="minorHAnsi" w:cstheme="minorHAnsi"/>
          <w:b w:val="0"/>
          <w:color w:val="auto"/>
          <w:sz w:val="16"/>
        </w:rPr>
        <w:t xml:space="preserve"> </w:t>
      </w:r>
      <w:r w:rsidRPr="00272A9E">
        <w:rPr>
          <w:rFonts w:asciiTheme="minorHAnsi" w:hAnsiTheme="minorHAnsi" w:cstheme="minorHAnsi"/>
          <w:b w:val="0"/>
          <w:color w:val="auto"/>
          <w:sz w:val="16"/>
        </w:rPr>
        <w:tab/>
      </w:r>
    </w:p>
    <w:p w14:paraId="40098BB6" w14:textId="77777777" w:rsidR="00971F62" w:rsidRDefault="00A24567" w:rsidP="00A24567">
      <w:pPr>
        <w:tabs>
          <w:tab w:val="left" w:pos="2448"/>
        </w:tabs>
        <w:rPr>
          <w:rFonts w:asciiTheme="minorHAnsi" w:hAnsiTheme="minorHAnsi" w:cstheme="minorHAnsi"/>
          <w:sz w:val="16"/>
        </w:rPr>
        <w:sectPr w:rsidR="00971F62" w:rsidSect="00E22F35">
          <w:pgSz w:w="16840" w:h="11907" w:orient="landscape" w:code="9"/>
          <w:pgMar w:top="1702" w:right="1843" w:bottom="1276" w:left="993" w:header="680" w:footer="510" w:gutter="0"/>
          <w:cols w:space="708"/>
          <w:docGrid w:linePitch="360"/>
        </w:sectPr>
      </w:pPr>
      <w:r w:rsidRPr="00532BC8">
        <w:rPr>
          <w:rFonts w:asciiTheme="minorHAnsi" w:hAnsiTheme="minorHAnsi" w:cstheme="minorHAnsi"/>
          <w:sz w:val="16"/>
        </w:rPr>
        <w:t xml:space="preserve">(d) </w:t>
      </w:r>
      <w:proofErr w:type="spellStart"/>
      <w:r w:rsidRPr="00532BC8">
        <w:rPr>
          <w:rFonts w:asciiTheme="minorHAnsi" w:hAnsiTheme="minorHAnsi" w:cstheme="minorHAnsi"/>
          <w:sz w:val="16"/>
        </w:rPr>
        <w:t>AL</w:t>
      </w:r>
      <w:r w:rsidR="00971F62">
        <w:rPr>
          <w:rFonts w:asciiTheme="minorHAnsi" w:hAnsiTheme="minorHAnsi" w:cstheme="minorHAnsi"/>
          <w:sz w:val="16"/>
        </w:rPr>
        <w:t>oS</w:t>
      </w:r>
      <w:proofErr w:type="spellEnd"/>
      <w:r w:rsidR="00971F62">
        <w:rPr>
          <w:rFonts w:asciiTheme="minorHAnsi" w:hAnsiTheme="minorHAnsi" w:cstheme="minorHAnsi"/>
          <w:sz w:val="16"/>
        </w:rPr>
        <w:t xml:space="preserve"> means average length of stay</w:t>
      </w:r>
    </w:p>
    <w:p w14:paraId="188B52A3" w14:textId="3D30FFFE" w:rsidR="00EE275B" w:rsidRDefault="00EE275B" w:rsidP="00F40C87">
      <w:pPr>
        <w:pStyle w:val="Heading1"/>
        <w:numPr>
          <w:ilvl w:val="0"/>
          <w:numId w:val="0"/>
        </w:numPr>
        <w:rPr>
          <w:rFonts w:ascii="Georgia" w:hAnsi="Georgia"/>
          <w:sz w:val="56"/>
          <w:szCs w:val="20"/>
        </w:rPr>
      </w:pPr>
      <w:bookmarkStart w:id="251" w:name="_Toc435611231"/>
      <w:bookmarkStart w:id="252" w:name="_Ref430348512"/>
      <w:bookmarkStart w:id="253" w:name="_Ref430347712"/>
      <w:bookmarkStart w:id="254" w:name="_Ref430159724"/>
      <w:bookmarkStart w:id="255" w:name="_Toc430010944"/>
      <w:bookmarkStart w:id="256" w:name="_Ref401135795"/>
      <w:bookmarkStart w:id="257" w:name="_Ref401135794"/>
      <w:bookmarkStart w:id="258" w:name="_Toc496857588"/>
      <w:bookmarkStart w:id="259" w:name="_Ref497410571"/>
      <w:bookmarkStart w:id="260" w:name="_Toc497750213"/>
      <w:bookmarkEnd w:id="113"/>
      <w:r>
        <w:lastRenderedPageBreak/>
        <w:t>Appendix A: Analysis performed to determine the minimum sample size</w:t>
      </w:r>
      <w:bookmarkEnd w:id="251"/>
      <w:bookmarkEnd w:id="252"/>
      <w:bookmarkEnd w:id="253"/>
      <w:bookmarkEnd w:id="254"/>
      <w:bookmarkEnd w:id="255"/>
      <w:bookmarkEnd w:id="256"/>
      <w:bookmarkEnd w:id="257"/>
      <w:bookmarkEnd w:id="258"/>
      <w:bookmarkEnd w:id="259"/>
      <w:bookmarkEnd w:id="260"/>
    </w:p>
    <w:p w14:paraId="33EE08E3" w14:textId="77777777" w:rsidR="00EE275B" w:rsidRPr="00951E08" w:rsidRDefault="00EE275B" w:rsidP="00951E08">
      <w:pPr>
        <w:pStyle w:val="Intro"/>
        <w:rPr>
          <w:b/>
        </w:rPr>
      </w:pPr>
      <w:r w:rsidRPr="00951E08">
        <w:rPr>
          <w:b/>
        </w:rPr>
        <w:t>Background</w:t>
      </w:r>
    </w:p>
    <w:p w14:paraId="4DD7C5DB" w14:textId="77777777" w:rsidR="00EE275B" w:rsidRPr="00951E08" w:rsidRDefault="00EE275B" w:rsidP="00951E08">
      <w:r>
        <w:t>In September 2012 IHPA engaged PwC to review the methodology for calculating the minimum sample size to have a valid and reliable private sector NHCDC collection.  This review was requested by the Private sector to ensure the validity and reliability of the collection.</w:t>
      </w:r>
    </w:p>
    <w:p w14:paraId="50AD0FA8" w14:textId="15252914" w:rsidR="00E7439E" w:rsidRDefault="00EE275B" w:rsidP="00951E08">
      <w:r w:rsidRPr="00951E08">
        <w:t xml:space="preserve">The calculations were based on data received from IHPA, the </w:t>
      </w:r>
      <w:proofErr w:type="spellStart"/>
      <w:r w:rsidRPr="00951E08">
        <w:t>DoH</w:t>
      </w:r>
      <w:proofErr w:type="spellEnd"/>
      <w:r w:rsidRPr="00951E08">
        <w:t xml:space="preserve"> and PHDB to determine the number of separations, number of hospitals and number of hospital groups required to participate. </w:t>
      </w:r>
    </w:p>
    <w:p w14:paraId="26325AC6" w14:textId="77777777" w:rsidR="00EE275B" w:rsidRPr="00E70D09" w:rsidRDefault="00EE275B" w:rsidP="00951E08">
      <w:pPr>
        <w:pStyle w:val="Intro"/>
        <w:rPr>
          <w:b/>
        </w:rPr>
      </w:pPr>
      <w:r w:rsidRPr="00E70D09">
        <w:rPr>
          <w:b/>
        </w:rPr>
        <w:t>The outcome</w:t>
      </w:r>
    </w:p>
    <w:p w14:paraId="74D129E7" w14:textId="77777777" w:rsidR="00EE275B" w:rsidRPr="00EE42F8" w:rsidRDefault="00EE275B" w:rsidP="002C440C">
      <w:r w:rsidRPr="00EE42F8">
        <w:t>The conclusion of this re-evaluation based on 2012 data was:</w:t>
      </w:r>
    </w:p>
    <w:p w14:paraId="17418A2B" w14:textId="56750431" w:rsidR="00EE275B" w:rsidRPr="0065448B" w:rsidRDefault="004647EB" w:rsidP="0065448B">
      <w:pPr>
        <w:pStyle w:val="ListBullet"/>
      </w:pPr>
      <w:r w:rsidRPr="0065448B">
        <w:t>Approximately 60 per cent</w:t>
      </w:r>
      <w:r w:rsidR="00EE275B" w:rsidRPr="0065448B">
        <w:t xml:space="preserve"> of all separations are required in order to achieve a 95</w:t>
      </w:r>
      <w:r w:rsidRPr="0065448B">
        <w:t xml:space="preserve"> per cent</w:t>
      </w:r>
      <w:r w:rsidR="00EE275B" w:rsidRPr="0065448B">
        <w:t xml:space="preserve"> confidence level and 4</w:t>
      </w:r>
      <w:r w:rsidR="00E359A8">
        <w:t>.0</w:t>
      </w:r>
      <w:r w:rsidRPr="0065448B">
        <w:t xml:space="preserve"> per cent</w:t>
      </w:r>
      <w:r w:rsidR="00EE275B" w:rsidRPr="0065448B">
        <w:t xml:space="preserve"> acceptable margin of error. </w:t>
      </w:r>
    </w:p>
    <w:p w14:paraId="485E41DA" w14:textId="3B1B5A46" w:rsidR="00EE275B" w:rsidRPr="0065448B" w:rsidRDefault="00EE275B" w:rsidP="0065448B">
      <w:pPr>
        <w:pStyle w:val="ListBullet"/>
      </w:pPr>
      <w:r w:rsidRPr="0065448B">
        <w:t>The 95</w:t>
      </w:r>
      <w:r w:rsidR="004647EB" w:rsidRPr="0065448B">
        <w:t xml:space="preserve"> per cent</w:t>
      </w:r>
      <w:r w:rsidRPr="0065448B">
        <w:t xml:space="preserve"> confidence level and 4</w:t>
      </w:r>
      <w:r w:rsidR="00E359A8">
        <w:t>.0</w:t>
      </w:r>
      <w:r w:rsidR="004647EB" w:rsidRPr="0065448B">
        <w:t xml:space="preserve"> per cent</w:t>
      </w:r>
      <w:r w:rsidRPr="0065448B">
        <w:t xml:space="preserve"> margin of error parameters have been informed by considering participation levels in historic publications. </w:t>
      </w:r>
    </w:p>
    <w:p w14:paraId="1A3E77B3" w14:textId="6384B3A9" w:rsidR="00E7439E" w:rsidRPr="0065448B" w:rsidRDefault="00EE275B" w:rsidP="0065448B">
      <w:pPr>
        <w:pStyle w:val="ListBullet"/>
      </w:pPr>
      <w:r w:rsidRPr="0065448B">
        <w:t>The collection should include approximately 90 hospitals and 10 hospitals ‘groups’ (of 2 or more hospitals) to be representative.</w:t>
      </w:r>
    </w:p>
    <w:p w14:paraId="533A71D6" w14:textId="7511CE1E" w:rsidR="00423BB2" w:rsidRDefault="00EE275B" w:rsidP="00423BB2">
      <w:r w:rsidRPr="00EE42F8">
        <w:t>These minimum targets were used as</w:t>
      </w:r>
      <w:r w:rsidR="004647EB">
        <w:t xml:space="preserve"> criteria for the Round 20 collection</w:t>
      </w:r>
      <w:r w:rsidR="00423BB2">
        <w:t xml:space="preserve">. It should be noted that these criteria are based on 2012 data and no adjustments have been made to account for any significant sector or market changes for this Round 20 collection and associated reports. </w:t>
      </w:r>
    </w:p>
    <w:p w14:paraId="0862E480" w14:textId="0D593B35" w:rsidR="00423BB2" w:rsidRPr="00BF794D" w:rsidRDefault="00423BB2" w:rsidP="00BF794D">
      <w:r>
        <w:t>These minimum targets were used as the condition on which the previous rounds would go ahead.  For Round 20, IHPA targeted a select group of participants to provide self-costed data, changing the expectation that the minimum participation ra</w:t>
      </w:r>
      <w:r w:rsidR="00BF794D">
        <w:t xml:space="preserve">te of 60 per cent will be met. </w:t>
      </w:r>
    </w:p>
    <w:p w14:paraId="1B8C8548" w14:textId="6A8195F6" w:rsidR="00EE275B" w:rsidRPr="00E70D09" w:rsidRDefault="00EE275B" w:rsidP="00951E08">
      <w:pPr>
        <w:pStyle w:val="Intro"/>
        <w:rPr>
          <w:b/>
        </w:rPr>
      </w:pPr>
      <w:r w:rsidRPr="00E70D09">
        <w:rPr>
          <w:b/>
        </w:rPr>
        <w:t>Minimum participation levels</w:t>
      </w:r>
      <w:r w:rsidR="004647EB">
        <w:rPr>
          <w:b/>
        </w:rPr>
        <w:t xml:space="preserve"> based on 2012 data</w:t>
      </w:r>
    </w:p>
    <w:p w14:paraId="78E1D7B2" w14:textId="364525EA" w:rsidR="00EE275B" w:rsidRPr="00E70D09" w:rsidRDefault="004647EB" w:rsidP="002C440C">
      <w:pPr>
        <w:rPr>
          <w:i/>
          <w:lang w:eastAsia="en-US"/>
        </w:rPr>
      </w:pPr>
      <w:r>
        <w:rPr>
          <w:i/>
        </w:rPr>
        <w:t>Historical d</w:t>
      </w:r>
      <w:r w:rsidR="00EE275B" w:rsidRPr="00E70D09">
        <w:rPr>
          <w:i/>
        </w:rPr>
        <w:t>ata analysis used in determining the minimum participation levels</w:t>
      </w:r>
    </w:p>
    <w:p w14:paraId="2FC3BF14" w14:textId="74C20E09" w:rsidR="00E7439E" w:rsidRPr="00476F62" w:rsidRDefault="00EE275B" w:rsidP="002C440C">
      <w:r w:rsidRPr="00476F62">
        <w:t>The following datasets were received and reviewed:</w:t>
      </w:r>
    </w:p>
    <w:p w14:paraId="68D370EA" w14:textId="77777777" w:rsidR="00EE275B" w:rsidRPr="00476F62" w:rsidRDefault="00EE275B" w:rsidP="000C4242">
      <w:pPr>
        <w:pStyle w:val="ListParagraph"/>
        <w:numPr>
          <w:ilvl w:val="0"/>
          <w:numId w:val="9"/>
        </w:numPr>
      </w:pPr>
      <w:r w:rsidRPr="00476F62">
        <w:t>The published cost weight tables for Round 13;</w:t>
      </w:r>
    </w:p>
    <w:p w14:paraId="129F9D2C" w14:textId="02D9C7BC" w:rsidR="00EE275B" w:rsidRPr="00476F62" w:rsidRDefault="00EE275B" w:rsidP="000C4242">
      <w:pPr>
        <w:pStyle w:val="ListParagraph"/>
        <w:numPr>
          <w:ilvl w:val="0"/>
          <w:numId w:val="9"/>
        </w:numPr>
      </w:pPr>
      <w:r w:rsidRPr="00476F62">
        <w:t>A summary of the NHCDC sample for Round 13 a</w:t>
      </w:r>
      <w:r w:rsidR="004647EB">
        <w:t xml:space="preserve">nd Round 14, by hospital and </w:t>
      </w:r>
      <w:r w:rsidRPr="00476F62">
        <w:t>DRG, for the overnight sector;</w:t>
      </w:r>
    </w:p>
    <w:p w14:paraId="0386210F" w14:textId="516FADDA" w:rsidR="00E7439E" w:rsidRPr="00476F62" w:rsidRDefault="00EE275B" w:rsidP="000C4242">
      <w:pPr>
        <w:pStyle w:val="ListParagraph"/>
        <w:numPr>
          <w:ilvl w:val="0"/>
          <w:numId w:val="9"/>
        </w:numPr>
      </w:pPr>
      <w:r w:rsidRPr="00476F62">
        <w:t xml:space="preserve">From the </w:t>
      </w:r>
      <w:r w:rsidR="00135776">
        <w:t>PHDB</w:t>
      </w:r>
      <w:r w:rsidRPr="00476F62">
        <w:t xml:space="preserve"> dataset: a summary of the population levels of activity, showing the total number of separations by hospital in-scope for the collection (at least 200 separations), for Round 13 and Round 14, for the overnight sector;</w:t>
      </w:r>
    </w:p>
    <w:p w14:paraId="69E528DC" w14:textId="5D0FCB9C" w:rsidR="00EE275B" w:rsidRPr="00476F62" w:rsidRDefault="00EE275B" w:rsidP="000C4242">
      <w:pPr>
        <w:pStyle w:val="ListParagraph"/>
        <w:numPr>
          <w:ilvl w:val="0"/>
          <w:numId w:val="9"/>
        </w:numPr>
      </w:pPr>
      <w:r w:rsidRPr="00476F62">
        <w:lastRenderedPageBreak/>
        <w:t xml:space="preserve">From the PHDB dataset: a summary of the population levels of activity, </w:t>
      </w:r>
      <w:proofErr w:type="spellStart"/>
      <w:r w:rsidR="007C3059">
        <w:t>ALoS</w:t>
      </w:r>
      <w:proofErr w:type="spellEnd"/>
      <w:r w:rsidRPr="00476F62">
        <w:t xml:space="preserve">, and standard deviation of the </w:t>
      </w:r>
      <w:proofErr w:type="spellStart"/>
      <w:r w:rsidR="00D81F1E">
        <w:t>LoS</w:t>
      </w:r>
      <w:proofErr w:type="spellEnd"/>
      <w:r w:rsidR="004647EB">
        <w:t xml:space="preserve">, by hospital and </w:t>
      </w:r>
      <w:r w:rsidRPr="00476F62">
        <w:t>DRG, for all private hospitals, that is, for private overnight hospitals and private day hospitals.</w:t>
      </w:r>
    </w:p>
    <w:p w14:paraId="12735A8C" w14:textId="4202FD68" w:rsidR="00E7439E" w:rsidRPr="00476F62" w:rsidRDefault="00EE275B" w:rsidP="002C440C">
      <w:r w:rsidRPr="00476F62">
        <w:t xml:space="preserve">Item 1 above was obtained from the </w:t>
      </w:r>
      <w:proofErr w:type="spellStart"/>
      <w:r w:rsidR="00D81F1E">
        <w:t>DoH</w:t>
      </w:r>
      <w:proofErr w:type="spellEnd"/>
      <w:r w:rsidRPr="00476F62">
        <w:t xml:space="preserve"> website</w:t>
      </w:r>
      <w:r w:rsidRPr="00476F62">
        <w:rPr>
          <w:rStyle w:val="FootnoteReference"/>
          <w:rFonts w:ascii="Georgia" w:hAnsi="Georgia"/>
        </w:rPr>
        <w:footnoteReference w:id="10"/>
      </w:r>
      <w:r w:rsidRPr="00476F62">
        <w:t xml:space="preserve">. Items 2 and 3 above were provided by IHPA. Item 4 above was provided by </w:t>
      </w:r>
      <w:proofErr w:type="spellStart"/>
      <w:r w:rsidRPr="00476F62">
        <w:t>DoH</w:t>
      </w:r>
      <w:proofErr w:type="spellEnd"/>
      <w:r w:rsidRPr="00476F62">
        <w:t xml:space="preserve">. </w:t>
      </w:r>
    </w:p>
    <w:p w14:paraId="6E6566ED" w14:textId="1139B30E" w:rsidR="00E7439E" w:rsidRPr="00476F62" w:rsidRDefault="00EE275B" w:rsidP="002C440C">
      <w:r w:rsidRPr="00476F62">
        <w:t>In order for the NHCDC sample to be representative of the patient population and the population of private hospitals, minimum participation levels have been specified in terms of:</w:t>
      </w:r>
    </w:p>
    <w:p w14:paraId="432A8989" w14:textId="5138CAB6" w:rsidR="00E7439E" w:rsidRPr="00476F62" w:rsidRDefault="00EE275B" w:rsidP="000C4242">
      <w:pPr>
        <w:pStyle w:val="ListParagraph"/>
        <w:numPr>
          <w:ilvl w:val="0"/>
          <w:numId w:val="10"/>
        </w:numPr>
      </w:pPr>
      <w:r w:rsidRPr="00476F62">
        <w:t>Separation sample size expressed as a percentage of the population levels of activity, where “population” is defined as the total number of separations for hospitals in-scope for the collection. The minimum separation sample size considered to provide sufficient reliability consistent with common statistical practice and historical publication practices was based on the following parameters:</w:t>
      </w:r>
    </w:p>
    <w:p w14:paraId="7179BC4C" w14:textId="51ADACC3" w:rsidR="00EE275B" w:rsidRPr="00476F62" w:rsidRDefault="00EE275B" w:rsidP="000C4242">
      <w:pPr>
        <w:pStyle w:val="ListParagraph"/>
        <w:numPr>
          <w:ilvl w:val="0"/>
          <w:numId w:val="11"/>
        </w:numPr>
      </w:pPr>
      <w:r w:rsidRPr="00476F62">
        <w:t>Sta</w:t>
      </w:r>
      <w:r w:rsidR="00476F62">
        <w:t xml:space="preserve">ndard deviation of costs per </w:t>
      </w:r>
      <w:r w:rsidRPr="00476F62">
        <w:t>DRG;</w:t>
      </w:r>
    </w:p>
    <w:p w14:paraId="6639A8C4" w14:textId="28BFF1F2" w:rsidR="00EE275B" w:rsidRPr="00476F62" w:rsidRDefault="00EE275B" w:rsidP="000C4242">
      <w:pPr>
        <w:pStyle w:val="ListParagraph"/>
        <w:numPr>
          <w:ilvl w:val="0"/>
          <w:numId w:val="11"/>
        </w:numPr>
      </w:pPr>
      <w:r w:rsidRPr="00476F62">
        <w:t>Margin of error in th</w:t>
      </w:r>
      <w:r w:rsidR="00476F62">
        <w:t xml:space="preserve">e estimated average cost per </w:t>
      </w:r>
      <w:r w:rsidRPr="00476F62">
        <w:t>DRG; and</w:t>
      </w:r>
    </w:p>
    <w:p w14:paraId="51EB14ED" w14:textId="5919C304" w:rsidR="00E7439E" w:rsidRPr="00476F62" w:rsidRDefault="00EE275B" w:rsidP="000C4242">
      <w:pPr>
        <w:pStyle w:val="ListParagraph"/>
        <w:numPr>
          <w:ilvl w:val="0"/>
          <w:numId w:val="11"/>
        </w:numPr>
      </w:pPr>
      <w:r w:rsidRPr="00476F62">
        <w:t>Statistical confidence that the estimates fall within the specified margin of error.</w:t>
      </w:r>
    </w:p>
    <w:p w14:paraId="428E9EDD" w14:textId="666323BA" w:rsidR="00E7439E" w:rsidRPr="00476F62" w:rsidRDefault="00EE275B" w:rsidP="002C440C">
      <w:r w:rsidRPr="00476F62">
        <w:t>Parameters (b) and (c) above were informed by reviewing the minimum sample size considered robust enough for publication in the Round 7 to 13 collections and parameter (a) was derived from the Round 13 cost weights.</w:t>
      </w:r>
    </w:p>
    <w:p w14:paraId="4759217E" w14:textId="77777777" w:rsidR="00EE275B" w:rsidRPr="00476F62" w:rsidRDefault="00EE275B" w:rsidP="000C4242">
      <w:pPr>
        <w:pStyle w:val="ListParagraph"/>
        <w:numPr>
          <w:ilvl w:val="0"/>
          <w:numId w:val="10"/>
        </w:numPr>
      </w:pPr>
      <w:r w:rsidRPr="00476F62">
        <w:t xml:space="preserve">The minimum number of hospitals that are required to participate, in aggregate and by hospital characteristic, to ensure that the collection is representative of the population of private hospitals; and </w:t>
      </w:r>
    </w:p>
    <w:p w14:paraId="74716B29" w14:textId="36393BC0" w:rsidR="00E7439E" w:rsidRPr="00476F62" w:rsidRDefault="00EE275B" w:rsidP="000C4242">
      <w:pPr>
        <w:pStyle w:val="ListParagraph"/>
        <w:numPr>
          <w:ilvl w:val="0"/>
          <w:numId w:val="10"/>
        </w:numPr>
      </w:pPr>
      <w:r w:rsidRPr="00476F62">
        <w:t>The minimum number of hospital groups that are required to participate, to ensure that the results represent the population of private hospitals.</w:t>
      </w:r>
    </w:p>
    <w:p w14:paraId="1E579E9B" w14:textId="77777777" w:rsidR="00EE275B" w:rsidRPr="00553386" w:rsidRDefault="00EE275B" w:rsidP="00553386">
      <w:pPr>
        <w:pStyle w:val="Intro"/>
        <w:rPr>
          <w:b/>
        </w:rPr>
      </w:pPr>
      <w:r w:rsidRPr="00553386">
        <w:rPr>
          <w:b/>
        </w:rPr>
        <w:t>Percentage of population separations</w:t>
      </w:r>
    </w:p>
    <w:p w14:paraId="226C51D7" w14:textId="6AB68550" w:rsidR="00EE275B" w:rsidRDefault="00EE275B" w:rsidP="002C440C">
      <w:r>
        <w:t>A key objective of the collection is to produce estimated costs and cost-weights by classified activity. The percentage of population separations that is required in a sample depends upon the tolerable “margin of error”, statistical confidence</w:t>
      </w:r>
      <w:r>
        <w:rPr>
          <w:rStyle w:val="FootnoteReference"/>
          <w:rFonts w:ascii="Georgia" w:hAnsi="Georgia"/>
        </w:rPr>
        <w:footnoteReference w:id="11"/>
      </w:r>
      <w:r>
        <w:t xml:space="preserve"> required, and the standard deviation of costs.  To obtain an estimate of the ave</w:t>
      </w:r>
      <w:r w:rsidR="00476F62">
        <w:t xml:space="preserve">rage episode cost of a given </w:t>
      </w:r>
      <w:r>
        <w:t xml:space="preserve">DRG, say “k”, within a margin of error </w:t>
      </w:r>
      <w:r>
        <w:rPr>
          <w:i/>
        </w:rPr>
        <w:t>m</w:t>
      </w:r>
      <w:r>
        <w:t xml:space="preserve"> and with </w:t>
      </w:r>
      <w:r w:rsidR="00476F62">
        <w:rPr>
          <w:i/>
        </w:rPr>
        <w:t>x per cent</w:t>
      </w:r>
      <w:r>
        <w:t xml:space="preserve"> confidence, </w:t>
      </w:r>
      <w:r w:rsidR="00476F62">
        <w:t xml:space="preserve">the required sample size for </w:t>
      </w:r>
      <w:r>
        <w:t>DRG(k) is:</w:t>
      </w:r>
    </w:p>
    <w:p w14:paraId="308C5B0E" w14:textId="77777777" w:rsidR="00EE275B" w:rsidRDefault="00EE275B" w:rsidP="00EE275B">
      <w:pPr>
        <w:pStyle w:val="BodyText"/>
        <w:jc w:val="center"/>
      </w:pPr>
      <m:oMathPara>
        <m:oMathParaPr>
          <m:jc m:val="left"/>
        </m:oMathParaPr>
        <m:oMath>
          <m:r>
            <w:rPr>
              <w:rFonts w:ascii="Cambria Math" w:hAnsi="Cambria Math"/>
            </w:rPr>
            <m:t>sample size of AR-DRG</m:t>
          </m:r>
          <m:d>
            <m:dPr>
              <m:ctrlPr>
                <w:rPr>
                  <w:rFonts w:ascii="Cambria Math" w:hAnsi="Cambria Math"/>
                  <w:i/>
                </w:rPr>
              </m:ctrlPr>
            </m:dPr>
            <m:e>
              <m:r>
                <w:rPr>
                  <w:rFonts w:ascii="Cambria Math" w:hAnsi="Cambria Math"/>
                </w:rPr>
                <m:t>k</m:t>
              </m:r>
            </m:e>
          </m:d>
        </m:oMath>
      </m:oMathPara>
    </w:p>
    <w:p w14:paraId="138DF989" w14:textId="23C98A72" w:rsidR="00EE275B" w:rsidRDefault="00EE275B" w:rsidP="00EE275B">
      <w:pPr>
        <w:pStyle w:val="BodyText"/>
        <w:jc w:val="center"/>
        <w:rPr>
          <w:rFonts w:eastAsiaTheme="minorEastAsia"/>
        </w:rPr>
      </w:pPr>
      <m:oMathPara>
        <m:oMath>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Z-score of x</m:t>
                          </m:r>
                        </m:e>
                      </m:d>
                      <m:r>
                        <w:rPr>
                          <w:rFonts w:ascii="Cambria Math" w:hAnsi="Cambria Math"/>
                        </w:rPr>
                        <m:t>×(standard deviation of episode cost for DRG(k))</m:t>
                      </m:r>
                    </m:num>
                    <m:den>
                      <m:r>
                        <w:rPr>
                          <w:rFonts w:ascii="Cambria Math" w:hAnsi="Cambria Math"/>
                        </w:rPr>
                        <m:t>(margin of error m)</m:t>
                      </m:r>
                    </m:den>
                  </m:f>
                </m:e>
              </m:d>
            </m:e>
            <m:sup>
              <m:r>
                <w:rPr>
                  <w:rFonts w:ascii="Cambria Math" w:hAnsi="Cambria Math"/>
                </w:rPr>
                <m:t>2</m:t>
              </m:r>
            </m:sup>
          </m:sSup>
        </m:oMath>
      </m:oMathPara>
    </w:p>
    <w:p w14:paraId="3E28ECCB" w14:textId="73F9E8C2" w:rsidR="00E7439E" w:rsidRDefault="00EE275B" w:rsidP="002C440C">
      <w:r>
        <w:t xml:space="preserve">A dataset with a lower margin of error, higher statistical confidence, and higher standard deviation, will require a larger sample size. </w:t>
      </w:r>
      <w:r w:rsidR="00476F62">
        <w:t xml:space="preserve">The standard deviation of each </w:t>
      </w:r>
      <w:r>
        <w:t>DRG varies, and so the</w:t>
      </w:r>
      <w:r w:rsidR="00476F62">
        <w:t xml:space="preserve"> sample size required for each </w:t>
      </w:r>
      <w:r>
        <w:t>DRG (given the same parameters for error and confidence) will vary. However, given that the NHCDC collection is a voluntary one, it will be impossible to achieve target samples for each DRG. Hence, the sample sizes across all DRGs were aggregated. In performing this aggregation, two weighting methods were investigated:</w:t>
      </w:r>
    </w:p>
    <w:p w14:paraId="59C4B533" w14:textId="16A2859B" w:rsidR="00EE275B" w:rsidRDefault="00EE275B" w:rsidP="000C4242">
      <w:pPr>
        <w:pStyle w:val="ListParagraph"/>
        <w:numPr>
          <w:ilvl w:val="0"/>
          <w:numId w:val="12"/>
        </w:numPr>
      </w:pPr>
      <w:r>
        <w:lastRenderedPageBreak/>
        <w:t>Number of separations by DRG;</w:t>
      </w:r>
    </w:p>
    <w:p w14:paraId="43110CF9" w14:textId="1EE23231" w:rsidR="00E7439E" w:rsidRDefault="00476F62" w:rsidP="000C4242">
      <w:pPr>
        <w:pStyle w:val="ListParagraph"/>
        <w:numPr>
          <w:ilvl w:val="0"/>
          <w:numId w:val="12"/>
        </w:numPr>
      </w:pPr>
      <w:r>
        <w:t xml:space="preserve">Total cost by </w:t>
      </w:r>
      <w:r w:rsidR="00EE275B">
        <w:t>DRG (number of separations per</w:t>
      </w:r>
      <w:r>
        <w:t xml:space="preserve"> </w:t>
      </w:r>
      <w:r w:rsidR="00EE275B">
        <w:t>DRG multiplied by the average cost per</w:t>
      </w:r>
      <w:r>
        <w:t xml:space="preserve"> </w:t>
      </w:r>
      <w:r w:rsidR="00EE275B">
        <w:t>DRG).</w:t>
      </w:r>
    </w:p>
    <w:p w14:paraId="669D2A95" w14:textId="4FAF8AF7" w:rsidR="00423BB2" w:rsidRPr="0035218F" w:rsidRDefault="00423BB2" w:rsidP="00423BB2">
      <w:pPr>
        <w:pStyle w:val="Intro"/>
        <w:rPr>
          <w:b/>
        </w:rPr>
      </w:pPr>
      <w:r w:rsidRPr="0035218F">
        <w:rPr>
          <w:b/>
        </w:rPr>
        <w:t>Outcome of analysis</w:t>
      </w:r>
    </w:p>
    <w:p w14:paraId="77195E98" w14:textId="29F8DED5" w:rsidR="002C0A9D" w:rsidRDefault="00423BB2" w:rsidP="002C0A9D">
      <w:r w:rsidRPr="00423BB2">
        <w:t>Based on the above analysis, historically IHPA agreed that for the private overnight NHCDC the minimum target participation rate would be 60</w:t>
      </w:r>
      <w:r>
        <w:t xml:space="preserve"> per cent</w:t>
      </w:r>
      <w:r w:rsidRPr="00423BB2">
        <w:t xml:space="preserve"> in order to achieve a robust sample</w:t>
      </w:r>
      <w:r w:rsidRPr="00423BB2">
        <w:rPr>
          <w:rStyle w:val="FootnoteReference"/>
          <w:rFonts w:ascii="Georgia" w:hAnsi="Georgia"/>
        </w:rPr>
        <w:footnoteReference w:id="12"/>
      </w:r>
      <w:r w:rsidRPr="00423BB2">
        <w:t>.</w:t>
      </w:r>
      <w:r>
        <w:t xml:space="preserve"> For Round 20, the participation rate achieved </w:t>
      </w:r>
      <w:r w:rsidRPr="00EE42F8">
        <w:t>was 58</w:t>
      </w:r>
      <w:r>
        <w:t xml:space="preserve"> per cent</w:t>
      </w:r>
      <w:r w:rsidRPr="00EE42F8">
        <w:t>, 91 hospitals and 9 groups</w:t>
      </w:r>
      <w:r>
        <w:t>. IHPA agreed that this drop in participation rate means that the confidence level and margin of error has moved from 95 per cent confidence and 4</w:t>
      </w:r>
      <w:r w:rsidR="00401766">
        <w:t>.0</w:t>
      </w:r>
      <w:r>
        <w:t xml:space="preserve"> per cent margin of error to 85 per cent confidence and 3</w:t>
      </w:r>
      <w:r w:rsidR="00401766">
        <w:t>.0</w:t>
      </w:r>
      <w:r>
        <w:t xml:space="preserve"> p</w:t>
      </w:r>
      <w:r w:rsidR="00C416F7">
        <w:t xml:space="preserve">er cent margin of error as per </w:t>
      </w:r>
      <w:r w:rsidR="006654BA">
        <w:t>Table 14</w:t>
      </w:r>
      <w:r>
        <w:t xml:space="preserve"> </w:t>
      </w:r>
      <w:r w:rsidR="00C416F7">
        <w:t>below.</w:t>
      </w:r>
      <w:r w:rsidR="002C0A9D">
        <w:t xml:space="preserve">  This marginal decrease in participation rate is not expected to significantly impact the validity of the results.</w:t>
      </w:r>
    </w:p>
    <w:p w14:paraId="725F8B7A" w14:textId="237E7614" w:rsidR="00C416F7" w:rsidRDefault="006654BA" w:rsidP="006F21D0">
      <w:pPr>
        <w:pStyle w:val="TableHeadings3"/>
      </w:pPr>
      <w:bookmarkStart w:id="261" w:name="_Toc497486132"/>
      <w:bookmarkStart w:id="262" w:name="_Toc497488052"/>
      <w:bookmarkStart w:id="263" w:name="_Toc497750028"/>
      <w:r>
        <w:t>Table 14</w:t>
      </w:r>
      <w:r w:rsidR="00C416F7" w:rsidRPr="007E26E6">
        <w:t xml:space="preserve"> Round</w:t>
      </w:r>
      <w:r w:rsidR="00C416F7">
        <w:t xml:space="preserve"> 20 participation rate confidence level and margin of error.</w:t>
      </w:r>
      <w:bookmarkEnd w:id="261"/>
      <w:bookmarkEnd w:id="262"/>
      <w:bookmarkEnd w:id="263"/>
    </w:p>
    <w:tbl>
      <w:tblPr>
        <w:tblStyle w:val="PlainTable31"/>
        <w:tblW w:w="0" w:type="auto"/>
        <w:tblInd w:w="108" w:type="dxa"/>
        <w:tblLook w:val="04A0" w:firstRow="1" w:lastRow="0" w:firstColumn="1" w:lastColumn="0" w:noHBand="0" w:noVBand="1"/>
        <w:tblDescription w:val="This table presents the confidence level and margin of error that applies depending on the participation rate based on number of separations."/>
      </w:tblPr>
      <w:tblGrid>
        <w:gridCol w:w="1524"/>
        <w:gridCol w:w="842"/>
        <w:gridCol w:w="1045"/>
        <w:gridCol w:w="909"/>
        <w:gridCol w:w="908"/>
        <w:gridCol w:w="911"/>
      </w:tblGrid>
      <w:tr w:rsidR="0065448B" w:rsidRPr="00BF794D" w14:paraId="0285D70D" w14:textId="77777777" w:rsidTr="005C6364">
        <w:trPr>
          <w:cnfStyle w:val="100000000000" w:firstRow="1" w:lastRow="0" w:firstColumn="0" w:lastColumn="0" w:oddVBand="0" w:evenVBand="0" w:oddHBand="0" w:evenHBand="0" w:firstRowFirstColumn="0" w:firstRowLastColumn="0" w:lastRowFirstColumn="0" w:lastRowLastColumn="0"/>
          <w:trHeight w:val="261"/>
          <w:tblHeader/>
        </w:trPr>
        <w:tc>
          <w:tcPr>
            <w:cnfStyle w:val="001000000100" w:firstRow="0" w:lastRow="0" w:firstColumn="1" w:lastColumn="0" w:oddVBand="0" w:evenVBand="0" w:oddHBand="0" w:evenHBand="0" w:firstRowFirstColumn="1" w:firstRowLastColumn="0" w:lastRowFirstColumn="0" w:lastRowLastColumn="0"/>
            <w:tcW w:w="1524" w:type="dxa"/>
            <w:tcBorders>
              <w:bottom w:val="none" w:sz="0" w:space="0" w:color="auto"/>
            </w:tcBorders>
            <w:shd w:val="clear" w:color="auto" w:fill="auto"/>
            <w:noWrap/>
            <w:hideMark/>
          </w:tcPr>
          <w:p w14:paraId="42B80970" w14:textId="77777777" w:rsidR="0065448B" w:rsidRPr="00BF794D" w:rsidRDefault="0065448B" w:rsidP="00B92C6C">
            <w:pPr>
              <w:pStyle w:val="TableText"/>
              <w:spacing w:before="20" w:after="20"/>
              <w:rPr>
                <w:rFonts w:asciiTheme="minorHAnsi" w:hAnsiTheme="minorHAnsi" w:cstheme="minorHAnsi"/>
              </w:rPr>
            </w:pPr>
          </w:p>
        </w:tc>
        <w:tc>
          <w:tcPr>
            <w:tcW w:w="842" w:type="dxa"/>
            <w:tcBorders>
              <w:bottom w:val="none" w:sz="0" w:space="0" w:color="auto"/>
            </w:tcBorders>
            <w:shd w:val="clear" w:color="auto" w:fill="auto"/>
            <w:noWrap/>
            <w:hideMark/>
          </w:tcPr>
          <w:p w14:paraId="294ED2D9" w14:textId="77777777" w:rsidR="0065448B" w:rsidRPr="00BF794D" w:rsidRDefault="0065448B" w:rsidP="00B92C6C">
            <w:pPr>
              <w:pStyle w:val="TableText"/>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 </w:t>
            </w:r>
          </w:p>
        </w:tc>
        <w:tc>
          <w:tcPr>
            <w:tcW w:w="3773" w:type="dxa"/>
            <w:gridSpan w:val="4"/>
            <w:shd w:val="clear" w:color="auto" w:fill="D9D9D9" w:themeFill="background1" w:themeFillShade="D9"/>
            <w:noWrap/>
            <w:hideMark/>
          </w:tcPr>
          <w:p w14:paraId="4FFB9B68" w14:textId="77777777" w:rsidR="0065448B" w:rsidRPr="00BF794D" w:rsidRDefault="0065448B" w:rsidP="00B92C6C">
            <w:pPr>
              <w:pStyle w:val="TableText"/>
              <w:spacing w:before="20" w:after="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aps w:val="0"/>
              </w:rPr>
            </w:pPr>
            <w:r w:rsidRPr="00BF794D">
              <w:rPr>
                <w:rFonts w:asciiTheme="minorHAnsi" w:hAnsiTheme="minorHAnsi" w:cstheme="minorHAnsi"/>
                <w:caps w:val="0"/>
              </w:rPr>
              <w:t>Confidence level</w:t>
            </w:r>
          </w:p>
        </w:tc>
      </w:tr>
      <w:tr w:rsidR="0065448B" w:rsidRPr="00BF794D" w14:paraId="24173C89" w14:textId="77777777" w:rsidTr="00B92C6C">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524" w:type="dxa"/>
            <w:tcBorders>
              <w:right w:val="none" w:sz="0" w:space="0" w:color="auto"/>
            </w:tcBorders>
            <w:shd w:val="clear" w:color="auto" w:fill="auto"/>
            <w:noWrap/>
            <w:hideMark/>
          </w:tcPr>
          <w:p w14:paraId="6397C145" w14:textId="77777777" w:rsidR="0065448B" w:rsidRPr="00BF794D" w:rsidRDefault="0065448B" w:rsidP="00B92C6C">
            <w:pPr>
              <w:pStyle w:val="TableText"/>
              <w:spacing w:before="20" w:after="20"/>
              <w:rPr>
                <w:rFonts w:asciiTheme="minorHAnsi" w:hAnsiTheme="minorHAnsi" w:cstheme="minorHAnsi"/>
              </w:rPr>
            </w:pPr>
            <w:r w:rsidRPr="00BF794D">
              <w:rPr>
                <w:rFonts w:asciiTheme="minorHAnsi" w:hAnsiTheme="minorHAnsi" w:cstheme="minorHAnsi"/>
              </w:rPr>
              <w:t> </w:t>
            </w:r>
          </w:p>
        </w:tc>
        <w:tc>
          <w:tcPr>
            <w:tcW w:w="842" w:type="dxa"/>
            <w:shd w:val="clear" w:color="auto" w:fill="auto"/>
            <w:noWrap/>
            <w:hideMark/>
          </w:tcPr>
          <w:p w14:paraId="4FDE7312" w14:textId="77777777" w:rsidR="0065448B" w:rsidRPr="00BF794D"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045" w:type="dxa"/>
            <w:tcBorders>
              <w:left w:val="nil"/>
              <w:bottom w:val="single" w:sz="4" w:space="0" w:color="808080" w:themeColor="background1" w:themeShade="80"/>
            </w:tcBorders>
            <w:shd w:val="clear" w:color="auto" w:fill="D9D9D9" w:themeFill="background1" w:themeFillShade="D9"/>
            <w:noWrap/>
            <w:hideMark/>
          </w:tcPr>
          <w:p w14:paraId="23F165D0" w14:textId="77777777" w:rsidR="0065448B" w:rsidRPr="00BF794D"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85%</w:t>
            </w:r>
          </w:p>
        </w:tc>
        <w:tc>
          <w:tcPr>
            <w:tcW w:w="909" w:type="dxa"/>
            <w:tcBorders>
              <w:bottom w:val="single" w:sz="4" w:space="0" w:color="808080" w:themeColor="background1" w:themeShade="80"/>
            </w:tcBorders>
            <w:shd w:val="clear" w:color="auto" w:fill="D9D9D9" w:themeFill="background1" w:themeFillShade="D9"/>
            <w:noWrap/>
            <w:hideMark/>
          </w:tcPr>
          <w:p w14:paraId="7EDBA218" w14:textId="77777777" w:rsidR="0065448B" w:rsidRPr="00BF794D"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90%</w:t>
            </w:r>
          </w:p>
        </w:tc>
        <w:tc>
          <w:tcPr>
            <w:tcW w:w="908" w:type="dxa"/>
            <w:tcBorders>
              <w:bottom w:val="single" w:sz="4" w:space="0" w:color="808080" w:themeColor="background1" w:themeShade="80"/>
            </w:tcBorders>
            <w:shd w:val="clear" w:color="auto" w:fill="D9D9D9" w:themeFill="background1" w:themeFillShade="D9"/>
            <w:noWrap/>
            <w:hideMark/>
          </w:tcPr>
          <w:p w14:paraId="4AE66223" w14:textId="77777777" w:rsidR="0065448B" w:rsidRPr="00BF794D"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95%</w:t>
            </w:r>
          </w:p>
        </w:tc>
        <w:tc>
          <w:tcPr>
            <w:tcW w:w="911" w:type="dxa"/>
            <w:tcBorders>
              <w:bottom w:val="single" w:sz="4" w:space="0" w:color="808080" w:themeColor="background1" w:themeShade="80"/>
            </w:tcBorders>
            <w:shd w:val="clear" w:color="auto" w:fill="D9D9D9" w:themeFill="background1" w:themeFillShade="D9"/>
            <w:noWrap/>
            <w:hideMark/>
          </w:tcPr>
          <w:p w14:paraId="034FB674" w14:textId="77777777" w:rsidR="0065448B" w:rsidRPr="00BF794D"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99%</w:t>
            </w:r>
          </w:p>
        </w:tc>
      </w:tr>
      <w:tr w:rsidR="0065448B" w:rsidRPr="00BF794D" w14:paraId="4CB0C97E" w14:textId="77777777" w:rsidTr="00B92C6C">
        <w:trPr>
          <w:trHeight w:val="261"/>
        </w:trPr>
        <w:tc>
          <w:tcPr>
            <w:cnfStyle w:val="001000000000" w:firstRow="0" w:lastRow="0" w:firstColumn="1" w:lastColumn="0" w:oddVBand="0" w:evenVBand="0" w:oddHBand="0" w:evenHBand="0" w:firstRowFirstColumn="0" w:firstRowLastColumn="0" w:lastRowFirstColumn="0" w:lastRowLastColumn="0"/>
            <w:tcW w:w="1524" w:type="dxa"/>
            <w:shd w:val="clear" w:color="auto" w:fill="D9D9D9" w:themeFill="background1" w:themeFillShade="D9"/>
            <w:noWrap/>
            <w:hideMark/>
          </w:tcPr>
          <w:p w14:paraId="2A7A16AF" w14:textId="77777777" w:rsidR="0065448B" w:rsidRPr="00BF794D" w:rsidRDefault="0065448B" w:rsidP="00B92C6C">
            <w:pPr>
              <w:pStyle w:val="TableText"/>
              <w:spacing w:before="20" w:after="20"/>
              <w:rPr>
                <w:rFonts w:asciiTheme="minorHAnsi" w:hAnsiTheme="minorHAnsi" w:cstheme="minorHAnsi"/>
              </w:rPr>
            </w:pPr>
            <w:r w:rsidRPr="00BF794D">
              <w:rPr>
                <w:rFonts w:asciiTheme="minorHAnsi" w:hAnsiTheme="minorHAnsi" w:cstheme="minorHAnsi"/>
              </w:rPr>
              <w:t> </w:t>
            </w:r>
          </w:p>
        </w:tc>
        <w:tc>
          <w:tcPr>
            <w:tcW w:w="842" w:type="dxa"/>
            <w:tcBorders>
              <w:right w:val="single" w:sz="4" w:space="0" w:color="808080" w:themeColor="background1" w:themeShade="80"/>
            </w:tcBorders>
            <w:shd w:val="clear" w:color="auto" w:fill="D9D9D9" w:themeFill="background1" w:themeFillShade="D9"/>
            <w:noWrap/>
            <w:hideMark/>
          </w:tcPr>
          <w:p w14:paraId="28C509EC" w14:textId="77777777" w:rsidR="0065448B" w:rsidRPr="00BF794D"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1%</w:t>
            </w:r>
          </w:p>
        </w:tc>
        <w:tc>
          <w:tcPr>
            <w:tcW w:w="1045" w:type="dxa"/>
            <w:tcBorders>
              <w:top w:val="single" w:sz="4" w:space="0" w:color="808080" w:themeColor="background1" w:themeShade="80"/>
              <w:left w:val="single" w:sz="4" w:space="0" w:color="808080" w:themeColor="background1" w:themeShade="80"/>
            </w:tcBorders>
            <w:noWrap/>
            <w:hideMark/>
          </w:tcPr>
          <w:p w14:paraId="2A1A6E1D" w14:textId="77777777" w:rsidR="0065448B" w:rsidRPr="00BF794D"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87%</w:t>
            </w:r>
          </w:p>
        </w:tc>
        <w:tc>
          <w:tcPr>
            <w:tcW w:w="909" w:type="dxa"/>
            <w:tcBorders>
              <w:top w:val="single" w:sz="4" w:space="0" w:color="808080" w:themeColor="background1" w:themeShade="80"/>
            </w:tcBorders>
            <w:noWrap/>
            <w:hideMark/>
          </w:tcPr>
          <w:p w14:paraId="52FF1E09" w14:textId="77777777" w:rsidR="0065448B" w:rsidRPr="00BF794D"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88%</w:t>
            </w:r>
          </w:p>
        </w:tc>
        <w:tc>
          <w:tcPr>
            <w:tcW w:w="908" w:type="dxa"/>
            <w:tcBorders>
              <w:top w:val="single" w:sz="4" w:space="0" w:color="808080" w:themeColor="background1" w:themeShade="80"/>
            </w:tcBorders>
            <w:noWrap/>
            <w:hideMark/>
          </w:tcPr>
          <w:p w14:paraId="20300E65" w14:textId="77777777" w:rsidR="0065448B" w:rsidRPr="00BF794D"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90%</w:t>
            </w:r>
          </w:p>
        </w:tc>
        <w:tc>
          <w:tcPr>
            <w:tcW w:w="911" w:type="dxa"/>
            <w:tcBorders>
              <w:top w:val="single" w:sz="4" w:space="0" w:color="808080" w:themeColor="background1" w:themeShade="80"/>
            </w:tcBorders>
            <w:noWrap/>
            <w:hideMark/>
          </w:tcPr>
          <w:p w14:paraId="6EA50B56" w14:textId="77777777" w:rsidR="0065448B" w:rsidRPr="00BF794D"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92%</w:t>
            </w:r>
          </w:p>
        </w:tc>
      </w:tr>
      <w:tr w:rsidR="0065448B" w:rsidRPr="00BF794D" w14:paraId="11F2DF50" w14:textId="77777777" w:rsidTr="00B92C6C">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524" w:type="dxa"/>
            <w:vMerge w:val="restart"/>
            <w:shd w:val="clear" w:color="auto" w:fill="D9D9D9" w:themeFill="background1" w:themeFillShade="D9"/>
            <w:vAlign w:val="center"/>
            <w:hideMark/>
          </w:tcPr>
          <w:p w14:paraId="352ECC27" w14:textId="77777777" w:rsidR="0065448B" w:rsidRPr="00BF794D" w:rsidRDefault="0065448B" w:rsidP="00B92C6C">
            <w:pPr>
              <w:pStyle w:val="TableText"/>
              <w:spacing w:before="20" w:after="20"/>
              <w:rPr>
                <w:rFonts w:asciiTheme="minorHAnsi" w:hAnsiTheme="minorHAnsi" w:cstheme="minorHAnsi"/>
              </w:rPr>
            </w:pPr>
            <w:r w:rsidRPr="00BF794D">
              <w:rPr>
                <w:rFonts w:asciiTheme="minorHAnsi" w:hAnsiTheme="minorHAnsi" w:cstheme="minorHAnsi"/>
                <w:caps w:val="0"/>
              </w:rPr>
              <w:t>Margin of error per DRG class</w:t>
            </w:r>
            <w:r>
              <w:rPr>
                <w:rFonts w:asciiTheme="minorHAnsi" w:hAnsiTheme="minorHAnsi" w:cstheme="minorHAnsi"/>
                <w:caps w:val="0"/>
              </w:rPr>
              <w:t xml:space="preserve"> (%)</w:t>
            </w:r>
          </w:p>
        </w:tc>
        <w:tc>
          <w:tcPr>
            <w:tcW w:w="842" w:type="dxa"/>
            <w:tcBorders>
              <w:right w:val="single" w:sz="4" w:space="0" w:color="808080" w:themeColor="background1" w:themeShade="80"/>
            </w:tcBorders>
            <w:shd w:val="clear" w:color="auto" w:fill="D9D9D9" w:themeFill="background1" w:themeFillShade="D9"/>
            <w:noWrap/>
            <w:hideMark/>
          </w:tcPr>
          <w:p w14:paraId="5F5AC4CA" w14:textId="77777777" w:rsidR="0065448B" w:rsidRPr="00BF794D"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2%</w:t>
            </w:r>
          </w:p>
        </w:tc>
        <w:tc>
          <w:tcPr>
            <w:tcW w:w="1045" w:type="dxa"/>
            <w:tcBorders>
              <w:left w:val="single" w:sz="4" w:space="0" w:color="808080" w:themeColor="background1" w:themeShade="80"/>
            </w:tcBorders>
            <w:noWrap/>
            <w:hideMark/>
          </w:tcPr>
          <w:p w14:paraId="383C644E" w14:textId="77777777" w:rsidR="0065448B" w:rsidRPr="00BF794D"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72%</w:t>
            </w:r>
          </w:p>
        </w:tc>
        <w:tc>
          <w:tcPr>
            <w:tcW w:w="909" w:type="dxa"/>
            <w:noWrap/>
            <w:hideMark/>
          </w:tcPr>
          <w:p w14:paraId="7FE0E5E4" w14:textId="77777777" w:rsidR="0065448B" w:rsidRPr="00BF794D"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75%</w:t>
            </w:r>
          </w:p>
        </w:tc>
        <w:tc>
          <w:tcPr>
            <w:tcW w:w="908" w:type="dxa"/>
            <w:noWrap/>
            <w:hideMark/>
          </w:tcPr>
          <w:p w14:paraId="71E048B2" w14:textId="77777777" w:rsidR="0065448B" w:rsidRPr="00BF794D"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80%</w:t>
            </w:r>
          </w:p>
        </w:tc>
        <w:tc>
          <w:tcPr>
            <w:tcW w:w="911" w:type="dxa"/>
            <w:noWrap/>
            <w:hideMark/>
          </w:tcPr>
          <w:p w14:paraId="4451D205" w14:textId="77777777" w:rsidR="0065448B" w:rsidRPr="00BF794D"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85%</w:t>
            </w:r>
          </w:p>
        </w:tc>
      </w:tr>
      <w:tr w:rsidR="0065448B" w:rsidRPr="00BF794D" w14:paraId="019084A7" w14:textId="77777777" w:rsidTr="00B92C6C">
        <w:trPr>
          <w:trHeight w:val="261"/>
        </w:trPr>
        <w:tc>
          <w:tcPr>
            <w:cnfStyle w:val="001000000000" w:firstRow="0" w:lastRow="0" w:firstColumn="1" w:lastColumn="0" w:oddVBand="0" w:evenVBand="0" w:oddHBand="0" w:evenHBand="0" w:firstRowFirstColumn="0" w:firstRowLastColumn="0" w:lastRowFirstColumn="0" w:lastRowLastColumn="0"/>
            <w:tcW w:w="1524" w:type="dxa"/>
            <w:vMerge/>
            <w:shd w:val="clear" w:color="auto" w:fill="D9D9D9" w:themeFill="background1" w:themeFillShade="D9"/>
            <w:hideMark/>
          </w:tcPr>
          <w:p w14:paraId="2D6DBD35" w14:textId="77777777" w:rsidR="0065448B" w:rsidRPr="00BF794D" w:rsidRDefault="0065448B" w:rsidP="00B92C6C">
            <w:pPr>
              <w:pStyle w:val="TableText"/>
              <w:spacing w:before="20" w:after="20"/>
              <w:rPr>
                <w:rFonts w:asciiTheme="minorHAnsi" w:hAnsiTheme="minorHAnsi" w:cstheme="minorHAnsi"/>
              </w:rPr>
            </w:pPr>
          </w:p>
        </w:tc>
        <w:tc>
          <w:tcPr>
            <w:tcW w:w="842" w:type="dxa"/>
            <w:tcBorders>
              <w:right w:val="single" w:sz="4" w:space="0" w:color="808080" w:themeColor="background1" w:themeShade="80"/>
            </w:tcBorders>
            <w:shd w:val="clear" w:color="auto" w:fill="D9D9D9" w:themeFill="background1" w:themeFillShade="D9"/>
            <w:noWrap/>
            <w:hideMark/>
          </w:tcPr>
          <w:p w14:paraId="6600561F" w14:textId="77777777" w:rsidR="0065448B" w:rsidRPr="00BF794D"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3%</w:t>
            </w:r>
          </w:p>
        </w:tc>
        <w:tc>
          <w:tcPr>
            <w:tcW w:w="1045" w:type="dxa"/>
            <w:tcBorders>
              <w:left w:val="single" w:sz="4" w:space="0" w:color="808080" w:themeColor="background1" w:themeShade="80"/>
            </w:tcBorders>
            <w:shd w:val="clear" w:color="auto" w:fill="006700" w:themeFill="accent2" w:themeFillShade="BF"/>
            <w:noWrap/>
            <w:hideMark/>
          </w:tcPr>
          <w:p w14:paraId="35F4C21F" w14:textId="77777777" w:rsidR="0065448B" w:rsidRPr="00BF794D"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59%</w:t>
            </w:r>
          </w:p>
        </w:tc>
        <w:tc>
          <w:tcPr>
            <w:tcW w:w="909" w:type="dxa"/>
            <w:noWrap/>
            <w:hideMark/>
          </w:tcPr>
          <w:p w14:paraId="09C7F775" w14:textId="77777777" w:rsidR="0065448B" w:rsidRPr="00BF794D"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63%</w:t>
            </w:r>
          </w:p>
        </w:tc>
        <w:tc>
          <w:tcPr>
            <w:tcW w:w="908" w:type="dxa"/>
            <w:noWrap/>
            <w:hideMark/>
          </w:tcPr>
          <w:p w14:paraId="576CEEF6" w14:textId="77777777" w:rsidR="0065448B" w:rsidRPr="00BF794D"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69%</w:t>
            </w:r>
          </w:p>
        </w:tc>
        <w:tc>
          <w:tcPr>
            <w:tcW w:w="911" w:type="dxa"/>
            <w:noWrap/>
            <w:hideMark/>
          </w:tcPr>
          <w:p w14:paraId="09183AB2" w14:textId="77777777" w:rsidR="0065448B" w:rsidRPr="00BF794D"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77%</w:t>
            </w:r>
          </w:p>
        </w:tc>
      </w:tr>
      <w:tr w:rsidR="0065448B" w:rsidRPr="00BF794D" w14:paraId="07ED7969" w14:textId="77777777" w:rsidTr="00B92C6C">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524" w:type="dxa"/>
            <w:vMerge/>
            <w:shd w:val="clear" w:color="auto" w:fill="D9D9D9" w:themeFill="background1" w:themeFillShade="D9"/>
            <w:hideMark/>
          </w:tcPr>
          <w:p w14:paraId="203DA0CF" w14:textId="77777777" w:rsidR="0065448B" w:rsidRPr="00BF794D" w:rsidRDefault="0065448B" w:rsidP="00B92C6C">
            <w:pPr>
              <w:pStyle w:val="TableText"/>
              <w:spacing w:before="20" w:after="20"/>
              <w:rPr>
                <w:rFonts w:asciiTheme="minorHAnsi" w:hAnsiTheme="minorHAnsi" w:cstheme="minorHAnsi"/>
              </w:rPr>
            </w:pPr>
          </w:p>
        </w:tc>
        <w:tc>
          <w:tcPr>
            <w:tcW w:w="842" w:type="dxa"/>
            <w:tcBorders>
              <w:right w:val="single" w:sz="4" w:space="0" w:color="808080" w:themeColor="background1" w:themeShade="80"/>
            </w:tcBorders>
            <w:shd w:val="clear" w:color="auto" w:fill="D9D9D9" w:themeFill="background1" w:themeFillShade="D9"/>
            <w:noWrap/>
            <w:hideMark/>
          </w:tcPr>
          <w:p w14:paraId="774EEA22" w14:textId="77777777" w:rsidR="0065448B" w:rsidRPr="00BF794D"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4%</w:t>
            </w:r>
          </w:p>
        </w:tc>
        <w:tc>
          <w:tcPr>
            <w:tcW w:w="1045" w:type="dxa"/>
            <w:tcBorders>
              <w:left w:val="single" w:sz="4" w:space="0" w:color="808080" w:themeColor="background1" w:themeShade="80"/>
            </w:tcBorders>
            <w:noWrap/>
            <w:hideMark/>
          </w:tcPr>
          <w:p w14:paraId="297903E4" w14:textId="77777777" w:rsidR="0065448B" w:rsidRPr="00BF794D"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49%</w:t>
            </w:r>
          </w:p>
        </w:tc>
        <w:tc>
          <w:tcPr>
            <w:tcW w:w="909" w:type="dxa"/>
            <w:noWrap/>
            <w:hideMark/>
          </w:tcPr>
          <w:p w14:paraId="22970258" w14:textId="77777777" w:rsidR="0065448B" w:rsidRPr="00BF794D"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53%</w:t>
            </w:r>
          </w:p>
        </w:tc>
        <w:tc>
          <w:tcPr>
            <w:tcW w:w="908" w:type="dxa"/>
            <w:shd w:val="clear" w:color="auto" w:fill="006700" w:themeFill="accent2" w:themeFillShade="BF"/>
            <w:noWrap/>
            <w:hideMark/>
          </w:tcPr>
          <w:p w14:paraId="1641AC82" w14:textId="77777777" w:rsidR="0065448B" w:rsidRPr="00BF794D"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60%</w:t>
            </w:r>
          </w:p>
        </w:tc>
        <w:tc>
          <w:tcPr>
            <w:tcW w:w="911" w:type="dxa"/>
            <w:noWrap/>
            <w:hideMark/>
          </w:tcPr>
          <w:p w14:paraId="7083B617" w14:textId="77777777" w:rsidR="0065448B" w:rsidRPr="00BF794D"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69%</w:t>
            </w:r>
          </w:p>
        </w:tc>
      </w:tr>
      <w:tr w:rsidR="0065448B" w:rsidRPr="00BF794D" w14:paraId="56330ADC" w14:textId="77777777" w:rsidTr="00B92C6C">
        <w:trPr>
          <w:trHeight w:val="261"/>
        </w:trPr>
        <w:tc>
          <w:tcPr>
            <w:cnfStyle w:val="001000000000" w:firstRow="0" w:lastRow="0" w:firstColumn="1" w:lastColumn="0" w:oddVBand="0" w:evenVBand="0" w:oddHBand="0" w:evenHBand="0" w:firstRowFirstColumn="0" w:firstRowLastColumn="0" w:lastRowFirstColumn="0" w:lastRowLastColumn="0"/>
            <w:tcW w:w="1524" w:type="dxa"/>
            <w:vMerge/>
            <w:shd w:val="clear" w:color="auto" w:fill="D9D9D9" w:themeFill="background1" w:themeFillShade="D9"/>
            <w:hideMark/>
          </w:tcPr>
          <w:p w14:paraId="3C575795" w14:textId="77777777" w:rsidR="0065448B" w:rsidRPr="00BF794D" w:rsidRDefault="0065448B" w:rsidP="00B92C6C">
            <w:pPr>
              <w:pStyle w:val="TableText"/>
              <w:spacing w:before="20" w:after="20"/>
              <w:rPr>
                <w:rFonts w:asciiTheme="minorHAnsi" w:hAnsiTheme="minorHAnsi" w:cstheme="minorHAnsi"/>
              </w:rPr>
            </w:pPr>
          </w:p>
        </w:tc>
        <w:tc>
          <w:tcPr>
            <w:tcW w:w="842" w:type="dxa"/>
            <w:tcBorders>
              <w:right w:val="single" w:sz="4" w:space="0" w:color="808080" w:themeColor="background1" w:themeShade="80"/>
            </w:tcBorders>
            <w:shd w:val="clear" w:color="auto" w:fill="D9D9D9" w:themeFill="background1" w:themeFillShade="D9"/>
            <w:noWrap/>
            <w:hideMark/>
          </w:tcPr>
          <w:p w14:paraId="7DC7CFEF" w14:textId="77777777" w:rsidR="0065448B" w:rsidRPr="00BF794D"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5%</w:t>
            </w:r>
          </w:p>
        </w:tc>
        <w:tc>
          <w:tcPr>
            <w:tcW w:w="1045" w:type="dxa"/>
            <w:tcBorders>
              <w:left w:val="single" w:sz="4" w:space="0" w:color="808080" w:themeColor="background1" w:themeShade="80"/>
            </w:tcBorders>
            <w:noWrap/>
            <w:hideMark/>
          </w:tcPr>
          <w:p w14:paraId="7580F7BC" w14:textId="77777777" w:rsidR="0065448B" w:rsidRPr="00BF794D"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40%</w:t>
            </w:r>
          </w:p>
        </w:tc>
        <w:tc>
          <w:tcPr>
            <w:tcW w:w="909" w:type="dxa"/>
            <w:noWrap/>
            <w:hideMark/>
          </w:tcPr>
          <w:p w14:paraId="6FACE77F" w14:textId="77777777" w:rsidR="0065448B" w:rsidRPr="00BF794D"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45%</w:t>
            </w:r>
          </w:p>
        </w:tc>
        <w:tc>
          <w:tcPr>
            <w:tcW w:w="908" w:type="dxa"/>
            <w:noWrap/>
            <w:hideMark/>
          </w:tcPr>
          <w:p w14:paraId="5739EB3F" w14:textId="77777777" w:rsidR="0065448B" w:rsidRPr="00BF794D"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52%</w:t>
            </w:r>
          </w:p>
        </w:tc>
        <w:tc>
          <w:tcPr>
            <w:tcW w:w="911" w:type="dxa"/>
            <w:noWrap/>
            <w:hideMark/>
          </w:tcPr>
          <w:p w14:paraId="6402B051" w14:textId="77777777" w:rsidR="0065448B" w:rsidRPr="00BF794D"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61%</w:t>
            </w:r>
          </w:p>
        </w:tc>
      </w:tr>
      <w:tr w:rsidR="0065448B" w:rsidRPr="00BF794D" w14:paraId="7A85709B" w14:textId="77777777" w:rsidTr="00B92C6C">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524" w:type="dxa"/>
            <w:vMerge/>
            <w:shd w:val="clear" w:color="auto" w:fill="D9D9D9" w:themeFill="background1" w:themeFillShade="D9"/>
            <w:hideMark/>
          </w:tcPr>
          <w:p w14:paraId="7F34884A" w14:textId="77777777" w:rsidR="0065448B" w:rsidRPr="00BF794D" w:rsidRDefault="0065448B" w:rsidP="00B92C6C">
            <w:pPr>
              <w:pStyle w:val="TableText"/>
              <w:spacing w:before="20" w:after="20"/>
              <w:rPr>
                <w:rFonts w:asciiTheme="minorHAnsi" w:hAnsiTheme="minorHAnsi" w:cstheme="minorHAnsi"/>
              </w:rPr>
            </w:pPr>
          </w:p>
        </w:tc>
        <w:tc>
          <w:tcPr>
            <w:tcW w:w="842" w:type="dxa"/>
            <w:tcBorders>
              <w:right w:val="single" w:sz="4" w:space="0" w:color="808080" w:themeColor="background1" w:themeShade="80"/>
            </w:tcBorders>
            <w:shd w:val="clear" w:color="auto" w:fill="D9D9D9" w:themeFill="background1" w:themeFillShade="D9"/>
            <w:noWrap/>
            <w:hideMark/>
          </w:tcPr>
          <w:p w14:paraId="1D5D6E14" w14:textId="77777777" w:rsidR="0065448B" w:rsidRPr="00BF794D"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6%</w:t>
            </w:r>
          </w:p>
        </w:tc>
        <w:tc>
          <w:tcPr>
            <w:tcW w:w="1045" w:type="dxa"/>
            <w:tcBorders>
              <w:left w:val="single" w:sz="4" w:space="0" w:color="808080" w:themeColor="background1" w:themeShade="80"/>
            </w:tcBorders>
            <w:shd w:val="clear" w:color="auto" w:fill="808080" w:themeFill="background1" w:themeFillShade="80"/>
            <w:noWrap/>
            <w:hideMark/>
          </w:tcPr>
          <w:p w14:paraId="2454BE06" w14:textId="77777777" w:rsidR="0065448B" w:rsidRPr="00BF794D"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34%</w:t>
            </w:r>
          </w:p>
        </w:tc>
        <w:tc>
          <w:tcPr>
            <w:tcW w:w="909" w:type="dxa"/>
            <w:noWrap/>
            <w:hideMark/>
          </w:tcPr>
          <w:p w14:paraId="620AADF7" w14:textId="77777777" w:rsidR="0065448B" w:rsidRPr="00BF794D"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39%</w:t>
            </w:r>
          </w:p>
        </w:tc>
        <w:tc>
          <w:tcPr>
            <w:tcW w:w="908" w:type="dxa"/>
            <w:noWrap/>
            <w:hideMark/>
          </w:tcPr>
          <w:p w14:paraId="4EC0C900" w14:textId="77777777" w:rsidR="0065448B" w:rsidRPr="00BF794D"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45%</w:t>
            </w:r>
          </w:p>
        </w:tc>
        <w:tc>
          <w:tcPr>
            <w:tcW w:w="911" w:type="dxa"/>
            <w:noWrap/>
            <w:hideMark/>
          </w:tcPr>
          <w:p w14:paraId="54EBF0E5" w14:textId="77777777" w:rsidR="0065448B" w:rsidRPr="00BF794D"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55%</w:t>
            </w:r>
          </w:p>
        </w:tc>
      </w:tr>
      <w:tr w:rsidR="0065448B" w:rsidRPr="00BF794D" w14:paraId="523B7E49" w14:textId="77777777" w:rsidTr="00B92C6C">
        <w:trPr>
          <w:trHeight w:val="261"/>
        </w:trPr>
        <w:tc>
          <w:tcPr>
            <w:cnfStyle w:val="001000000000" w:firstRow="0" w:lastRow="0" w:firstColumn="1" w:lastColumn="0" w:oddVBand="0" w:evenVBand="0" w:oddHBand="0" w:evenHBand="0" w:firstRowFirstColumn="0" w:firstRowLastColumn="0" w:lastRowFirstColumn="0" w:lastRowLastColumn="0"/>
            <w:tcW w:w="1524" w:type="dxa"/>
            <w:vMerge/>
            <w:shd w:val="clear" w:color="auto" w:fill="D9D9D9" w:themeFill="background1" w:themeFillShade="D9"/>
            <w:hideMark/>
          </w:tcPr>
          <w:p w14:paraId="6C3DEE54" w14:textId="77777777" w:rsidR="0065448B" w:rsidRPr="00BF794D" w:rsidRDefault="0065448B" w:rsidP="00B92C6C">
            <w:pPr>
              <w:pStyle w:val="TableText"/>
              <w:spacing w:before="20" w:after="20"/>
              <w:rPr>
                <w:rFonts w:asciiTheme="minorHAnsi" w:hAnsiTheme="minorHAnsi" w:cstheme="minorHAnsi"/>
              </w:rPr>
            </w:pPr>
          </w:p>
        </w:tc>
        <w:tc>
          <w:tcPr>
            <w:tcW w:w="842" w:type="dxa"/>
            <w:tcBorders>
              <w:right w:val="single" w:sz="4" w:space="0" w:color="808080" w:themeColor="background1" w:themeShade="80"/>
            </w:tcBorders>
            <w:shd w:val="clear" w:color="auto" w:fill="D9D9D9" w:themeFill="background1" w:themeFillShade="D9"/>
            <w:noWrap/>
            <w:hideMark/>
          </w:tcPr>
          <w:p w14:paraId="1EED0EAB" w14:textId="77777777" w:rsidR="0065448B" w:rsidRPr="00BF794D"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7%</w:t>
            </w:r>
          </w:p>
        </w:tc>
        <w:tc>
          <w:tcPr>
            <w:tcW w:w="1045" w:type="dxa"/>
            <w:tcBorders>
              <w:left w:val="single" w:sz="4" w:space="0" w:color="808080" w:themeColor="background1" w:themeShade="80"/>
            </w:tcBorders>
            <w:shd w:val="clear" w:color="auto" w:fill="808080" w:themeFill="background1" w:themeFillShade="80"/>
            <w:noWrap/>
            <w:hideMark/>
          </w:tcPr>
          <w:p w14:paraId="07587D3B" w14:textId="77777777" w:rsidR="0065448B" w:rsidRPr="00BF794D"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29%</w:t>
            </w:r>
          </w:p>
        </w:tc>
        <w:tc>
          <w:tcPr>
            <w:tcW w:w="909" w:type="dxa"/>
            <w:shd w:val="clear" w:color="auto" w:fill="808080" w:themeFill="background1" w:themeFillShade="80"/>
            <w:noWrap/>
            <w:hideMark/>
          </w:tcPr>
          <w:p w14:paraId="68C9025E" w14:textId="77777777" w:rsidR="0065448B" w:rsidRPr="00BF794D"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33%</w:t>
            </w:r>
          </w:p>
        </w:tc>
        <w:tc>
          <w:tcPr>
            <w:tcW w:w="908" w:type="dxa"/>
            <w:noWrap/>
            <w:hideMark/>
          </w:tcPr>
          <w:p w14:paraId="026CCA5C" w14:textId="77777777" w:rsidR="0065448B" w:rsidRPr="00BF794D"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39%</w:t>
            </w:r>
          </w:p>
        </w:tc>
        <w:tc>
          <w:tcPr>
            <w:tcW w:w="911" w:type="dxa"/>
            <w:noWrap/>
            <w:hideMark/>
          </w:tcPr>
          <w:p w14:paraId="229BE8B7" w14:textId="77777777" w:rsidR="0065448B" w:rsidRPr="00BF794D"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49%</w:t>
            </w:r>
          </w:p>
        </w:tc>
      </w:tr>
      <w:tr w:rsidR="0065448B" w:rsidRPr="00BF794D" w14:paraId="22D25A36" w14:textId="77777777" w:rsidTr="00B92C6C">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524" w:type="dxa"/>
            <w:vMerge/>
            <w:shd w:val="clear" w:color="auto" w:fill="D9D9D9" w:themeFill="background1" w:themeFillShade="D9"/>
            <w:hideMark/>
          </w:tcPr>
          <w:p w14:paraId="4F68A424" w14:textId="77777777" w:rsidR="0065448B" w:rsidRPr="00BF794D" w:rsidRDefault="0065448B" w:rsidP="00B92C6C">
            <w:pPr>
              <w:pStyle w:val="TableText"/>
              <w:spacing w:before="20" w:after="20"/>
              <w:rPr>
                <w:rFonts w:asciiTheme="minorHAnsi" w:hAnsiTheme="minorHAnsi" w:cstheme="minorHAnsi"/>
              </w:rPr>
            </w:pPr>
          </w:p>
        </w:tc>
        <w:tc>
          <w:tcPr>
            <w:tcW w:w="842" w:type="dxa"/>
            <w:tcBorders>
              <w:right w:val="single" w:sz="4" w:space="0" w:color="808080" w:themeColor="background1" w:themeShade="80"/>
            </w:tcBorders>
            <w:shd w:val="clear" w:color="auto" w:fill="D9D9D9" w:themeFill="background1" w:themeFillShade="D9"/>
            <w:noWrap/>
            <w:hideMark/>
          </w:tcPr>
          <w:p w14:paraId="7C6DC8F3" w14:textId="77777777" w:rsidR="0065448B" w:rsidRPr="00BF794D"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8%</w:t>
            </w:r>
          </w:p>
        </w:tc>
        <w:tc>
          <w:tcPr>
            <w:tcW w:w="1045" w:type="dxa"/>
            <w:tcBorders>
              <w:left w:val="single" w:sz="4" w:space="0" w:color="808080" w:themeColor="background1" w:themeShade="80"/>
            </w:tcBorders>
            <w:shd w:val="clear" w:color="auto" w:fill="808080" w:themeFill="background1" w:themeFillShade="80"/>
            <w:noWrap/>
            <w:hideMark/>
          </w:tcPr>
          <w:p w14:paraId="1AC3043F" w14:textId="77777777" w:rsidR="0065448B" w:rsidRPr="00BF794D"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25%</w:t>
            </w:r>
          </w:p>
        </w:tc>
        <w:tc>
          <w:tcPr>
            <w:tcW w:w="909" w:type="dxa"/>
            <w:shd w:val="clear" w:color="auto" w:fill="808080" w:themeFill="background1" w:themeFillShade="80"/>
            <w:noWrap/>
            <w:hideMark/>
          </w:tcPr>
          <w:p w14:paraId="4686A301" w14:textId="77777777" w:rsidR="0065448B" w:rsidRPr="00BF794D"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29%</w:t>
            </w:r>
          </w:p>
        </w:tc>
        <w:tc>
          <w:tcPr>
            <w:tcW w:w="908" w:type="dxa"/>
            <w:shd w:val="clear" w:color="auto" w:fill="808080" w:themeFill="background1" w:themeFillShade="80"/>
            <w:noWrap/>
            <w:hideMark/>
          </w:tcPr>
          <w:p w14:paraId="36282718" w14:textId="77777777" w:rsidR="0065448B" w:rsidRPr="00BF794D"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35%</w:t>
            </w:r>
          </w:p>
        </w:tc>
        <w:tc>
          <w:tcPr>
            <w:tcW w:w="911" w:type="dxa"/>
            <w:noWrap/>
            <w:hideMark/>
          </w:tcPr>
          <w:p w14:paraId="3D70935E" w14:textId="77777777" w:rsidR="0065448B" w:rsidRPr="00BF794D"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44%</w:t>
            </w:r>
          </w:p>
        </w:tc>
      </w:tr>
      <w:tr w:rsidR="0065448B" w:rsidRPr="00BF794D" w14:paraId="3D2B6EDB" w14:textId="77777777" w:rsidTr="00B92C6C">
        <w:trPr>
          <w:trHeight w:val="261"/>
        </w:trPr>
        <w:tc>
          <w:tcPr>
            <w:cnfStyle w:val="001000000000" w:firstRow="0" w:lastRow="0" w:firstColumn="1" w:lastColumn="0" w:oddVBand="0" w:evenVBand="0" w:oddHBand="0" w:evenHBand="0" w:firstRowFirstColumn="0" w:firstRowLastColumn="0" w:lastRowFirstColumn="0" w:lastRowLastColumn="0"/>
            <w:tcW w:w="1524" w:type="dxa"/>
            <w:vMerge/>
            <w:shd w:val="clear" w:color="auto" w:fill="D9D9D9" w:themeFill="background1" w:themeFillShade="D9"/>
            <w:hideMark/>
          </w:tcPr>
          <w:p w14:paraId="7ADB9405" w14:textId="77777777" w:rsidR="0065448B" w:rsidRPr="00BF794D" w:rsidRDefault="0065448B" w:rsidP="00B92C6C">
            <w:pPr>
              <w:pStyle w:val="TableText"/>
              <w:spacing w:before="20" w:after="20"/>
              <w:rPr>
                <w:rFonts w:asciiTheme="minorHAnsi" w:hAnsiTheme="minorHAnsi" w:cstheme="minorHAnsi"/>
              </w:rPr>
            </w:pPr>
          </w:p>
        </w:tc>
        <w:tc>
          <w:tcPr>
            <w:tcW w:w="842" w:type="dxa"/>
            <w:tcBorders>
              <w:right w:val="single" w:sz="4" w:space="0" w:color="808080" w:themeColor="background1" w:themeShade="80"/>
            </w:tcBorders>
            <w:shd w:val="clear" w:color="auto" w:fill="D9D9D9" w:themeFill="background1" w:themeFillShade="D9"/>
            <w:noWrap/>
            <w:hideMark/>
          </w:tcPr>
          <w:p w14:paraId="54CA6BD1" w14:textId="77777777" w:rsidR="0065448B" w:rsidRPr="00BF794D"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9%</w:t>
            </w:r>
          </w:p>
        </w:tc>
        <w:tc>
          <w:tcPr>
            <w:tcW w:w="1045" w:type="dxa"/>
            <w:tcBorders>
              <w:left w:val="single" w:sz="4" w:space="0" w:color="808080" w:themeColor="background1" w:themeShade="80"/>
            </w:tcBorders>
            <w:shd w:val="clear" w:color="auto" w:fill="808080" w:themeFill="background1" w:themeFillShade="80"/>
            <w:noWrap/>
            <w:hideMark/>
          </w:tcPr>
          <w:p w14:paraId="74970F42" w14:textId="77777777" w:rsidR="0065448B" w:rsidRPr="00BF794D"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21%</w:t>
            </w:r>
          </w:p>
        </w:tc>
        <w:tc>
          <w:tcPr>
            <w:tcW w:w="909" w:type="dxa"/>
            <w:shd w:val="clear" w:color="auto" w:fill="808080" w:themeFill="background1" w:themeFillShade="80"/>
            <w:noWrap/>
            <w:hideMark/>
          </w:tcPr>
          <w:p w14:paraId="62314B1D" w14:textId="77777777" w:rsidR="0065448B" w:rsidRPr="00BF794D"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25%</w:t>
            </w:r>
          </w:p>
        </w:tc>
        <w:tc>
          <w:tcPr>
            <w:tcW w:w="908" w:type="dxa"/>
            <w:shd w:val="clear" w:color="auto" w:fill="808080" w:themeFill="background1" w:themeFillShade="80"/>
            <w:noWrap/>
            <w:hideMark/>
          </w:tcPr>
          <w:p w14:paraId="181B8635" w14:textId="77777777" w:rsidR="0065448B" w:rsidRPr="00BF794D"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31%</w:t>
            </w:r>
          </w:p>
        </w:tc>
        <w:tc>
          <w:tcPr>
            <w:tcW w:w="911" w:type="dxa"/>
            <w:noWrap/>
            <w:hideMark/>
          </w:tcPr>
          <w:p w14:paraId="72F85D97" w14:textId="77777777" w:rsidR="0065448B" w:rsidRPr="00BF794D" w:rsidRDefault="0065448B" w:rsidP="00B92C6C">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40%</w:t>
            </w:r>
          </w:p>
        </w:tc>
      </w:tr>
      <w:tr w:rsidR="0065448B" w:rsidRPr="00BF794D" w14:paraId="71BA7CDE" w14:textId="77777777" w:rsidTr="00B92C6C">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524" w:type="dxa"/>
            <w:shd w:val="clear" w:color="auto" w:fill="D9D9D9" w:themeFill="background1" w:themeFillShade="D9"/>
            <w:noWrap/>
            <w:hideMark/>
          </w:tcPr>
          <w:p w14:paraId="46488AEB" w14:textId="77777777" w:rsidR="0065448B" w:rsidRPr="00BF794D" w:rsidRDefault="0065448B" w:rsidP="00B92C6C">
            <w:pPr>
              <w:pStyle w:val="TableText"/>
              <w:spacing w:before="20" w:after="20"/>
              <w:rPr>
                <w:rFonts w:asciiTheme="minorHAnsi" w:hAnsiTheme="minorHAnsi" w:cstheme="minorHAnsi"/>
              </w:rPr>
            </w:pPr>
            <w:r w:rsidRPr="00BF794D">
              <w:rPr>
                <w:rFonts w:asciiTheme="minorHAnsi" w:hAnsiTheme="minorHAnsi" w:cstheme="minorHAnsi"/>
              </w:rPr>
              <w:t> </w:t>
            </w:r>
          </w:p>
        </w:tc>
        <w:tc>
          <w:tcPr>
            <w:tcW w:w="842" w:type="dxa"/>
            <w:tcBorders>
              <w:right w:val="single" w:sz="4" w:space="0" w:color="808080" w:themeColor="background1" w:themeShade="80"/>
            </w:tcBorders>
            <w:shd w:val="clear" w:color="auto" w:fill="D9D9D9" w:themeFill="background1" w:themeFillShade="D9"/>
            <w:noWrap/>
            <w:hideMark/>
          </w:tcPr>
          <w:p w14:paraId="68063E86" w14:textId="77777777" w:rsidR="0065448B" w:rsidRPr="00BF794D"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10%</w:t>
            </w:r>
          </w:p>
        </w:tc>
        <w:tc>
          <w:tcPr>
            <w:tcW w:w="1045" w:type="dxa"/>
            <w:tcBorders>
              <w:left w:val="single" w:sz="4" w:space="0" w:color="808080" w:themeColor="background1" w:themeShade="80"/>
            </w:tcBorders>
            <w:shd w:val="clear" w:color="auto" w:fill="808080" w:themeFill="background1" w:themeFillShade="80"/>
            <w:noWrap/>
            <w:hideMark/>
          </w:tcPr>
          <w:p w14:paraId="52997CC3" w14:textId="77777777" w:rsidR="0065448B" w:rsidRPr="00BF794D"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19%</w:t>
            </w:r>
          </w:p>
        </w:tc>
        <w:tc>
          <w:tcPr>
            <w:tcW w:w="909" w:type="dxa"/>
            <w:shd w:val="clear" w:color="auto" w:fill="808080" w:themeFill="background1" w:themeFillShade="80"/>
            <w:noWrap/>
            <w:hideMark/>
          </w:tcPr>
          <w:p w14:paraId="655415C3" w14:textId="77777777" w:rsidR="0065448B" w:rsidRPr="00BF794D"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22%</w:t>
            </w:r>
          </w:p>
        </w:tc>
        <w:tc>
          <w:tcPr>
            <w:tcW w:w="908" w:type="dxa"/>
            <w:shd w:val="clear" w:color="auto" w:fill="808080" w:themeFill="background1" w:themeFillShade="80"/>
            <w:noWrap/>
            <w:hideMark/>
          </w:tcPr>
          <w:p w14:paraId="65D3BA45" w14:textId="77777777" w:rsidR="0065448B" w:rsidRPr="00BF794D"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27%</w:t>
            </w:r>
          </w:p>
        </w:tc>
        <w:tc>
          <w:tcPr>
            <w:tcW w:w="911" w:type="dxa"/>
            <w:shd w:val="clear" w:color="auto" w:fill="808080" w:themeFill="background1" w:themeFillShade="80"/>
            <w:noWrap/>
            <w:hideMark/>
          </w:tcPr>
          <w:p w14:paraId="069DE082" w14:textId="77777777" w:rsidR="0065448B" w:rsidRPr="00BF794D" w:rsidRDefault="0065448B" w:rsidP="00B92C6C">
            <w:pPr>
              <w:pStyle w:val="TableText"/>
              <w:spacing w:before="20" w:after="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794D">
              <w:rPr>
                <w:rFonts w:asciiTheme="minorHAnsi" w:hAnsiTheme="minorHAnsi" w:cstheme="minorHAnsi"/>
              </w:rPr>
              <w:t>36%</w:t>
            </w:r>
          </w:p>
        </w:tc>
      </w:tr>
    </w:tbl>
    <w:p w14:paraId="56691E3C" w14:textId="77777777" w:rsidR="00C416F7" w:rsidRDefault="00C416F7" w:rsidP="00553386">
      <w:pPr>
        <w:pStyle w:val="Intro"/>
        <w:rPr>
          <w:b/>
        </w:rPr>
      </w:pPr>
    </w:p>
    <w:p w14:paraId="275F8828" w14:textId="2EF3B4BA" w:rsidR="00EE275B" w:rsidRPr="00553386" w:rsidRDefault="00EE275B" w:rsidP="00553386">
      <w:pPr>
        <w:pStyle w:val="Intro"/>
        <w:rPr>
          <w:b/>
        </w:rPr>
      </w:pPr>
      <w:r w:rsidRPr="00553386">
        <w:rPr>
          <w:b/>
        </w:rPr>
        <w:t>Minimum number of hospitals required</w:t>
      </w:r>
    </w:p>
    <w:p w14:paraId="16F71B5C" w14:textId="35CD680E" w:rsidR="00EE275B" w:rsidRDefault="00AB343B" w:rsidP="00EE275B">
      <w:pPr>
        <w:rPr>
          <w:rFonts w:cs="Georgia"/>
          <w:b/>
          <w:bCs/>
        </w:rPr>
      </w:pPr>
      <w:r>
        <w:rPr>
          <w:rFonts w:cs="Georgia"/>
          <w:b/>
          <w:bCs/>
        </w:rPr>
        <w:t>Historical m</w:t>
      </w:r>
      <w:r w:rsidR="00EE275B">
        <w:rPr>
          <w:rFonts w:cs="Georgia"/>
          <w:b/>
          <w:bCs/>
        </w:rPr>
        <w:t>ethodology to calculate minimum number of hospitals required</w:t>
      </w:r>
    </w:p>
    <w:p w14:paraId="20E14E13" w14:textId="77777777" w:rsidR="00EE275B" w:rsidRDefault="00EE275B" w:rsidP="00EE275B">
      <w:pPr>
        <w:rPr>
          <w:rFonts w:cs="Georgia"/>
          <w:color w:val="000000"/>
        </w:rPr>
      </w:pPr>
      <w:r>
        <w:rPr>
          <w:rFonts w:cs="Georgia"/>
          <w:color w:val="000000"/>
        </w:rPr>
        <w:t>The formula that is used to produce cost-weights is provided below:</w:t>
      </w:r>
    </w:p>
    <w:p w14:paraId="7E7CE479" w14:textId="53D599EA" w:rsidR="00EE275B" w:rsidRDefault="00EE275B" w:rsidP="00EE275B">
      <w:pPr>
        <w:rPr>
          <w:rFonts w:cs="Georgia"/>
          <w:color w:val="000000"/>
        </w:rPr>
      </w:pPr>
      <w:r>
        <w:rPr>
          <w:noProof/>
        </w:rPr>
        <w:drawing>
          <wp:inline distT="0" distB="0" distL="0" distR="0" wp14:anchorId="179DB73D" wp14:editId="32D5B0DB">
            <wp:extent cx="4714875" cy="930275"/>
            <wp:effectExtent l="0" t="0" r="9525" b="3175"/>
            <wp:docPr id="312" name="Picture 312" descr="The formula that is used to produce cost weights " title="Methodology to calculate minimum number of hospitals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14875" cy="930275"/>
                    </a:xfrm>
                    <a:prstGeom prst="rect">
                      <a:avLst/>
                    </a:prstGeom>
                    <a:noFill/>
                    <a:ln>
                      <a:noFill/>
                    </a:ln>
                  </pic:spPr>
                </pic:pic>
              </a:graphicData>
            </a:graphic>
          </wp:inline>
        </w:drawing>
      </w:r>
    </w:p>
    <w:p w14:paraId="1855F14B" w14:textId="47BCF549" w:rsidR="00EE275B" w:rsidRDefault="00EE275B" w:rsidP="00EE275B">
      <w:pPr>
        <w:spacing w:after="240"/>
        <w:rPr>
          <w:rFonts w:cs="Georgia"/>
          <w:color w:val="000000"/>
        </w:rPr>
      </w:pPr>
      <w:r>
        <w:rPr>
          <w:rFonts w:cs="Georgia"/>
          <w:color w:val="000000"/>
        </w:rPr>
        <w:t>Where the average costs are weighted by population l</w:t>
      </w:r>
      <w:r w:rsidR="004647EB">
        <w:rPr>
          <w:rFonts w:cs="Georgia"/>
          <w:color w:val="000000"/>
        </w:rPr>
        <w:t xml:space="preserve">evels of activity across all </w:t>
      </w:r>
      <w:r>
        <w:rPr>
          <w:rFonts w:cs="Georgia"/>
          <w:color w:val="000000"/>
        </w:rPr>
        <w:t>DRG classes and by other hospital characteristics (e.g. hospital size and for-profit / not-for-profit status).</w:t>
      </w:r>
    </w:p>
    <w:p w14:paraId="34167D20" w14:textId="2B169062" w:rsidR="00EE275B" w:rsidRDefault="00EE275B" w:rsidP="00EE275B">
      <w:pPr>
        <w:spacing w:after="240"/>
        <w:rPr>
          <w:lang w:eastAsia="en-US"/>
        </w:rPr>
      </w:pPr>
      <w:r>
        <w:rPr>
          <w:rFonts w:cs="Georgia"/>
          <w:color w:val="000000"/>
        </w:rPr>
        <w:t xml:space="preserve">The above formula shows that the cost-weight is influenced by both the average cost of an individual DRG, as well as the overall average cost across all DRGs. The average costs within a given DRG, and across all DRGs, are in turn influenced by the underlying distribution of separations by hospital attribute by which average costs can vary. Therefore, to ensure that the national cost-weights are representative of the Australian population of hospitals, it is important </w:t>
      </w:r>
      <w:r>
        <w:rPr>
          <w:rFonts w:cs="Georgia"/>
          <w:color w:val="000000"/>
        </w:rPr>
        <w:lastRenderedPageBreak/>
        <w:t xml:space="preserve">to have a sample that reflects the distribution of separations, and the average </w:t>
      </w:r>
      <w:r>
        <w:rPr>
          <w:rFonts w:cs="Georgia"/>
        </w:rPr>
        <w:t>costs, across the hospital attributes by which costs can vary.</w:t>
      </w:r>
    </w:p>
    <w:p w14:paraId="5DCAF4E9" w14:textId="77777777" w:rsidR="00EE275B" w:rsidRDefault="00EE275B" w:rsidP="00EE275B">
      <w:pPr>
        <w:rPr>
          <w:rFonts w:cs="Georgia"/>
          <w:color w:val="000000"/>
        </w:rPr>
      </w:pPr>
      <w:r>
        <w:rPr>
          <w:rFonts w:cs="Georgia"/>
          <w:color w:val="000000"/>
        </w:rPr>
        <w:t>The study found that there are statistically significant variations in cost between the following hospital attributes:</w:t>
      </w:r>
    </w:p>
    <w:p w14:paraId="4E228900" w14:textId="77777777" w:rsidR="00EE275B" w:rsidRDefault="00EE275B" w:rsidP="004647EB">
      <w:pPr>
        <w:pStyle w:val="ListBullet"/>
        <w:spacing w:before="0" w:after="120"/>
        <w:ind w:left="357" w:hanging="357"/>
      </w:pPr>
      <w:r>
        <w:t>State variations in average costs;</w:t>
      </w:r>
    </w:p>
    <w:p w14:paraId="1DEEB698" w14:textId="77777777" w:rsidR="00EE275B" w:rsidRDefault="00EE275B" w:rsidP="004647EB">
      <w:pPr>
        <w:pStyle w:val="ListBullet"/>
        <w:spacing w:before="0" w:after="120"/>
        <w:ind w:left="357" w:hanging="357"/>
      </w:pPr>
      <w:r>
        <w:t>Status (for profit/non-profit);</w:t>
      </w:r>
    </w:p>
    <w:p w14:paraId="69DFA6C7" w14:textId="77777777" w:rsidR="00EE275B" w:rsidRDefault="00EE275B" w:rsidP="004647EB">
      <w:pPr>
        <w:pStyle w:val="ListBullet"/>
        <w:spacing w:before="0" w:after="120"/>
        <w:ind w:left="357" w:hanging="357"/>
      </w:pPr>
      <w:r>
        <w:t>Hospital size (+8,000 separations or under 8,000 separations); and</w:t>
      </w:r>
    </w:p>
    <w:p w14:paraId="440E1E06" w14:textId="77777777" w:rsidR="00EE275B" w:rsidRDefault="00EE275B" w:rsidP="004647EB">
      <w:pPr>
        <w:pStyle w:val="ListBullet"/>
        <w:spacing w:before="0" w:after="120"/>
        <w:ind w:left="357" w:hanging="357"/>
      </w:pPr>
      <w:r>
        <w:t>Region (metropolitan verses non-metropolitan).</w:t>
      </w:r>
    </w:p>
    <w:p w14:paraId="6CA29E13" w14:textId="25ACEC7B" w:rsidR="00EE275B" w:rsidRDefault="00EE275B" w:rsidP="00EE275B">
      <w:pPr>
        <w:spacing w:after="240"/>
        <w:rPr>
          <w:rFonts w:cs="Georgia"/>
          <w:color w:val="000000"/>
        </w:rPr>
      </w:pPr>
      <w:r>
        <w:rPr>
          <w:rFonts w:cs="Georgia"/>
          <w:color w:val="000000"/>
        </w:rPr>
        <w:t>To ensu</w:t>
      </w:r>
      <w:r w:rsidR="004647EB">
        <w:rPr>
          <w:rFonts w:cs="Georgia"/>
          <w:color w:val="000000"/>
        </w:rPr>
        <w:t xml:space="preserve">re that the average cost per </w:t>
      </w:r>
      <w:r>
        <w:rPr>
          <w:rFonts w:cs="Georgia"/>
          <w:color w:val="000000"/>
        </w:rPr>
        <w:t xml:space="preserve">DRG represents a national average, the attributes of the participating hospitals must be such that they represent the hospital attributes by which costs can vary.  </w:t>
      </w:r>
    </w:p>
    <w:p w14:paraId="35972D33" w14:textId="5209590C" w:rsidR="00EE275B" w:rsidRDefault="00EE275B" w:rsidP="00EE275B">
      <w:pPr>
        <w:spacing w:after="240"/>
        <w:rPr>
          <w:rFonts w:cs="Georgia"/>
          <w:color w:val="000000"/>
        </w:rPr>
      </w:pPr>
      <w:r>
        <w:rPr>
          <w:rFonts w:cs="Georgia"/>
          <w:color w:val="000000"/>
        </w:rPr>
        <w:t>Weighting factors can then be applied to re-balance the</w:t>
      </w:r>
      <w:r w:rsidR="004647EB">
        <w:rPr>
          <w:rFonts w:cs="Georgia"/>
          <w:color w:val="000000"/>
        </w:rPr>
        <w:t xml:space="preserve"> sample to the population by </w:t>
      </w:r>
      <w:r>
        <w:rPr>
          <w:rFonts w:cs="Georgia"/>
          <w:color w:val="000000"/>
        </w:rPr>
        <w:t>DRG and hospital attribute. Therefore, the attributes listed above can be used to formulate a sampling frame against which hospitals can be recruited to participate.</w:t>
      </w:r>
    </w:p>
    <w:p w14:paraId="03ADBF65" w14:textId="77777777" w:rsidR="00EE275B" w:rsidRPr="0035218F" w:rsidRDefault="00EE275B" w:rsidP="00951E08">
      <w:pPr>
        <w:pStyle w:val="Intro"/>
        <w:rPr>
          <w:b/>
        </w:rPr>
      </w:pPr>
      <w:r w:rsidRPr="0035218F">
        <w:rPr>
          <w:b/>
        </w:rPr>
        <w:t>Outcome of analysis</w:t>
      </w:r>
    </w:p>
    <w:p w14:paraId="4133B199" w14:textId="7A6AAE0A" w:rsidR="00F30C33" w:rsidRDefault="00EE275B" w:rsidP="00AB343B">
      <w:r w:rsidRPr="00D57A2B">
        <w:t>Based on the above analysis and to achieve a separation sample size of 60</w:t>
      </w:r>
      <w:r w:rsidR="004647EB">
        <w:t xml:space="preserve"> per cent</w:t>
      </w:r>
      <w:r w:rsidRPr="00D57A2B">
        <w:t xml:space="preserve"> IHPA agreed that for the</w:t>
      </w:r>
      <w:r w:rsidR="00AB343B">
        <w:t xml:space="preserve"> previous rounds of the</w:t>
      </w:r>
      <w:r w:rsidRPr="00D57A2B">
        <w:t xml:space="preserve"> private overnight NHCDC the </w:t>
      </w:r>
      <w:r w:rsidRPr="00D57A2B">
        <w:rPr>
          <w:rFonts w:cs="Georgia"/>
          <w:color w:val="000000"/>
        </w:rPr>
        <w:t xml:space="preserve">target minimum number of </w:t>
      </w:r>
      <w:r w:rsidR="00746D0C">
        <w:rPr>
          <w:rFonts w:cs="Georgia"/>
          <w:color w:val="000000"/>
        </w:rPr>
        <w:t>10</w:t>
      </w:r>
      <w:r w:rsidRPr="00D57A2B">
        <w:rPr>
          <w:rFonts w:cs="Georgia"/>
          <w:color w:val="000000"/>
        </w:rPr>
        <w:t xml:space="preserve"> hospitals will be required.</w:t>
      </w:r>
      <w:r w:rsidR="00EE42F8" w:rsidRPr="00D57A2B">
        <w:rPr>
          <w:rFonts w:cs="Georgia"/>
          <w:color w:val="000000"/>
        </w:rPr>
        <w:t xml:space="preserve">  With the caveat that the </w:t>
      </w:r>
      <w:r w:rsidR="00D57A2B" w:rsidRPr="00D57A2B">
        <w:rPr>
          <w:rFonts w:cs="Georgia"/>
          <w:color w:val="000000"/>
        </w:rPr>
        <w:t>participants</w:t>
      </w:r>
      <w:r w:rsidR="00EE42F8" w:rsidRPr="00D57A2B">
        <w:rPr>
          <w:rFonts w:cs="Georgia"/>
          <w:color w:val="000000"/>
        </w:rPr>
        <w:t xml:space="preserve"> would </w:t>
      </w:r>
      <w:r w:rsidR="00D57A2B" w:rsidRPr="00D57A2B">
        <w:rPr>
          <w:rFonts w:cs="Georgia"/>
          <w:color w:val="000000"/>
        </w:rPr>
        <w:t>submit</w:t>
      </w:r>
      <w:r w:rsidR="00EE42F8" w:rsidRPr="00D57A2B">
        <w:rPr>
          <w:rFonts w:cs="Georgia"/>
          <w:color w:val="000000"/>
        </w:rPr>
        <w:t xml:space="preserve"> </w:t>
      </w:r>
      <w:r w:rsidR="004647EB">
        <w:t>at least 90 per cent</w:t>
      </w:r>
      <w:r w:rsidR="00D57A2B" w:rsidRPr="00D57A2B">
        <w:t xml:space="preserve"> of the submitting hospital establishment’s total in-scope activity, which is evaluated as a ratio of total in-scope activity data submitted for the </w:t>
      </w:r>
      <w:r w:rsidR="00135776">
        <w:t>PHDB</w:t>
      </w:r>
      <w:r w:rsidR="00D57A2B" w:rsidRPr="00D57A2B">
        <w:t xml:space="preserve"> collection in that reference period.</w:t>
      </w:r>
      <w:r w:rsidR="00AB343B">
        <w:t xml:space="preserve"> </w:t>
      </w:r>
    </w:p>
    <w:p w14:paraId="72F8643E" w14:textId="144BF647" w:rsidR="00423BB2" w:rsidRDefault="00AB343B" w:rsidP="00AB343B">
      <w:r>
        <w:t>For Round 20</w:t>
      </w:r>
      <w:r w:rsidRPr="00EE42F8">
        <w:t xml:space="preserve"> the participation rate was </w:t>
      </w:r>
      <w:r>
        <w:t>58 per cent, 91</w:t>
      </w:r>
      <w:r w:rsidRPr="00EE42F8">
        <w:t xml:space="preserve"> hospitals </w:t>
      </w:r>
      <w:r w:rsidRPr="00951E08">
        <w:t>and 9</w:t>
      </w:r>
      <w:r w:rsidRPr="00EE42F8">
        <w:t xml:space="preserve"> groups therefore</w:t>
      </w:r>
      <w:r>
        <w:t xml:space="preserve">, as </w:t>
      </w:r>
      <w:r w:rsidRPr="00EE42F8">
        <w:t>th</w:t>
      </w:r>
      <w:r>
        <w:t>is was satisfactory against the criteria, the</w:t>
      </w:r>
      <w:r w:rsidRPr="00EE42F8">
        <w:t xml:space="preserve"> collection proceeded.</w:t>
      </w:r>
    </w:p>
    <w:p w14:paraId="1194F4FF" w14:textId="77777777" w:rsidR="00423BB2" w:rsidRDefault="00423BB2" w:rsidP="00AB343B"/>
    <w:p w14:paraId="26AB6660" w14:textId="77777777" w:rsidR="00423BB2" w:rsidRDefault="00423BB2" w:rsidP="00AB343B"/>
    <w:p w14:paraId="5007B96D" w14:textId="4407FBC5" w:rsidR="002315CF" w:rsidRDefault="002315CF" w:rsidP="002315CF">
      <w:pPr>
        <w:rPr>
          <w:rFonts w:asciiTheme="majorHAnsi" w:hAnsiTheme="majorHAnsi"/>
          <w:b/>
          <w:i/>
          <w:snapToGrid w:val="0"/>
          <w:sz w:val="56"/>
          <w:highlight w:val="yellow"/>
        </w:rPr>
        <w:sectPr w:rsidR="002315CF" w:rsidSect="00E22F35">
          <w:footerReference w:type="default" r:id="rId27"/>
          <w:pgSz w:w="11907" w:h="16840" w:code="9"/>
          <w:pgMar w:top="1701" w:right="1021" w:bottom="2041" w:left="1440" w:header="680" w:footer="510" w:gutter="0"/>
          <w:cols w:space="708"/>
          <w:docGrid w:linePitch="360"/>
        </w:sectPr>
      </w:pPr>
      <w:bookmarkStart w:id="264" w:name="_Toc435611232"/>
      <w:bookmarkStart w:id="265" w:name="_Ref430242964"/>
    </w:p>
    <w:p w14:paraId="53617286" w14:textId="5456628E" w:rsidR="002315CF" w:rsidRDefault="002315CF" w:rsidP="00F40C87">
      <w:pPr>
        <w:pStyle w:val="Heading1"/>
        <w:numPr>
          <w:ilvl w:val="0"/>
          <w:numId w:val="0"/>
        </w:numPr>
        <w:rPr>
          <w:sz w:val="56"/>
          <w:szCs w:val="20"/>
        </w:rPr>
      </w:pPr>
      <w:bookmarkStart w:id="266" w:name="_Ref430270291"/>
      <w:bookmarkStart w:id="267" w:name="_Toc435611233"/>
      <w:bookmarkStart w:id="268" w:name="_Ref433966171"/>
      <w:bookmarkStart w:id="269" w:name="_Toc496857590"/>
      <w:bookmarkStart w:id="270" w:name="_Toc497750214"/>
      <w:r>
        <w:lastRenderedPageBreak/>
        <w:t xml:space="preserve">Appendix </w:t>
      </w:r>
      <w:r w:rsidR="00E00286">
        <w:t>B</w:t>
      </w:r>
      <w:r>
        <w:t xml:space="preserve">: </w:t>
      </w:r>
      <w:bookmarkEnd w:id="266"/>
      <w:r>
        <w:t>Detailed methodology</w:t>
      </w:r>
      <w:bookmarkEnd w:id="267"/>
      <w:bookmarkEnd w:id="268"/>
      <w:bookmarkEnd w:id="269"/>
      <w:bookmarkEnd w:id="270"/>
    </w:p>
    <w:p w14:paraId="284635F8" w14:textId="77777777" w:rsidR="002315CF" w:rsidRPr="004647EB" w:rsidRDefault="002315CF" w:rsidP="005C6364">
      <w:pPr>
        <w:pStyle w:val="Heading2"/>
        <w:numPr>
          <w:ilvl w:val="0"/>
          <w:numId w:val="0"/>
        </w:numPr>
        <w:ind w:left="576" w:hanging="576"/>
      </w:pPr>
      <w:bookmarkStart w:id="271" w:name="_Ref431564747"/>
      <w:bookmarkStart w:id="272" w:name="_Ref430163241"/>
      <w:r w:rsidRPr="004647EB">
        <w:t>Stages of the private sector NHCDC</w:t>
      </w:r>
      <w:bookmarkEnd w:id="271"/>
      <w:bookmarkEnd w:id="272"/>
    </w:p>
    <w:p w14:paraId="73B8F5F5" w14:textId="730D1AE0" w:rsidR="003D0713" w:rsidRDefault="002315CF" w:rsidP="002315CF">
      <w:r>
        <w:t xml:space="preserve">The </w:t>
      </w:r>
      <w:r w:rsidR="00202CAA">
        <w:t xml:space="preserve">eight </w:t>
      </w:r>
      <w:r>
        <w:t xml:space="preserve">stages of the collection </w:t>
      </w:r>
      <w:r w:rsidR="003D0713">
        <w:t>are:</w:t>
      </w:r>
    </w:p>
    <w:p w14:paraId="3432377A" w14:textId="6F012CAE" w:rsidR="003D0713" w:rsidRDefault="003D0713" w:rsidP="003D0713">
      <w:pPr>
        <w:spacing w:after="60"/>
      </w:pPr>
      <w:r>
        <w:t>Stage 1: Stakeholder engagement</w:t>
      </w:r>
    </w:p>
    <w:p w14:paraId="0587185E" w14:textId="77777777" w:rsidR="003D0713" w:rsidRDefault="003D0713" w:rsidP="003D0713">
      <w:pPr>
        <w:spacing w:after="60"/>
      </w:pPr>
      <w:r>
        <w:t>Stage 2: Data collection</w:t>
      </w:r>
    </w:p>
    <w:p w14:paraId="2ABE87D8" w14:textId="3FAC5116" w:rsidR="003D0713" w:rsidRDefault="003D0713" w:rsidP="003D0713">
      <w:pPr>
        <w:spacing w:after="60"/>
      </w:pPr>
      <w:r>
        <w:t>Stage 3: Data preparation</w:t>
      </w:r>
    </w:p>
    <w:p w14:paraId="6A6E3E0F" w14:textId="77777777" w:rsidR="003D0713" w:rsidRDefault="003D0713" w:rsidP="003D0713">
      <w:pPr>
        <w:spacing w:after="60"/>
      </w:pPr>
      <w:r>
        <w:t>Stage 4: Costing</w:t>
      </w:r>
    </w:p>
    <w:p w14:paraId="224FC86D" w14:textId="6C108C57" w:rsidR="003D0713" w:rsidRDefault="003D0713" w:rsidP="003D0713">
      <w:pPr>
        <w:spacing w:after="60"/>
      </w:pPr>
      <w:r>
        <w:t>Stage 5: Data submission</w:t>
      </w:r>
    </w:p>
    <w:p w14:paraId="69C8C48D" w14:textId="69A3BDB3" w:rsidR="003D0713" w:rsidRDefault="003D0713" w:rsidP="003D0713">
      <w:pPr>
        <w:tabs>
          <w:tab w:val="left" w:pos="5640"/>
        </w:tabs>
        <w:spacing w:after="60"/>
      </w:pPr>
      <w:r>
        <w:t xml:space="preserve">Stage 6: Data validation and </w:t>
      </w:r>
      <w:r w:rsidR="00135776">
        <w:t>QA</w:t>
      </w:r>
      <w:r>
        <w:tab/>
      </w:r>
    </w:p>
    <w:p w14:paraId="562955F3" w14:textId="0D272DC7" w:rsidR="003D0713" w:rsidRDefault="003D0713" w:rsidP="003D0713">
      <w:pPr>
        <w:spacing w:after="60"/>
      </w:pPr>
      <w:r>
        <w:t>Stage 7: Data analysis (including adjustments)</w:t>
      </w:r>
    </w:p>
    <w:p w14:paraId="0AD3275E" w14:textId="77777777" w:rsidR="003D0713" w:rsidRDefault="003D0713" w:rsidP="003D0713">
      <w:pPr>
        <w:spacing w:after="60"/>
      </w:pPr>
      <w:r>
        <w:t>Stage 8: Reporting</w:t>
      </w:r>
    </w:p>
    <w:p w14:paraId="1C034BE1" w14:textId="157C1E21" w:rsidR="00E7439E" w:rsidRDefault="003D0713" w:rsidP="003D0713">
      <w:pPr>
        <w:tabs>
          <w:tab w:val="left" w:pos="3015"/>
        </w:tabs>
      </w:pPr>
      <w:r>
        <w:t xml:space="preserve">These are </w:t>
      </w:r>
      <w:r w:rsidR="00202CAA">
        <w:t>detailed below.</w:t>
      </w:r>
      <w:r>
        <w:tab/>
      </w:r>
    </w:p>
    <w:p w14:paraId="3FC65CFC" w14:textId="5A565917" w:rsidR="00202CAA" w:rsidRDefault="002315CF" w:rsidP="00750696">
      <w:pPr>
        <w:rPr>
          <w:b/>
        </w:rPr>
      </w:pPr>
      <w:r>
        <w:rPr>
          <w:b/>
        </w:rPr>
        <w:t>Stage 1</w:t>
      </w:r>
      <w:r w:rsidR="00202CAA">
        <w:rPr>
          <w:b/>
        </w:rPr>
        <w:t xml:space="preserve">: </w:t>
      </w:r>
      <w:r w:rsidR="003D0713">
        <w:rPr>
          <w:b/>
        </w:rPr>
        <w:t>Stakeholder engagement</w:t>
      </w:r>
    </w:p>
    <w:p w14:paraId="38811743" w14:textId="3DA4BF51" w:rsidR="00750696" w:rsidRDefault="00750696" w:rsidP="003D0713">
      <w:r>
        <w:t xml:space="preserve">In a change of approach for Round 20, IHPA sought costed data directly from private hospitals for the private sector NHCDC. This is expected to build capacity in the sector and improve data quality. Participants were requested by IHPA to provide a methodology that outlined how the hospital will undertake the costing and submit data. All participants have demonstrated that they have appropriate costing methodologies. </w:t>
      </w:r>
    </w:p>
    <w:p w14:paraId="61C0886E" w14:textId="35FD6293" w:rsidR="00202CAA" w:rsidRDefault="002315CF" w:rsidP="003D0713">
      <w:r>
        <w:rPr>
          <w:b/>
        </w:rPr>
        <w:t>Stage 2</w:t>
      </w:r>
      <w:r w:rsidR="00202CAA">
        <w:rPr>
          <w:b/>
        </w:rPr>
        <w:t xml:space="preserve">: </w:t>
      </w:r>
      <w:r>
        <w:rPr>
          <w:b/>
        </w:rPr>
        <w:t>Data collection</w:t>
      </w:r>
    </w:p>
    <w:p w14:paraId="02D1FC2E" w14:textId="323ECB70" w:rsidR="00750696" w:rsidRDefault="00750696" w:rsidP="002315CF">
      <w:r>
        <w:t>At the commencement of the data collection phase a Data Request Specification (DRS) was prepared and distributed to all participants. Participants performed their own data collection.</w:t>
      </w:r>
    </w:p>
    <w:p w14:paraId="2E0F5B9C" w14:textId="4618915C" w:rsidR="00202CAA" w:rsidRDefault="002315CF" w:rsidP="00750696">
      <w:r>
        <w:rPr>
          <w:b/>
        </w:rPr>
        <w:t>Stage 3</w:t>
      </w:r>
      <w:r w:rsidR="00202CAA">
        <w:rPr>
          <w:b/>
        </w:rPr>
        <w:t>:</w:t>
      </w:r>
      <w:r>
        <w:rPr>
          <w:b/>
        </w:rPr>
        <w:t xml:space="preserve"> </w:t>
      </w:r>
      <w:r w:rsidR="00750696">
        <w:rPr>
          <w:b/>
        </w:rPr>
        <w:t xml:space="preserve">Data </w:t>
      </w:r>
      <w:r w:rsidR="003D0713">
        <w:rPr>
          <w:b/>
        </w:rPr>
        <w:t>preparation</w:t>
      </w:r>
    </w:p>
    <w:p w14:paraId="7660843F" w14:textId="49B176D6" w:rsidR="00E7439E" w:rsidRDefault="00750696" w:rsidP="00750696">
      <w:r>
        <w:t xml:space="preserve">Participants performed their own </w:t>
      </w:r>
      <w:r w:rsidR="00135776">
        <w:t>QA</w:t>
      </w:r>
      <w:r>
        <w:t xml:space="preserve"> checks on their data to verify that the data was appropriate to be used in their costing process.  </w:t>
      </w:r>
    </w:p>
    <w:p w14:paraId="39E71D82" w14:textId="751A233E" w:rsidR="00202CAA" w:rsidRDefault="002315CF" w:rsidP="002315CF">
      <w:r>
        <w:rPr>
          <w:b/>
        </w:rPr>
        <w:t>Stage 4</w:t>
      </w:r>
      <w:r w:rsidR="00202CAA">
        <w:rPr>
          <w:b/>
        </w:rPr>
        <w:t>:</w:t>
      </w:r>
      <w:r>
        <w:rPr>
          <w:b/>
        </w:rPr>
        <w:t xml:space="preserve"> Costing</w:t>
      </w:r>
    </w:p>
    <w:p w14:paraId="6FBE6D1B" w14:textId="3828BE6B" w:rsidR="00E7439E" w:rsidRDefault="002315CF" w:rsidP="002315CF">
      <w:r>
        <w:t xml:space="preserve">The costing phase comprised of participants performing episode level costing using specialised and well-known costing software. Programs used by hospitals in Round 20 include </w:t>
      </w:r>
      <w:proofErr w:type="spellStart"/>
      <w:r>
        <w:t>CostPro</w:t>
      </w:r>
      <w:proofErr w:type="spellEnd"/>
      <w:r>
        <w:t xml:space="preserve"> plus, PPM and </w:t>
      </w:r>
      <w:r w:rsidR="00E473AD">
        <w:t>C++</w:t>
      </w:r>
      <w:r>
        <w:t>.</w:t>
      </w:r>
    </w:p>
    <w:p w14:paraId="7BDDC8C2" w14:textId="115A779A" w:rsidR="00202CAA" w:rsidRDefault="002315CF" w:rsidP="00750696">
      <w:pPr>
        <w:rPr>
          <w:b/>
        </w:rPr>
      </w:pPr>
      <w:r>
        <w:rPr>
          <w:b/>
        </w:rPr>
        <w:t>Stage 5</w:t>
      </w:r>
      <w:r w:rsidR="00202CAA">
        <w:rPr>
          <w:b/>
        </w:rPr>
        <w:t>:</w:t>
      </w:r>
      <w:r>
        <w:rPr>
          <w:b/>
        </w:rPr>
        <w:t xml:space="preserve"> Data </w:t>
      </w:r>
      <w:r w:rsidR="003D0713">
        <w:rPr>
          <w:b/>
        </w:rPr>
        <w:t>submission</w:t>
      </w:r>
    </w:p>
    <w:p w14:paraId="1990E90D" w14:textId="7C3E7A5C" w:rsidR="00E7439E" w:rsidRDefault="00750696" w:rsidP="00750696">
      <w:pPr>
        <w:rPr>
          <w:b/>
        </w:rPr>
      </w:pPr>
      <w:r>
        <w:t>IHPA required that the participating overnight hospital or hospital groups submit quality data that is in accordance of the Round 20 private sector Data Requirements Specification (DRS)</w:t>
      </w:r>
      <w:r w:rsidRPr="00B4240D">
        <w:t xml:space="preserve"> </w:t>
      </w:r>
      <w:r>
        <w:t>along with a data quality checklist, which provided IHPA the context of their costing process.</w:t>
      </w:r>
      <w:r>
        <w:rPr>
          <w:b/>
        </w:rPr>
        <w:t xml:space="preserve"> </w:t>
      </w:r>
      <w:r>
        <w:t>Participants were informed of the costed data collection timeframes and provided access to the N</w:t>
      </w:r>
      <w:r w:rsidR="00D81F1E">
        <w:t>ational Health Reform</w:t>
      </w:r>
      <w:r>
        <w:t xml:space="preserve"> </w:t>
      </w:r>
      <w:r w:rsidR="00D81F1E">
        <w:t>EDW</w:t>
      </w:r>
      <w:r>
        <w:t xml:space="preserve"> drop box to upload and submit. The participating hospitals were provided a Data Transfer Guide to help navigate through the new process and to communicate processing timeframes.</w:t>
      </w:r>
    </w:p>
    <w:p w14:paraId="6E4CF24D" w14:textId="03E90EE5" w:rsidR="00202CAA" w:rsidRDefault="002315CF" w:rsidP="00750696">
      <w:r>
        <w:rPr>
          <w:b/>
        </w:rPr>
        <w:t>S</w:t>
      </w:r>
      <w:r w:rsidR="00750696">
        <w:rPr>
          <w:b/>
        </w:rPr>
        <w:t>tage 6</w:t>
      </w:r>
      <w:r w:rsidR="00202CAA">
        <w:rPr>
          <w:b/>
        </w:rPr>
        <w:t xml:space="preserve">: </w:t>
      </w:r>
      <w:r w:rsidR="00750696">
        <w:rPr>
          <w:b/>
        </w:rPr>
        <w:t xml:space="preserve">Data </w:t>
      </w:r>
      <w:r w:rsidR="003D0713">
        <w:rPr>
          <w:b/>
        </w:rPr>
        <w:t xml:space="preserve">validation </w:t>
      </w:r>
      <w:r w:rsidR="00750696">
        <w:rPr>
          <w:b/>
        </w:rPr>
        <w:t>and Quality Assurance</w:t>
      </w:r>
    </w:p>
    <w:p w14:paraId="13605DA9" w14:textId="18F8596E" w:rsidR="00750696" w:rsidRDefault="00750696" w:rsidP="00750696">
      <w:r>
        <w:lastRenderedPageBreak/>
        <w:t>Participants were required to submit their costed data as csv files which pass data checks documented in the DRS. IHPA only accepted data with zero critical errors and which represented at least 90 per cent of the submitted hospital establishment’s total in-scope activity.</w:t>
      </w:r>
    </w:p>
    <w:p w14:paraId="72F5CF7E" w14:textId="77777777" w:rsidR="00750696" w:rsidRDefault="00750696" w:rsidP="00750696">
      <w:pPr>
        <w:rPr>
          <w:b/>
        </w:rPr>
      </w:pPr>
      <w:r>
        <w:t>Where the costed data did not meet the DRS requirements, Participants were asked to review the files and make the necessary changes and then re-submit the data.</w:t>
      </w:r>
    </w:p>
    <w:p w14:paraId="5B261054" w14:textId="77777777" w:rsidR="00750696" w:rsidRDefault="00750696" w:rsidP="00750696">
      <w:r>
        <w:t xml:space="preserve">Once the data was validated, IHPA reviewed the data and produces QA reports to assist participants to confirm the accuracy and appropriateness of the data submission.  </w:t>
      </w:r>
      <w:r w:rsidRPr="00750696">
        <w:t>This included checking for uncharacteristic traits in the data submission in areas that have potential to have a material impact on the data, such as zero or negative cost buckets, costs in prosthesis or operating rooms which are not expected to have costs (and vice versa) and DRG flipping</w:t>
      </w:r>
      <w:r w:rsidRPr="00750696">
        <w:rPr>
          <w:rStyle w:val="FootnoteReference"/>
        </w:rPr>
        <w:footnoteReference w:id="13"/>
      </w:r>
      <w:r w:rsidRPr="00750696">
        <w:t>.</w:t>
      </w:r>
      <w:r>
        <w:t xml:space="preserve"> If the QA reports identified uncharacteristic traits, the participant was asked to investigate and either adjust the data or justify the deviation. Once all uncharacteristic traits were justified, the participant confirmed their data was final </w:t>
      </w:r>
    </w:p>
    <w:p w14:paraId="5E4D5495" w14:textId="77777777" w:rsidR="00750696" w:rsidRDefault="00750696" w:rsidP="00750696">
      <w:r>
        <w:t xml:space="preserve">On finalisation of the valid costed data submission, IHPA required participants to submit a data quality statement. </w:t>
      </w:r>
      <w:r w:rsidRPr="0065570E">
        <w:t xml:space="preserve"> </w:t>
      </w:r>
      <w:r>
        <w:t>The data quality statements inform IHPA of the key matters that may impact each participant’s data submission and provide assurance that the data was fit for purpose.</w:t>
      </w:r>
    </w:p>
    <w:p w14:paraId="57B2D1D0" w14:textId="77777777" w:rsidR="00750696" w:rsidRDefault="00750696" w:rsidP="00750696">
      <w:r>
        <w:t>IHPA then consolidated the data submission into a national costed data set.</w:t>
      </w:r>
    </w:p>
    <w:p w14:paraId="0A8B8231" w14:textId="13164B83" w:rsidR="00202CAA" w:rsidRDefault="002315CF" w:rsidP="00750696">
      <w:r>
        <w:rPr>
          <w:b/>
        </w:rPr>
        <w:t>Stage 7</w:t>
      </w:r>
      <w:r w:rsidR="00202CAA">
        <w:rPr>
          <w:b/>
        </w:rPr>
        <w:t>:</w:t>
      </w:r>
      <w:r>
        <w:rPr>
          <w:b/>
        </w:rPr>
        <w:t xml:space="preserve"> </w:t>
      </w:r>
      <w:r w:rsidR="003D0713">
        <w:rPr>
          <w:b/>
        </w:rPr>
        <w:t>Data analysis (including adjustments)</w:t>
      </w:r>
    </w:p>
    <w:p w14:paraId="5875371F" w14:textId="250E523E" w:rsidR="00750696" w:rsidRDefault="00750696" w:rsidP="00750696">
      <w:r>
        <w:t xml:space="preserve">PwC reviewed the data set for DRG flipping.  In Round 20 there were a small number of these instances which were analysed and which IHPA either accepted or requested agreement </w:t>
      </w:r>
      <w:r w:rsidR="00746D0C">
        <w:t>with the</w:t>
      </w:r>
      <w:r>
        <w:t xml:space="preserve"> relevant participants to trim the data set for specific episodes that were considered outliers.  </w:t>
      </w:r>
    </w:p>
    <w:p w14:paraId="23D09647" w14:textId="77777777" w:rsidR="00750696" w:rsidRDefault="00750696" w:rsidP="00750696">
      <w:r>
        <w:t xml:space="preserve">Based on the adjustments described above the cost weight tables were produced and checked for reasonableness and compared to the Round 18 results. </w:t>
      </w:r>
    </w:p>
    <w:p w14:paraId="3175D018" w14:textId="2B0F6D8C" w:rsidR="00202CAA" w:rsidRDefault="002315CF" w:rsidP="00750696">
      <w:r>
        <w:rPr>
          <w:b/>
        </w:rPr>
        <w:t>Stage 8</w:t>
      </w:r>
      <w:r w:rsidR="00202CAA">
        <w:rPr>
          <w:b/>
        </w:rPr>
        <w:t>:</w:t>
      </w:r>
      <w:r>
        <w:rPr>
          <w:b/>
        </w:rPr>
        <w:t xml:space="preserve"> Reporting</w:t>
      </w:r>
      <w:r>
        <w:t xml:space="preserve"> </w:t>
      </w:r>
    </w:p>
    <w:p w14:paraId="2A0125D1" w14:textId="09EA4C0F" w:rsidR="00750696" w:rsidRDefault="00750696" w:rsidP="00750696">
      <w:r>
        <w:t>PwC analysed the data and produced reports which outlined the results of the Round 20 private sector NHCDC.</w:t>
      </w:r>
    </w:p>
    <w:p w14:paraId="7AE7A763" w14:textId="0C54BEC7" w:rsidR="002315CF" w:rsidRPr="005C6364" w:rsidRDefault="002315CF" w:rsidP="005C6364">
      <w:pPr>
        <w:pStyle w:val="Heading2"/>
        <w:numPr>
          <w:ilvl w:val="0"/>
          <w:numId w:val="0"/>
        </w:numPr>
        <w:ind w:left="576" w:hanging="576"/>
      </w:pPr>
      <w:r w:rsidRPr="005C6364">
        <w:t>Round 20</w:t>
      </w:r>
      <w:r w:rsidR="003D0713" w:rsidRPr="005C6364">
        <w:t xml:space="preserve"> approach</w:t>
      </w:r>
    </w:p>
    <w:p w14:paraId="3067D5E9" w14:textId="1EED07CA" w:rsidR="00E7439E" w:rsidRDefault="00FA7EC6" w:rsidP="002315CF">
      <w:r>
        <w:t xml:space="preserve">IHPA changed its approach to Round 20, where all participants were required to cost their own data. Each hospital group conducted their own costing processes which required to be performed in compliance with the </w:t>
      </w:r>
      <w:r w:rsidR="007C3059">
        <w:t>AHPCS</w:t>
      </w:r>
      <w:r>
        <w:t xml:space="preserve"> version 3.1. IHPA evaluated that the costing approaches submitted by the participants demonstrated their ability to submit quality costed data sets.</w:t>
      </w:r>
      <w:r w:rsidR="002315CF">
        <w:t xml:space="preserve">  </w:t>
      </w:r>
    </w:p>
    <w:p w14:paraId="17C3140E" w14:textId="77777777" w:rsidR="00202CAA" w:rsidRPr="00202CAA" w:rsidRDefault="00202CAA" w:rsidP="003D0713">
      <w:pPr>
        <w:pStyle w:val="Heading3"/>
        <w:numPr>
          <w:ilvl w:val="0"/>
          <w:numId w:val="0"/>
        </w:numPr>
        <w:spacing w:after="0"/>
        <w:ind w:left="720" w:hanging="720"/>
      </w:pPr>
      <w:r w:rsidRPr="00202CAA">
        <w:t xml:space="preserve">Costing methodologies </w:t>
      </w:r>
    </w:p>
    <w:p w14:paraId="31E51DFA" w14:textId="77777777" w:rsidR="00202CAA" w:rsidRDefault="00202CAA" w:rsidP="00202CAA">
      <w:r>
        <w:t>Hospital costing is the process of identifying the resources and inputs used during an episode and applying the costs of those inputs to the different types of clinical procedures and treatments provided to each patient in a hospital. For Round 20, participating hospitals were requested to provide a methodology that outlined how the hospitals will undertake the costing process and submit costed data.</w:t>
      </w:r>
    </w:p>
    <w:p w14:paraId="3DBBBED6" w14:textId="0B6C59DD" w:rsidR="00202CAA" w:rsidRDefault="00202CAA" w:rsidP="00202CAA">
      <w:r>
        <w:t>There are two main methodologies that were adopted by participants for hospital cost allocations: cost modelled or patient costed, which are outlined below.</w:t>
      </w:r>
    </w:p>
    <w:p w14:paraId="6694E85D" w14:textId="77777777" w:rsidR="00202CAA" w:rsidRDefault="00202CAA" w:rsidP="003D0713">
      <w:pPr>
        <w:spacing w:after="0"/>
        <w:rPr>
          <w:b/>
        </w:rPr>
      </w:pPr>
      <w:r>
        <w:rPr>
          <w:b/>
        </w:rPr>
        <w:t xml:space="preserve">Cost modelling </w:t>
      </w:r>
    </w:p>
    <w:p w14:paraId="79A322B4" w14:textId="77777777" w:rsidR="00202CAA" w:rsidRDefault="00202CAA" w:rsidP="00202CAA">
      <w:r>
        <w:lastRenderedPageBreak/>
        <w:t>Cost modelling (also known as top down costing) takes the total admitted acute costs for patient areas (such as Wards) and allocates costs to encounters based on an assumed level of consumption using service weights.  Service weights are the relative costs of a service for each type of patient care product. Service weights are applied to apportion costs to patient groups defined by their DRG (in the case of acute admitted care).</w:t>
      </w:r>
    </w:p>
    <w:p w14:paraId="02775B51" w14:textId="77777777" w:rsidR="00202CAA" w:rsidRDefault="00202CAA" w:rsidP="003D0713">
      <w:pPr>
        <w:spacing w:after="0"/>
        <w:rPr>
          <w:b/>
        </w:rPr>
      </w:pPr>
      <w:r>
        <w:rPr>
          <w:b/>
        </w:rPr>
        <w:t xml:space="preserve">Patient costing </w:t>
      </w:r>
    </w:p>
    <w:p w14:paraId="7CBE2061" w14:textId="77777777" w:rsidR="00202CAA" w:rsidRDefault="00202CAA" w:rsidP="00202CAA">
      <w:pPr>
        <w:rPr>
          <w:rFonts w:cs="Georgia"/>
        </w:rPr>
      </w:pPr>
      <w:r>
        <w:t>Patient costing (also known as bottom-up costing) uses some type of activity feeder system to provide actual resource consumption.  For example, a prostheses system within a hospital will record what type of prosthesis has been implanted into a patient and the cost.  This data is used to allocate costs to patients from the Prostheses patient care area.</w:t>
      </w:r>
      <w:r w:rsidRPr="00202CAA">
        <w:rPr>
          <w:rFonts w:cs="Georgia"/>
        </w:rPr>
        <w:t xml:space="preserve"> </w:t>
      </w:r>
    </w:p>
    <w:p w14:paraId="306B7A91" w14:textId="24ED2865" w:rsidR="00202CAA" w:rsidRDefault="00202CAA" w:rsidP="00202CAA">
      <w:pPr>
        <w:rPr>
          <w:rFonts w:cs="Georgia"/>
        </w:rPr>
      </w:pPr>
      <w:r>
        <w:rPr>
          <w:rFonts w:cs="Georgia"/>
        </w:rPr>
        <w:t>Patient level costing yields results that are closer to the true cost of an encounter within a hospital, however due to the dependency on feeder systems, perfect patient level costing can be difficult to achieve.</w:t>
      </w:r>
    </w:p>
    <w:p w14:paraId="4373AFDD" w14:textId="649E8C67" w:rsidR="002315CF" w:rsidRDefault="002315CF" w:rsidP="00823FE0">
      <w:pPr>
        <w:pStyle w:val="Heading3"/>
        <w:numPr>
          <w:ilvl w:val="0"/>
          <w:numId w:val="0"/>
        </w:numPr>
        <w:ind w:left="720" w:hanging="720"/>
      </w:pPr>
      <w:bookmarkStart w:id="273" w:name="_Toc496857593"/>
      <w:r>
        <w:t>Data sources</w:t>
      </w:r>
      <w:bookmarkEnd w:id="273"/>
    </w:p>
    <w:p w14:paraId="6CAFD220" w14:textId="77777777" w:rsidR="00FA7EC6" w:rsidRDefault="00FA7EC6" w:rsidP="00FA7EC6">
      <w:r>
        <w:t>In this Round, the following categories of patient level data components have been utilised during the costing process:</w:t>
      </w:r>
    </w:p>
    <w:p w14:paraId="301D1681" w14:textId="77777777" w:rsidR="00FA7EC6" w:rsidRDefault="00FA7EC6" w:rsidP="00FA7EC6">
      <w:r w:rsidRPr="00E126EB">
        <w:rPr>
          <w:b/>
        </w:rPr>
        <w:t>Financial data:</w:t>
      </w:r>
      <w:r w:rsidRPr="00E126EB">
        <w:t xml:space="preserve"> </w:t>
      </w:r>
      <w:r>
        <w:rPr>
          <w:rFonts w:eastAsiaTheme="minorHAnsi"/>
        </w:rPr>
        <w:t>This includes the general ledger cost centres and account codes, along with mapping of those cost centres to patient care areas and standardised line items. This data set excluded revenue cost centres and/or account codes.</w:t>
      </w:r>
    </w:p>
    <w:p w14:paraId="66F51685" w14:textId="77777777" w:rsidR="00FA7EC6" w:rsidRDefault="00FA7EC6" w:rsidP="00FA7EC6">
      <w:pPr>
        <w:rPr>
          <w:rFonts w:eastAsiaTheme="minorHAnsi"/>
        </w:rPr>
      </w:pPr>
      <w:r w:rsidRPr="00E126EB">
        <w:rPr>
          <w:b/>
        </w:rPr>
        <w:t>Activity data:</w:t>
      </w:r>
      <w:r w:rsidRPr="00E126EB">
        <w:t xml:space="preserve"> </w:t>
      </w:r>
      <w:r>
        <w:rPr>
          <w:rFonts w:eastAsiaTheme="minorHAnsi"/>
        </w:rPr>
        <w:t xml:space="preserve">This includes the encounter level data (such as patient ID, encounter ID, date of birth etc.) and transfer information identifying the patient’s pathway through the hospital via transfers between areas such as operating rooms and wards. </w:t>
      </w:r>
    </w:p>
    <w:p w14:paraId="636DED57" w14:textId="77777777" w:rsidR="00FA7EC6" w:rsidRDefault="00FA7EC6" w:rsidP="00FA7EC6">
      <w:r w:rsidRPr="0035218F">
        <w:rPr>
          <w:b/>
        </w:rPr>
        <w:t>Feeder data:</w:t>
      </w:r>
      <w:r w:rsidRPr="0035218F">
        <w:t xml:space="preserve"> </w:t>
      </w:r>
      <w:r>
        <w:rPr>
          <w:rFonts w:eastAsiaTheme="minorHAnsi"/>
        </w:rPr>
        <w:t xml:space="preserve">This includes data that identifies patient consumption of hospital products or services within a patient care area. For example, a prosthesis feeder might list the prosthetic items received by a patient and the cost of each. This feeder data was used to allocate costs in the general ledger as it identified how much of the prosthesis products each encounter consumed. </w:t>
      </w:r>
      <w:r>
        <w:t xml:space="preserve">Where no feeder data was submitted, patient care area costs were allocated using service weights. </w:t>
      </w:r>
    </w:p>
    <w:p w14:paraId="0B371A92" w14:textId="77777777" w:rsidR="00FA7EC6" w:rsidRDefault="00FA7EC6" w:rsidP="00FA7EC6">
      <w:pPr>
        <w:pStyle w:val="Heading3"/>
        <w:numPr>
          <w:ilvl w:val="0"/>
          <w:numId w:val="0"/>
        </w:numPr>
        <w:ind w:left="720" w:hanging="720"/>
      </w:pPr>
      <w:bookmarkStart w:id="274" w:name="_Toc496857595"/>
      <w:r>
        <w:t>Cost bucket or cost components</w:t>
      </w:r>
      <w:bookmarkEnd w:id="274"/>
      <w:r>
        <w:t xml:space="preserve"> </w:t>
      </w:r>
    </w:p>
    <w:p w14:paraId="5C02FF18" w14:textId="77777777" w:rsidR="00FA7EC6" w:rsidRDefault="00FA7EC6" w:rsidP="00FA7EC6">
      <w:r>
        <w:t>In the NHCDC, the cost of an episode of acute admitted care is reported by allocating patient level costs to a set of pre-defined cost buckets/cost components. The cost buckets are listed as follows:</w:t>
      </w:r>
    </w:p>
    <w:p w14:paraId="24317D4C" w14:textId="77777777" w:rsidR="00202CAA" w:rsidRDefault="00202CAA" w:rsidP="0022779A">
      <w:pPr>
        <w:pStyle w:val="ListParagraph"/>
        <w:numPr>
          <w:ilvl w:val="0"/>
          <w:numId w:val="13"/>
        </w:numPr>
        <w:sectPr w:rsidR="00202CAA" w:rsidSect="001070A4">
          <w:pgSz w:w="11907" w:h="16840" w:code="9"/>
          <w:pgMar w:top="2041" w:right="1440" w:bottom="1021" w:left="1021" w:header="680" w:footer="510" w:gutter="0"/>
          <w:cols w:space="708"/>
          <w:docGrid w:linePitch="360"/>
        </w:sectPr>
      </w:pPr>
    </w:p>
    <w:p w14:paraId="7A01346D" w14:textId="56C023FD" w:rsidR="00FA7EC6" w:rsidRDefault="00FA7EC6" w:rsidP="00D80696">
      <w:pPr>
        <w:pStyle w:val="ListParagraph"/>
        <w:numPr>
          <w:ilvl w:val="0"/>
          <w:numId w:val="13"/>
        </w:numPr>
        <w:ind w:left="426" w:hanging="426"/>
      </w:pPr>
      <w:r>
        <w:lastRenderedPageBreak/>
        <w:t>Ward Medical</w:t>
      </w:r>
    </w:p>
    <w:p w14:paraId="1B452B57" w14:textId="77777777" w:rsidR="00FA7EC6" w:rsidRDefault="00FA7EC6" w:rsidP="00D80696">
      <w:pPr>
        <w:pStyle w:val="ListParagraph"/>
        <w:numPr>
          <w:ilvl w:val="0"/>
          <w:numId w:val="13"/>
        </w:numPr>
        <w:ind w:left="426" w:hanging="426"/>
      </w:pPr>
      <w:r>
        <w:t>Ward Nursing</w:t>
      </w:r>
    </w:p>
    <w:p w14:paraId="479C7841" w14:textId="77777777" w:rsidR="00FA7EC6" w:rsidRDefault="00FA7EC6" w:rsidP="00D80696">
      <w:pPr>
        <w:pStyle w:val="ListParagraph"/>
        <w:numPr>
          <w:ilvl w:val="0"/>
          <w:numId w:val="13"/>
        </w:numPr>
        <w:ind w:left="426" w:hanging="426"/>
      </w:pPr>
      <w:r>
        <w:t>Non-clinical Salaries</w:t>
      </w:r>
    </w:p>
    <w:p w14:paraId="58BE32AC" w14:textId="77777777" w:rsidR="00FA7EC6" w:rsidRDefault="00FA7EC6" w:rsidP="00D80696">
      <w:pPr>
        <w:pStyle w:val="ListParagraph"/>
        <w:numPr>
          <w:ilvl w:val="0"/>
          <w:numId w:val="13"/>
        </w:numPr>
        <w:ind w:left="426" w:hanging="426"/>
      </w:pPr>
      <w:r>
        <w:t>Pathology</w:t>
      </w:r>
    </w:p>
    <w:p w14:paraId="13AAE141" w14:textId="084C2CA9" w:rsidR="00FA7EC6" w:rsidRDefault="00FA7EC6" w:rsidP="00D80696">
      <w:pPr>
        <w:pStyle w:val="ListParagraph"/>
        <w:numPr>
          <w:ilvl w:val="0"/>
          <w:numId w:val="13"/>
        </w:numPr>
        <w:ind w:left="426" w:hanging="426"/>
      </w:pPr>
      <w:r>
        <w:t>Imaging</w:t>
      </w:r>
    </w:p>
    <w:p w14:paraId="6D59FB86" w14:textId="77777777" w:rsidR="00D80696" w:rsidRPr="00D80696" w:rsidRDefault="00D80696" w:rsidP="00D80696">
      <w:pPr>
        <w:rPr>
          <w:sz w:val="16"/>
        </w:rPr>
      </w:pPr>
    </w:p>
    <w:p w14:paraId="1D903C41" w14:textId="77777777" w:rsidR="00FA7EC6" w:rsidRDefault="00FA7EC6" w:rsidP="00D80696">
      <w:pPr>
        <w:pStyle w:val="ListParagraph"/>
        <w:numPr>
          <w:ilvl w:val="0"/>
          <w:numId w:val="13"/>
        </w:numPr>
        <w:ind w:left="426" w:hanging="426"/>
      </w:pPr>
      <w:r>
        <w:lastRenderedPageBreak/>
        <w:t>Allied Health</w:t>
      </w:r>
    </w:p>
    <w:p w14:paraId="41644196" w14:textId="77777777" w:rsidR="00FA7EC6" w:rsidRDefault="00FA7EC6" w:rsidP="00D80696">
      <w:pPr>
        <w:pStyle w:val="ListParagraph"/>
        <w:numPr>
          <w:ilvl w:val="0"/>
          <w:numId w:val="13"/>
        </w:numPr>
        <w:ind w:left="426" w:hanging="426"/>
      </w:pPr>
      <w:r>
        <w:t>Pharmacy</w:t>
      </w:r>
    </w:p>
    <w:p w14:paraId="3E34E545" w14:textId="77777777" w:rsidR="00FA7EC6" w:rsidRDefault="00FA7EC6" w:rsidP="00D80696">
      <w:pPr>
        <w:pStyle w:val="ListParagraph"/>
        <w:numPr>
          <w:ilvl w:val="0"/>
          <w:numId w:val="13"/>
        </w:numPr>
        <w:ind w:left="426" w:hanging="426"/>
      </w:pPr>
      <w:r>
        <w:t>Critical Care</w:t>
      </w:r>
    </w:p>
    <w:p w14:paraId="0E4C5060" w14:textId="77777777" w:rsidR="00FA7EC6" w:rsidRDefault="00FA7EC6" w:rsidP="00D80696">
      <w:pPr>
        <w:pStyle w:val="ListParagraph"/>
        <w:numPr>
          <w:ilvl w:val="0"/>
          <w:numId w:val="13"/>
        </w:numPr>
        <w:ind w:left="426" w:hanging="426"/>
      </w:pPr>
      <w:r>
        <w:t>Operating Rooms</w:t>
      </w:r>
    </w:p>
    <w:p w14:paraId="20B43138" w14:textId="77777777" w:rsidR="00FA7EC6" w:rsidRDefault="00FA7EC6" w:rsidP="00D80696">
      <w:pPr>
        <w:pStyle w:val="ListParagraph"/>
        <w:numPr>
          <w:ilvl w:val="0"/>
          <w:numId w:val="13"/>
        </w:numPr>
        <w:ind w:left="426" w:hanging="426"/>
      </w:pPr>
      <w:r>
        <w:t>Supplies</w:t>
      </w:r>
    </w:p>
    <w:p w14:paraId="3013435C" w14:textId="77777777" w:rsidR="00D80696" w:rsidRPr="00D80696" w:rsidRDefault="00D80696" w:rsidP="00D80696">
      <w:pPr>
        <w:rPr>
          <w:sz w:val="16"/>
        </w:rPr>
      </w:pPr>
    </w:p>
    <w:p w14:paraId="3BD0E99E" w14:textId="77777777" w:rsidR="00FA7EC6" w:rsidRDefault="00FA7EC6" w:rsidP="00D80696">
      <w:pPr>
        <w:pStyle w:val="ListParagraph"/>
        <w:numPr>
          <w:ilvl w:val="0"/>
          <w:numId w:val="13"/>
        </w:numPr>
        <w:ind w:left="426" w:hanging="426"/>
      </w:pPr>
      <w:r>
        <w:lastRenderedPageBreak/>
        <w:t>Specialist Procedure Suites</w:t>
      </w:r>
    </w:p>
    <w:p w14:paraId="589F15AF" w14:textId="77777777" w:rsidR="00FA7EC6" w:rsidRDefault="00FA7EC6" w:rsidP="00D80696">
      <w:pPr>
        <w:pStyle w:val="ListParagraph"/>
        <w:numPr>
          <w:ilvl w:val="0"/>
          <w:numId w:val="13"/>
        </w:numPr>
        <w:ind w:left="426" w:hanging="426"/>
      </w:pPr>
      <w:r>
        <w:t>On-costs</w:t>
      </w:r>
    </w:p>
    <w:p w14:paraId="6A0FB8C2" w14:textId="77777777" w:rsidR="00FA7EC6" w:rsidRDefault="00FA7EC6" w:rsidP="00D80696">
      <w:pPr>
        <w:pStyle w:val="ListParagraph"/>
        <w:numPr>
          <w:ilvl w:val="0"/>
          <w:numId w:val="13"/>
        </w:numPr>
        <w:ind w:left="426" w:hanging="426"/>
      </w:pPr>
      <w:r>
        <w:t>Prostheses</w:t>
      </w:r>
    </w:p>
    <w:p w14:paraId="782FD0AD" w14:textId="77777777" w:rsidR="00FA7EC6" w:rsidRDefault="00FA7EC6" w:rsidP="00D80696">
      <w:pPr>
        <w:pStyle w:val="ListParagraph"/>
        <w:numPr>
          <w:ilvl w:val="0"/>
          <w:numId w:val="13"/>
        </w:numPr>
        <w:ind w:left="426" w:hanging="426"/>
      </w:pPr>
      <w:r>
        <w:t>Hotel</w:t>
      </w:r>
    </w:p>
    <w:p w14:paraId="5D6573C2" w14:textId="77777777" w:rsidR="00FA7EC6" w:rsidRDefault="00FA7EC6" w:rsidP="00D80696">
      <w:pPr>
        <w:pStyle w:val="ListParagraph"/>
        <w:numPr>
          <w:ilvl w:val="0"/>
          <w:numId w:val="13"/>
        </w:numPr>
        <w:ind w:left="426" w:hanging="426"/>
      </w:pPr>
      <w:r>
        <w:t>Depreciation</w:t>
      </w:r>
    </w:p>
    <w:p w14:paraId="42E7BDE8" w14:textId="77777777" w:rsidR="00202CAA" w:rsidRDefault="00202CAA" w:rsidP="00FA7EC6">
      <w:pPr>
        <w:sectPr w:rsidR="00202CAA" w:rsidSect="00D80696">
          <w:type w:val="continuous"/>
          <w:pgSz w:w="11907" w:h="16840" w:code="9"/>
          <w:pgMar w:top="2041" w:right="1440" w:bottom="1021" w:left="1021" w:header="680" w:footer="510" w:gutter="0"/>
          <w:cols w:num="3" w:space="142" w:equalWidth="0">
            <w:col w:w="3054" w:space="142"/>
            <w:col w:w="2871" w:space="142"/>
            <w:col w:w="3237"/>
          </w:cols>
          <w:docGrid w:linePitch="360"/>
        </w:sectPr>
      </w:pPr>
    </w:p>
    <w:p w14:paraId="1816BD82" w14:textId="19A0A507" w:rsidR="00FA7EC6" w:rsidRDefault="00FA7EC6" w:rsidP="00FA7EC6">
      <w:r>
        <w:lastRenderedPageBreak/>
        <w:t>Please note that Emergency Department cost bucket was excluded for the private sector NHCDC cost buckets as this collection is for acute admitted only.</w:t>
      </w:r>
    </w:p>
    <w:p w14:paraId="3B70EA83" w14:textId="1DA605FD" w:rsidR="00FA7EC6" w:rsidRDefault="00FA7EC6" w:rsidP="00FA7EC6">
      <w:r>
        <w:t>Once each of the cost buckets were calculated for an individual patient, the patient’s total cost of care was derived as the sum of the above components. A description of the cost buckets are provided in</w:t>
      </w:r>
      <w:r w:rsidRPr="00EB6320">
        <w:t xml:space="preserve"> </w:t>
      </w:r>
      <w:r w:rsidR="006A1D04">
        <w:fldChar w:fldCharType="begin"/>
      </w:r>
      <w:r w:rsidR="006A1D04">
        <w:instrText xml:space="preserve"> REF _Ref497337026 \h </w:instrText>
      </w:r>
      <w:r w:rsidR="006A1D04">
        <w:fldChar w:fldCharType="separate"/>
      </w:r>
      <w:r w:rsidR="00681CD9">
        <w:t>Appendix D: Cost weight tables by AR-DRG Version 8.0</w:t>
      </w:r>
      <w:r w:rsidR="006A1D04">
        <w:fldChar w:fldCharType="end"/>
      </w:r>
    </w:p>
    <w:p w14:paraId="7FFD1833" w14:textId="67BE6847" w:rsidR="002315CF" w:rsidRDefault="00FA7EC6" w:rsidP="00823FE0">
      <w:pPr>
        <w:pStyle w:val="Heading3"/>
        <w:numPr>
          <w:ilvl w:val="0"/>
          <w:numId w:val="0"/>
        </w:numPr>
        <w:ind w:left="720" w:hanging="720"/>
      </w:pPr>
      <w:bookmarkStart w:id="275" w:name="_Toc496857596"/>
      <w:r>
        <w:lastRenderedPageBreak/>
        <w:t>AR-</w:t>
      </w:r>
      <w:r w:rsidR="002315CF">
        <w:t>DRG grouping</w:t>
      </w:r>
      <w:bookmarkEnd w:id="275"/>
    </w:p>
    <w:p w14:paraId="2B964D72" w14:textId="13E767EE" w:rsidR="002315CF" w:rsidRDefault="002315CF" w:rsidP="002315CF">
      <w:r w:rsidRPr="00821D1E">
        <w:t xml:space="preserve">All </w:t>
      </w:r>
      <w:r>
        <w:t>91</w:t>
      </w:r>
      <w:r w:rsidRPr="00821D1E">
        <w:t xml:space="preserve"> hospitals submitted data </w:t>
      </w:r>
      <w:r w:rsidR="00D80696">
        <w:t>costed in a</w:t>
      </w:r>
      <w:r w:rsidRPr="00821D1E">
        <w:t xml:space="preserve"> prior version to AR-DRG </w:t>
      </w:r>
      <w:r>
        <w:t>v</w:t>
      </w:r>
      <w:r w:rsidR="00D80696">
        <w:t xml:space="preserve">ersion </w:t>
      </w:r>
      <w:r>
        <w:t>8.0</w:t>
      </w:r>
      <w:r w:rsidRPr="00821D1E">
        <w:t xml:space="preserve">.  </w:t>
      </w:r>
      <w:r w:rsidR="00B46890" w:rsidRPr="00821D1E">
        <w:t>The</w:t>
      </w:r>
      <w:r w:rsidR="00B46890">
        <w:t xml:space="preserve"> </w:t>
      </w:r>
      <w:r w:rsidR="00D80696">
        <w:t>data</w:t>
      </w:r>
      <w:r w:rsidRPr="00821D1E">
        <w:t xml:space="preserve"> w</w:t>
      </w:r>
      <w:r w:rsidR="00B46890">
        <w:t>as</w:t>
      </w:r>
      <w:r w:rsidR="006A1D04">
        <w:t xml:space="preserve"> </w:t>
      </w:r>
      <w:r w:rsidRPr="00821D1E">
        <w:t xml:space="preserve">regrouped using grouping software to AR-DRG version </w:t>
      </w:r>
      <w:r>
        <w:t>8.0</w:t>
      </w:r>
      <w:r w:rsidRPr="00821D1E">
        <w:t>.</w:t>
      </w:r>
      <w:r>
        <w:t xml:space="preserve"> </w:t>
      </w:r>
    </w:p>
    <w:p w14:paraId="4025DE10" w14:textId="77777777" w:rsidR="002315CF" w:rsidRDefault="002315CF" w:rsidP="00823FE0">
      <w:pPr>
        <w:pStyle w:val="Heading3"/>
        <w:numPr>
          <w:ilvl w:val="0"/>
          <w:numId w:val="0"/>
        </w:numPr>
        <w:ind w:left="720" w:hanging="720"/>
      </w:pPr>
      <w:bookmarkStart w:id="276" w:name="_Toc496857597"/>
      <w:r>
        <w:t>Service weights</w:t>
      </w:r>
      <w:bookmarkEnd w:id="276"/>
    </w:p>
    <w:p w14:paraId="07C4E8E1" w14:textId="0FA492F7" w:rsidR="002315CF" w:rsidRDefault="002315CF" w:rsidP="002315CF">
      <w:r>
        <w:t>The 2014-15 service weights were used in Round 20, which are derived from</w:t>
      </w:r>
      <w:r w:rsidR="00B46890">
        <w:t xml:space="preserve"> the</w:t>
      </w:r>
      <w:r>
        <w:t xml:space="preserve"> Round 19 public sector NHCDC.</w:t>
      </w:r>
    </w:p>
    <w:p w14:paraId="2826A3C8" w14:textId="77777777" w:rsidR="002315CF" w:rsidRDefault="002315CF" w:rsidP="00823FE0">
      <w:pPr>
        <w:pStyle w:val="Heading3"/>
        <w:numPr>
          <w:ilvl w:val="0"/>
          <w:numId w:val="0"/>
        </w:numPr>
        <w:ind w:left="720" w:hanging="720"/>
      </w:pPr>
      <w:bookmarkStart w:id="277" w:name="_Toc496857598"/>
      <w:r>
        <w:t>Cost weights</w:t>
      </w:r>
      <w:bookmarkEnd w:id="277"/>
      <w:r>
        <w:t xml:space="preserve"> </w:t>
      </w:r>
    </w:p>
    <w:p w14:paraId="36C730AB" w14:textId="7A7F2E87" w:rsidR="00FA7EC6" w:rsidRDefault="00FA7EC6" w:rsidP="00FA7EC6">
      <w:bookmarkStart w:id="278" w:name="_Toc496857599"/>
      <w:r>
        <w:t>A cost weight for a selected AR-DRG is calculated as the average cost for that DRG, expressed as a weight relative to the overall average cost across all AR-DRGs. The national cost weight across all AR-DRGs is equal to 1.00, with higher cost AR-DRGs having a cost weight higher than 1.00.  The weight is an indicator of the complexity of the care of the patient and thus the resourcing intensity required.   This is often referred to as the casemix of a patient or hospital.</w:t>
      </w:r>
    </w:p>
    <w:p w14:paraId="7AE6A894" w14:textId="77777777" w:rsidR="002315CF" w:rsidRDefault="002315CF" w:rsidP="00823FE0">
      <w:pPr>
        <w:pStyle w:val="Heading3"/>
        <w:numPr>
          <w:ilvl w:val="0"/>
          <w:numId w:val="0"/>
        </w:numPr>
      </w:pPr>
      <w:r>
        <w:t>Costing standards</w:t>
      </w:r>
      <w:bookmarkEnd w:id="278"/>
    </w:p>
    <w:p w14:paraId="1871F3BB" w14:textId="566F824C" w:rsidR="00E7439E" w:rsidRDefault="002315CF" w:rsidP="002315CF">
      <w:r>
        <w:t>Costing was performed in compliance with AHPCS version 3.1.</w:t>
      </w:r>
      <w:bookmarkStart w:id="279" w:name="_Toc353908539"/>
      <w:bookmarkStart w:id="280" w:name="_Toc353911024"/>
      <w:bookmarkStart w:id="281" w:name="_Toc353908540"/>
      <w:bookmarkStart w:id="282" w:name="_Toc353911025"/>
      <w:bookmarkStart w:id="283" w:name="_Toc353908592"/>
      <w:bookmarkStart w:id="284" w:name="_Toc353911077"/>
      <w:bookmarkStart w:id="285" w:name="_Toc353908691"/>
      <w:bookmarkStart w:id="286" w:name="_Toc353911176"/>
      <w:bookmarkStart w:id="287" w:name="_Toc353908692"/>
      <w:bookmarkStart w:id="288" w:name="_Toc353911177"/>
      <w:bookmarkStart w:id="289" w:name="_Toc353908693"/>
      <w:bookmarkStart w:id="290" w:name="_Toc353911178"/>
      <w:bookmarkStart w:id="291" w:name="_Toc353908694"/>
      <w:bookmarkStart w:id="292" w:name="_Toc353911179"/>
      <w:bookmarkStart w:id="293" w:name="_Ref353927377"/>
      <w:bookmarkStart w:id="294" w:name="_Ref353990582"/>
      <w:bookmarkStart w:id="295" w:name="_Ref432602284"/>
      <w:bookmarkStart w:id="296" w:name="_Ref432602294"/>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672DB608" w14:textId="77777777" w:rsidR="002315CF" w:rsidRPr="003D0713" w:rsidRDefault="002315CF" w:rsidP="002315CF">
      <w:pPr>
        <w:rPr>
          <w:b/>
          <w:sz w:val="32"/>
          <w:szCs w:val="32"/>
        </w:rPr>
      </w:pPr>
      <w:r w:rsidRPr="003D0713">
        <w:rPr>
          <w:b/>
          <w:sz w:val="32"/>
          <w:szCs w:val="32"/>
        </w:rPr>
        <w:t>Analysis and reporting</w:t>
      </w:r>
      <w:bookmarkEnd w:id="293"/>
      <w:bookmarkEnd w:id="294"/>
      <w:bookmarkEnd w:id="295"/>
      <w:bookmarkEnd w:id="296"/>
    </w:p>
    <w:p w14:paraId="5FAD32C3" w14:textId="77777777" w:rsidR="002315CF" w:rsidRDefault="002315CF" w:rsidP="002315CF">
      <w:pPr>
        <w:rPr>
          <w:sz w:val="20"/>
        </w:rPr>
      </w:pPr>
      <w:r>
        <w:t>The costing dataset was constructed from the combined hospital costed outputs. The following adjustments were applied to the dataset:</w:t>
      </w:r>
    </w:p>
    <w:p w14:paraId="12814539" w14:textId="77777777" w:rsidR="002315CF" w:rsidRDefault="002315CF" w:rsidP="00823FE0">
      <w:pPr>
        <w:pStyle w:val="Heading3"/>
        <w:numPr>
          <w:ilvl w:val="0"/>
          <w:numId w:val="0"/>
        </w:numPr>
        <w:ind w:left="720" w:hanging="720"/>
      </w:pPr>
      <w:bookmarkStart w:id="297" w:name="_Ref433796181"/>
      <w:bookmarkStart w:id="298" w:name="_Toc496857600"/>
      <w:r>
        <w:t>Neonate adjustment</w:t>
      </w:r>
      <w:bookmarkEnd w:id="297"/>
      <w:bookmarkEnd w:id="298"/>
    </w:p>
    <w:p w14:paraId="329AC2AA" w14:textId="3AF0F46B" w:rsidR="00FA7EC6" w:rsidRDefault="00FA7EC6" w:rsidP="00FA7EC6">
      <w:r>
        <w:t xml:space="preserve">The costs for newborn infants with zero qualified days, in respect of care type 7 (newborn care), and neonate AR-DRGs were allocated to the delivery AR-DRGs of mothers at the same hospital. </w:t>
      </w:r>
    </w:p>
    <w:p w14:paraId="2E633CE3" w14:textId="3A3ECA74" w:rsidR="00E43C69" w:rsidRDefault="00FA7EC6" w:rsidP="002315CF">
      <w:r>
        <w:t>The definition of unqualified days is provided in the National Health Data Dictionary</w:t>
      </w:r>
      <w:r>
        <w:rPr>
          <w:rStyle w:val="FootnoteReference"/>
          <w:rFonts w:ascii="Georgia" w:hAnsi="Georgia"/>
        </w:rPr>
        <w:footnoteReference w:id="14"/>
      </w:r>
      <w:r>
        <w:t>: “unqualified days” relates to the first 9 days of a newborn’s life, unless the newborn is a second or subsequent live born infant or it requires intensive care. This adjustment has been performed consistent with Round 18 private NHCDC.</w:t>
      </w:r>
    </w:p>
    <w:p w14:paraId="42149522" w14:textId="77777777" w:rsidR="00FA7EC6" w:rsidRDefault="00FA7EC6" w:rsidP="00FA7EC6">
      <w:pPr>
        <w:pStyle w:val="Heading3"/>
        <w:numPr>
          <w:ilvl w:val="0"/>
          <w:numId w:val="0"/>
        </w:numPr>
        <w:ind w:left="720" w:hanging="720"/>
      </w:pPr>
      <w:bookmarkStart w:id="299" w:name="_Toc496857601"/>
      <w:r>
        <w:t>Market share adjustment process</w:t>
      </w:r>
    </w:p>
    <w:p w14:paraId="2AA9FF1D" w14:textId="77777777" w:rsidR="00FA7EC6" w:rsidRDefault="00FA7EC6" w:rsidP="00FA7EC6">
      <w:r>
        <w:t xml:space="preserve">The market share was first determined for the hospital groups that requested it, to ensure they were appropriately represented. This was done by calculate the share of the PHDB separations that belonged to the relevant group, </w:t>
      </w:r>
      <w:r w:rsidRPr="00631F30">
        <w:t>against those of the hospital groups which submitted to the NHCDC</w:t>
      </w:r>
      <w:r>
        <w:t>. The data was adjusted accordingly to exclude separations from hospital groups which submitted more separations than their market share.</w:t>
      </w:r>
    </w:p>
    <w:p w14:paraId="56ACB322" w14:textId="77777777" w:rsidR="00FA7EC6" w:rsidRDefault="00FA7EC6" w:rsidP="00FA7EC6">
      <w:pPr>
        <w:pStyle w:val="Heading3"/>
        <w:numPr>
          <w:ilvl w:val="0"/>
          <w:numId w:val="0"/>
        </w:numPr>
        <w:ind w:left="720" w:hanging="720"/>
      </w:pPr>
      <w:r>
        <w:t>Population adjustment process</w:t>
      </w:r>
      <w:bookmarkEnd w:id="299"/>
    </w:p>
    <w:p w14:paraId="3A60F0A6" w14:textId="47467F61" w:rsidR="00FA7EC6" w:rsidRDefault="00FA7EC6" w:rsidP="00FA7EC6">
      <w:r>
        <w:t xml:space="preserve">To ensure the results reflect the full range of Australia’s private hospitals, an estimation process is adopted to create representative national costing and activity </w:t>
      </w:r>
      <w:r w:rsidR="009E6DCF">
        <w:t>Figure</w:t>
      </w:r>
      <w:r>
        <w:t xml:space="preserve">s from sample data. The estimation process produces ‘population’ data by estimating weights, on the basis of acute admitted separations, that are applied to the sample data so that the acute admitted separations equal the total population </w:t>
      </w:r>
      <w:r w:rsidR="009E6DCF">
        <w:t>Figure</w:t>
      </w:r>
      <w:r>
        <w:t xml:space="preserve">s. </w:t>
      </w:r>
    </w:p>
    <w:p w14:paraId="33FCED38" w14:textId="77777777" w:rsidR="00FA7EC6" w:rsidRDefault="00FA7EC6" w:rsidP="00FA7EC6">
      <w:pPr>
        <w:rPr>
          <w:highlight w:val="yellow"/>
        </w:rPr>
      </w:pPr>
      <w:r>
        <w:lastRenderedPageBreak/>
        <w:t xml:space="preserve">The total population was determined as the number of acute separations in 2015-16 obtained from the PHDB. All private acute hospitals in Australia (excluding private day hospital facilities) with more than 200 acute admitted separations during the financial year were included. </w:t>
      </w:r>
    </w:p>
    <w:p w14:paraId="092539D1" w14:textId="77777777" w:rsidR="00FA7EC6" w:rsidRDefault="00FA7EC6" w:rsidP="00FA7EC6">
      <w:r>
        <w:t xml:space="preserve">The number of hospitals in the population file for Round </w:t>
      </w:r>
      <w:r w:rsidRPr="00821D1E">
        <w:t>20 is 246.</w:t>
      </w:r>
    </w:p>
    <w:p w14:paraId="16E91E27" w14:textId="0A3D9039" w:rsidR="002315CF" w:rsidRDefault="002315CF" w:rsidP="002315CF">
      <w:r>
        <w:br w:type="page"/>
      </w:r>
    </w:p>
    <w:p w14:paraId="02DB295A" w14:textId="7C28F357" w:rsidR="00EB6320" w:rsidRDefault="00EB6320" w:rsidP="00F40C87">
      <w:pPr>
        <w:pStyle w:val="Heading1"/>
        <w:numPr>
          <w:ilvl w:val="0"/>
          <w:numId w:val="0"/>
        </w:numPr>
        <w:rPr>
          <w:sz w:val="56"/>
          <w:szCs w:val="20"/>
        </w:rPr>
      </w:pPr>
      <w:bookmarkStart w:id="300" w:name="_Toc435611234"/>
      <w:bookmarkStart w:id="301" w:name="_Toc430010946"/>
      <w:bookmarkStart w:id="302" w:name="_Toc401133810"/>
      <w:bookmarkStart w:id="303" w:name="_Toc401133776"/>
      <w:bookmarkStart w:id="304" w:name="_Toc356830901"/>
      <w:bookmarkStart w:id="305" w:name="_Toc496794458"/>
      <w:bookmarkStart w:id="306" w:name="_Toc497750215"/>
      <w:r>
        <w:lastRenderedPageBreak/>
        <w:t xml:space="preserve">Appendix </w:t>
      </w:r>
      <w:r w:rsidR="00E00286">
        <w:t>C</w:t>
      </w:r>
      <w:r>
        <w:t>: Standard error range</w:t>
      </w:r>
      <w:r w:rsidR="00B46890">
        <w:t xml:space="preserve"> for</w:t>
      </w:r>
      <w:r>
        <w:t xml:space="preserve"> </w:t>
      </w:r>
      <w:r w:rsidR="00B46890">
        <w:t xml:space="preserve">the </w:t>
      </w:r>
      <w:r>
        <w:t>Round 20 private sector</w:t>
      </w:r>
      <w:bookmarkEnd w:id="300"/>
      <w:bookmarkEnd w:id="301"/>
      <w:bookmarkEnd w:id="302"/>
      <w:bookmarkEnd w:id="303"/>
      <w:bookmarkEnd w:id="304"/>
      <w:bookmarkEnd w:id="305"/>
      <w:r w:rsidR="00B46890">
        <w:t xml:space="preserve"> NHCDC</w:t>
      </w:r>
      <w:bookmarkEnd w:id="306"/>
    </w:p>
    <w:p w14:paraId="05CCEA47" w14:textId="54CCEF39" w:rsidR="00E7439E" w:rsidRDefault="00EB6320" w:rsidP="00EB6320">
      <w:r>
        <w:t>Stand</w:t>
      </w:r>
      <w:r w:rsidR="00653C98">
        <w:t xml:space="preserve">ard errors, reported against </w:t>
      </w:r>
      <w:r>
        <w:t xml:space="preserve">DRG cost weights included in section </w:t>
      </w:r>
      <w:r>
        <w:fldChar w:fldCharType="begin"/>
      </w:r>
      <w:r>
        <w:instrText xml:space="preserve"> REF _Ref432971289 \w \h  \* MERGEFORMAT </w:instrText>
      </w:r>
      <w:r>
        <w:fldChar w:fldCharType="separate"/>
      </w:r>
      <w:r w:rsidR="00681CD9">
        <w:t>4.2</w:t>
      </w:r>
      <w:r>
        <w:fldChar w:fldCharType="end"/>
      </w:r>
      <w:r>
        <w:t xml:space="preserve"> </w:t>
      </w:r>
      <w:r>
        <w:fldChar w:fldCharType="begin"/>
      </w:r>
      <w:r>
        <w:instrText xml:space="preserve"> REF _Ref432971296 \h  \* MERGEFORMAT </w:instrText>
      </w:r>
      <w:r>
        <w:fldChar w:fldCharType="separate"/>
      </w:r>
      <w:r w:rsidR="00681CD9">
        <w:t xml:space="preserve">Top 20 </w:t>
      </w:r>
      <w:r>
        <w:fldChar w:fldCharType="end"/>
      </w:r>
      <w:r w:rsidR="009E6DCF">
        <w:t xml:space="preserve">and Appendix D: Cost weight tables by AR_DRG, </w:t>
      </w:r>
      <w:r>
        <w:t>give an indication of the reliability of cost weights. A large standard error indicates a high level of variation in the underlying sam</w:t>
      </w:r>
      <w:r w:rsidR="00653C98">
        <w:t xml:space="preserve">ple data for that particular </w:t>
      </w:r>
      <w:r>
        <w:t xml:space="preserve">DRG, and therefore the cost weight presented is a less reliable estimate of the true underlying </w:t>
      </w:r>
      <w:r w:rsidR="00653C98">
        <w:t xml:space="preserve">cost of a separation in that </w:t>
      </w:r>
      <w:r>
        <w:t>DRG.</w:t>
      </w:r>
    </w:p>
    <w:p w14:paraId="21444F15" w14:textId="55023945" w:rsidR="00E7439E" w:rsidRDefault="006654BA" w:rsidP="00EB6320">
      <w:r>
        <w:t>Table 15</w:t>
      </w:r>
      <w:r w:rsidR="00EB6320">
        <w:t xml:space="preserve"> </w:t>
      </w:r>
      <w:r w:rsidR="00653C98">
        <w:t xml:space="preserve">summarises the reliability of </w:t>
      </w:r>
      <w:r w:rsidR="00EB6320">
        <w:t xml:space="preserve">DRG cost weights by grouping the standard errors into a </w:t>
      </w:r>
      <w:r w:rsidR="00653C98">
        <w:t xml:space="preserve">number of ranges. Numbers of </w:t>
      </w:r>
      <w:r w:rsidR="00EB6320">
        <w:t>DRGs and separations falling into standard error ranges provide insight into the global impact of estimation error on cost weights.</w:t>
      </w:r>
      <w:bookmarkStart w:id="307" w:name="_Toc432078952"/>
    </w:p>
    <w:p w14:paraId="479D58FF" w14:textId="4D5C0948" w:rsidR="00EB6320" w:rsidRPr="00E944A2" w:rsidRDefault="006654BA" w:rsidP="006F21D0">
      <w:pPr>
        <w:pStyle w:val="TableHeadings3"/>
      </w:pPr>
      <w:bookmarkStart w:id="308" w:name="_Toc497488053"/>
      <w:bookmarkStart w:id="309" w:name="_Toc497750029"/>
      <w:proofErr w:type="gramStart"/>
      <w:r>
        <w:t>Table 15</w:t>
      </w:r>
      <w:r w:rsidR="00E22F35">
        <w:t>.</w:t>
      </w:r>
      <w:proofErr w:type="gramEnd"/>
      <w:r w:rsidR="008D220E">
        <w:t xml:space="preserve"> </w:t>
      </w:r>
      <w:r w:rsidR="00653C98">
        <w:t xml:space="preserve">Number of </w:t>
      </w:r>
      <w:r w:rsidR="00EB6320" w:rsidRPr="00E944A2">
        <w:t>DRGs by standard error range</w:t>
      </w:r>
      <w:bookmarkEnd w:id="307"/>
      <w:bookmarkEnd w:id="308"/>
      <w:bookmarkEnd w:id="309"/>
    </w:p>
    <w:tbl>
      <w:tblPr>
        <w:tblStyle w:val="GridTable4-Accent21"/>
        <w:tblW w:w="7360" w:type="dxa"/>
        <w:tblLook w:val="04A0" w:firstRow="1" w:lastRow="0" w:firstColumn="1" w:lastColumn="0" w:noHBand="0" w:noVBand="1"/>
        <w:tblCaption w:val="Table 15 Number of AR-DRGs by standard error range"/>
        <w:tblDescription w:val="Table 15 shows the number of AR-DRGs by standard error range. The columns are standard error range, number of AR-DRGs, separations, percentage of AR-DRGs, and percentage of total separations. There is one row for each standard error range and a total row at the bottom."/>
      </w:tblPr>
      <w:tblGrid>
        <w:gridCol w:w="1640"/>
        <w:gridCol w:w="1180"/>
        <w:gridCol w:w="1380"/>
        <w:gridCol w:w="1520"/>
        <w:gridCol w:w="1640"/>
      </w:tblGrid>
      <w:tr w:rsidR="00EB6320" w:rsidRPr="00E944A2" w14:paraId="56489825" w14:textId="77777777" w:rsidTr="00EB6320">
        <w:trPr>
          <w:cnfStyle w:val="100000000000" w:firstRow="1" w:lastRow="0" w:firstColumn="0" w:lastColumn="0" w:oddVBand="0" w:evenVBand="0" w:oddHBand="0" w:evenHBand="0" w:firstRowFirstColumn="0" w:firstRowLastColumn="0" w:lastRowFirstColumn="0" w:lastRowLastColumn="0"/>
          <w:trHeight w:val="924"/>
          <w:tblHeader/>
        </w:trPr>
        <w:tc>
          <w:tcPr>
            <w:cnfStyle w:val="001000000000" w:firstRow="0" w:lastRow="0" w:firstColumn="1" w:lastColumn="0" w:oddVBand="0" w:evenVBand="0" w:oddHBand="0" w:evenHBand="0" w:firstRowFirstColumn="0" w:firstRowLastColumn="0" w:lastRowFirstColumn="0" w:lastRowLastColumn="0"/>
            <w:tcW w:w="1640" w:type="dxa"/>
            <w:hideMark/>
          </w:tcPr>
          <w:p w14:paraId="1E295204" w14:textId="77777777" w:rsidR="00EB6320" w:rsidRPr="00E944A2" w:rsidRDefault="00EB6320" w:rsidP="00EB6320">
            <w:pPr>
              <w:rPr>
                <w:rFonts w:ascii="Georgia" w:hAnsi="Georgia"/>
                <w:b w:val="0"/>
                <w:bCs w:val="0"/>
                <w:sz w:val="18"/>
                <w:szCs w:val="18"/>
              </w:rPr>
            </w:pPr>
            <w:r w:rsidRPr="00E944A2">
              <w:rPr>
                <w:b w:val="0"/>
                <w:bCs w:val="0"/>
                <w:sz w:val="18"/>
                <w:szCs w:val="18"/>
              </w:rPr>
              <w:t>Standard error range</w:t>
            </w:r>
          </w:p>
        </w:tc>
        <w:tc>
          <w:tcPr>
            <w:tcW w:w="1180" w:type="dxa"/>
            <w:hideMark/>
          </w:tcPr>
          <w:p w14:paraId="323C1522" w14:textId="78159290" w:rsidR="00EB6320" w:rsidRPr="00E944A2" w:rsidRDefault="00653C98" w:rsidP="00653C98">
            <w:pPr>
              <w:jc w:val="right"/>
              <w:cnfStyle w:val="100000000000" w:firstRow="1" w:lastRow="0" w:firstColumn="0" w:lastColumn="0" w:oddVBand="0" w:evenVBand="0" w:oddHBand="0" w:evenHBand="0" w:firstRowFirstColumn="0" w:firstRowLastColumn="0" w:lastRowFirstColumn="0" w:lastRowLastColumn="0"/>
              <w:rPr>
                <w:b w:val="0"/>
                <w:bCs w:val="0"/>
                <w:sz w:val="18"/>
                <w:szCs w:val="18"/>
              </w:rPr>
            </w:pPr>
            <w:r>
              <w:rPr>
                <w:b w:val="0"/>
                <w:bCs w:val="0"/>
                <w:sz w:val="18"/>
                <w:szCs w:val="18"/>
              </w:rPr>
              <w:t xml:space="preserve">Number of </w:t>
            </w:r>
            <w:r w:rsidR="00EB6320" w:rsidRPr="00E944A2">
              <w:rPr>
                <w:b w:val="0"/>
                <w:bCs w:val="0"/>
                <w:sz w:val="18"/>
                <w:szCs w:val="18"/>
              </w:rPr>
              <w:t>DRGs</w:t>
            </w:r>
          </w:p>
        </w:tc>
        <w:tc>
          <w:tcPr>
            <w:tcW w:w="1380" w:type="dxa"/>
            <w:hideMark/>
          </w:tcPr>
          <w:p w14:paraId="46037D3D" w14:textId="77777777" w:rsidR="00EB6320" w:rsidRPr="00E944A2" w:rsidRDefault="00EB6320" w:rsidP="00EB6320">
            <w:pPr>
              <w:jc w:val="right"/>
              <w:cnfStyle w:val="100000000000" w:firstRow="1" w:lastRow="0" w:firstColumn="0" w:lastColumn="0" w:oddVBand="0" w:evenVBand="0" w:oddHBand="0" w:evenHBand="0" w:firstRowFirstColumn="0" w:firstRowLastColumn="0" w:lastRowFirstColumn="0" w:lastRowLastColumn="0"/>
              <w:rPr>
                <w:b w:val="0"/>
                <w:bCs w:val="0"/>
                <w:sz w:val="18"/>
                <w:szCs w:val="18"/>
              </w:rPr>
            </w:pPr>
            <w:r w:rsidRPr="00E944A2">
              <w:rPr>
                <w:b w:val="0"/>
                <w:bCs w:val="0"/>
                <w:sz w:val="18"/>
                <w:szCs w:val="18"/>
              </w:rPr>
              <w:t>Separations</w:t>
            </w:r>
          </w:p>
        </w:tc>
        <w:tc>
          <w:tcPr>
            <w:tcW w:w="1520" w:type="dxa"/>
            <w:hideMark/>
          </w:tcPr>
          <w:p w14:paraId="0EE8565E" w14:textId="77777777" w:rsidR="00EB6320" w:rsidRPr="00E944A2" w:rsidRDefault="00EB6320" w:rsidP="00EB6320">
            <w:pPr>
              <w:jc w:val="right"/>
              <w:cnfStyle w:val="100000000000" w:firstRow="1" w:lastRow="0" w:firstColumn="0" w:lastColumn="0" w:oddVBand="0" w:evenVBand="0" w:oddHBand="0" w:evenHBand="0" w:firstRowFirstColumn="0" w:firstRowLastColumn="0" w:lastRowFirstColumn="0" w:lastRowLastColumn="0"/>
              <w:rPr>
                <w:b w:val="0"/>
                <w:bCs w:val="0"/>
                <w:sz w:val="18"/>
                <w:szCs w:val="18"/>
              </w:rPr>
            </w:pPr>
            <w:r w:rsidRPr="00E944A2">
              <w:rPr>
                <w:b w:val="0"/>
                <w:bCs w:val="0"/>
                <w:sz w:val="18"/>
                <w:szCs w:val="18"/>
              </w:rPr>
              <w:t>Percentage of DRGs (%)</w:t>
            </w:r>
          </w:p>
        </w:tc>
        <w:tc>
          <w:tcPr>
            <w:tcW w:w="1640" w:type="dxa"/>
            <w:hideMark/>
          </w:tcPr>
          <w:p w14:paraId="02461963" w14:textId="77777777" w:rsidR="00EB6320" w:rsidRPr="00E944A2" w:rsidRDefault="00EB6320" w:rsidP="00EB6320">
            <w:pPr>
              <w:jc w:val="right"/>
              <w:cnfStyle w:val="100000000000" w:firstRow="1" w:lastRow="0" w:firstColumn="0" w:lastColumn="0" w:oddVBand="0" w:evenVBand="0" w:oddHBand="0" w:evenHBand="0" w:firstRowFirstColumn="0" w:firstRowLastColumn="0" w:lastRowFirstColumn="0" w:lastRowLastColumn="0"/>
              <w:rPr>
                <w:b w:val="0"/>
                <w:bCs w:val="0"/>
                <w:sz w:val="18"/>
                <w:szCs w:val="18"/>
              </w:rPr>
            </w:pPr>
            <w:r w:rsidRPr="00E944A2">
              <w:rPr>
                <w:b w:val="0"/>
                <w:bCs w:val="0"/>
                <w:sz w:val="18"/>
                <w:szCs w:val="18"/>
              </w:rPr>
              <w:t>Percentage of total separations (%)</w:t>
            </w:r>
          </w:p>
        </w:tc>
      </w:tr>
      <w:tr w:rsidR="00EB6320" w14:paraId="74B4F4A0" w14:textId="77777777" w:rsidTr="00EB632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40" w:type="dxa"/>
            <w:noWrap/>
            <w:hideMark/>
          </w:tcPr>
          <w:p w14:paraId="3A01B197" w14:textId="77777777" w:rsidR="00EB6320" w:rsidRDefault="00EB6320" w:rsidP="00EB6320">
            <w:pPr>
              <w:rPr>
                <w:color w:val="000000"/>
                <w:sz w:val="18"/>
                <w:szCs w:val="18"/>
              </w:rPr>
            </w:pPr>
            <w:r>
              <w:rPr>
                <w:color w:val="000000"/>
                <w:sz w:val="18"/>
                <w:szCs w:val="18"/>
              </w:rPr>
              <w:t>0.000 - 0.039</w:t>
            </w:r>
          </w:p>
        </w:tc>
        <w:tc>
          <w:tcPr>
            <w:tcW w:w="1180" w:type="dxa"/>
            <w:noWrap/>
            <w:hideMark/>
          </w:tcPr>
          <w:p w14:paraId="6E06B8C8" w14:textId="3610404B" w:rsidR="00EB6320" w:rsidRDefault="004C7026" w:rsidP="004C702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258</w:t>
            </w:r>
          </w:p>
        </w:tc>
        <w:tc>
          <w:tcPr>
            <w:tcW w:w="1380" w:type="dxa"/>
            <w:noWrap/>
            <w:hideMark/>
          </w:tcPr>
          <w:p w14:paraId="12EBC313" w14:textId="2B7FB745" w:rsidR="00EB6320" w:rsidRDefault="00EB6320" w:rsidP="004C7026">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w:t>
            </w:r>
            <w:r w:rsidR="004C7026">
              <w:rPr>
                <w:color w:val="000000"/>
                <w:sz w:val="18"/>
                <w:szCs w:val="18"/>
              </w:rPr>
              <w:t>726,</w:t>
            </w:r>
            <w:r>
              <w:rPr>
                <w:color w:val="000000"/>
                <w:sz w:val="18"/>
                <w:szCs w:val="18"/>
              </w:rPr>
              <w:t>9</w:t>
            </w:r>
            <w:r w:rsidR="004C7026">
              <w:rPr>
                <w:color w:val="000000"/>
                <w:sz w:val="18"/>
                <w:szCs w:val="18"/>
              </w:rPr>
              <w:t>1</w:t>
            </w:r>
            <w:r>
              <w:rPr>
                <w:color w:val="000000"/>
                <w:sz w:val="18"/>
                <w:szCs w:val="18"/>
              </w:rPr>
              <w:t>6</w:t>
            </w:r>
          </w:p>
        </w:tc>
        <w:tc>
          <w:tcPr>
            <w:tcW w:w="1520" w:type="dxa"/>
            <w:noWrap/>
            <w:hideMark/>
          </w:tcPr>
          <w:p w14:paraId="79A77176" w14:textId="3BBB0CFF" w:rsidR="00EB6320" w:rsidRDefault="00EB6320" w:rsidP="00EB632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3</w:t>
            </w:r>
            <w:r w:rsidR="004C7026">
              <w:rPr>
                <w:color w:val="000000"/>
                <w:sz w:val="18"/>
                <w:szCs w:val="18"/>
              </w:rPr>
              <w:t>4</w:t>
            </w:r>
            <w:r>
              <w:rPr>
                <w:color w:val="000000"/>
                <w:sz w:val="18"/>
                <w:szCs w:val="18"/>
              </w:rPr>
              <w:t>%</w:t>
            </w:r>
          </w:p>
        </w:tc>
        <w:tc>
          <w:tcPr>
            <w:tcW w:w="1640" w:type="dxa"/>
            <w:noWrap/>
            <w:hideMark/>
          </w:tcPr>
          <w:p w14:paraId="27B8B999" w14:textId="77777777" w:rsidR="00EB6320" w:rsidRDefault="00EB6320" w:rsidP="00EB632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89%</w:t>
            </w:r>
          </w:p>
        </w:tc>
      </w:tr>
      <w:tr w:rsidR="00EB6320" w14:paraId="5F870D77" w14:textId="77777777" w:rsidTr="00EB6320">
        <w:trPr>
          <w:trHeight w:val="318"/>
        </w:trPr>
        <w:tc>
          <w:tcPr>
            <w:cnfStyle w:val="001000000000" w:firstRow="0" w:lastRow="0" w:firstColumn="1" w:lastColumn="0" w:oddVBand="0" w:evenVBand="0" w:oddHBand="0" w:evenHBand="0" w:firstRowFirstColumn="0" w:firstRowLastColumn="0" w:lastRowFirstColumn="0" w:lastRowLastColumn="0"/>
            <w:tcW w:w="1640" w:type="dxa"/>
            <w:noWrap/>
            <w:hideMark/>
          </w:tcPr>
          <w:p w14:paraId="5D199A5B" w14:textId="77777777" w:rsidR="00EB6320" w:rsidRDefault="00EB6320" w:rsidP="00EB6320">
            <w:pPr>
              <w:rPr>
                <w:color w:val="000000"/>
                <w:sz w:val="18"/>
                <w:szCs w:val="18"/>
              </w:rPr>
            </w:pPr>
            <w:r>
              <w:rPr>
                <w:color w:val="000000"/>
                <w:sz w:val="18"/>
                <w:szCs w:val="18"/>
              </w:rPr>
              <w:t>0.040 - 0.099</w:t>
            </w:r>
          </w:p>
        </w:tc>
        <w:tc>
          <w:tcPr>
            <w:tcW w:w="1180" w:type="dxa"/>
            <w:noWrap/>
            <w:hideMark/>
          </w:tcPr>
          <w:p w14:paraId="3A437531" w14:textId="6C17A852" w:rsidR="00EB6320" w:rsidRDefault="004C7026" w:rsidP="00EB632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183</w:t>
            </w:r>
          </w:p>
        </w:tc>
        <w:tc>
          <w:tcPr>
            <w:tcW w:w="1380" w:type="dxa"/>
            <w:noWrap/>
            <w:hideMark/>
          </w:tcPr>
          <w:p w14:paraId="48F3B45D" w14:textId="2AAC0DF2" w:rsidR="00EB6320" w:rsidRDefault="004C7026" w:rsidP="004C7026">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222,412</w:t>
            </w:r>
          </w:p>
        </w:tc>
        <w:tc>
          <w:tcPr>
            <w:tcW w:w="1520" w:type="dxa"/>
            <w:noWrap/>
            <w:hideMark/>
          </w:tcPr>
          <w:p w14:paraId="485B2C46" w14:textId="1936B898" w:rsidR="00EB6320" w:rsidRDefault="00EB6320" w:rsidP="00EB632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2</w:t>
            </w:r>
            <w:r w:rsidR="004C7026">
              <w:rPr>
                <w:color w:val="000000"/>
                <w:sz w:val="18"/>
                <w:szCs w:val="18"/>
              </w:rPr>
              <w:t>4</w:t>
            </w:r>
            <w:r>
              <w:rPr>
                <w:color w:val="000000"/>
                <w:sz w:val="18"/>
                <w:szCs w:val="18"/>
              </w:rPr>
              <w:t>%</w:t>
            </w:r>
          </w:p>
        </w:tc>
        <w:tc>
          <w:tcPr>
            <w:tcW w:w="1640" w:type="dxa"/>
            <w:noWrap/>
            <w:hideMark/>
          </w:tcPr>
          <w:p w14:paraId="6CBE671F" w14:textId="77777777" w:rsidR="00EB6320" w:rsidRDefault="00EB6320" w:rsidP="00EB632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7%</w:t>
            </w:r>
          </w:p>
        </w:tc>
      </w:tr>
      <w:tr w:rsidR="00EB6320" w14:paraId="1AA5FA7D" w14:textId="77777777" w:rsidTr="00EB632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40" w:type="dxa"/>
            <w:noWrap/>
            <w:hideMark/>
          </w:tcPr>
          <w:p w14:paraId="5B1C7C26" w14:textId="77777777" w:rsidR="00EB6320" w:rsidRDefault="00EB6320" w:rsidP="00EB6320">
            <w:pPr>
              <w:rPr>
                <w:color w:val="000000"/>
                <w:sz w:val="18"/>
                <w:szCs w:val="18"/>
              </w:rPr>
            </w:pPr>
            <w:r>
              <w:rPr>
                <w:color w:val="000000"/>
                <w:sz w:val="18"/>
                <w:szCs w:val="18"/>
              </w:rPr>
              <w:t>0.100 - 0.149</w:t>
            </w:r>
          </w:p>
        </w:tc>
        <w:tc>
          <w:tcPr>
            <w:tcW w:w="1180" w:type="dxa"/>
            <w:noWrap/>
            <w:hideMark/>
          </w:tcPr>
          <w:p w14:paraId="6ED3A98D" w14:textId="134746ED" w:rsidR="00EB6320" w:rsidRDefault="004C7026" w:rsidP="00EB632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79</w:t>
            </w:r>
          </w:p>
        </w:tc>
        <w:tc>
          <w:tcPr>
            <w:tcW w:w="1380" w:type="dxa"/>
            <w:noWrap/>
            <w:hideMark/>
          </w:tcPr>
          <w:p w14:paraId="491C67B4" w14:textId="3627630E" w:rsidR="00EB6320" w:rsidRDefault="004C7026" w:rsidP="00EB632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49,975</w:t>
            </w:r>
          </w:p>
        </w:tc>
        <w:tc>
          <w:tcPr>
            <w:tcW w:w="1520" w:type="dxa"/>
            <w:noWrap/>
            <w:hideMark/>
          </w:tcPr>
          <w:p w14:paraId="61C34A5E" w14:textId="17BFD9B5" w:rsidR="00EB6320" w:rsidRDefault="004C7026" w:rsidP="00EB632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10</w:t>
            </w:r>
            <w:r w:rsidR="00EB6320">
              <w:rPr>
                <w:color w:val="000000"/>
                <w:sz w:val="18"/>
                <w:szCs w:val="18"/>
              </w:rPr>
              <w:t>%</w:t>
            </w:r>
          </w:p>
        </w:tc>
        <w:tc>
          <w:tcPr>
            <w:tcW w:w="1640" w:type="dxa"/>
            <w:noWrap/>
            <w:hideMark/>
          </w:tcPr>
          <w:p w14:paraId="1C08DA28" w14:textId="77777777" w:rsidR="00EB6320" w:rsidRDefault="00EB6320" w:rsidP="00EB632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w:t>
            </w:r>
          </w:p>
        </w:tc>
      </w:tr>
      <w:tr w:rsidR="00EB6320" w14:paraId="5BEF6AFB" w14:textId="77777777" w:rsidTr="00EB6320">
        <w:trPr>
          <w:trHeight w:val="318"/>
        </w:trPr>
        <w:tc>
          <w:tcPr>
            <w:cnfStyle w:val="001000000000" w:firstRow="0" w:lastRow="0" w:firstColumn="1" w:lastColumn="0" w:oddVBand="0" w:evenVBand="0" w:oddHBand="0" w:evenHBand="0" w:firstRowFirstColumn="0" w:firstRowLastColumn="0" w:lastRowFirstColumn="0" w:lastRowLastColumn="0"/>
            <w:tcW w:w="1640" w:type="dxa"/>
            <w:noWrap/>
            <w:hideMark/>
          </w:tcPr>
          <w:p w14:paraId="6C874B99" w14:textId="77777777" w:rsidR="00EB6320" w:rsidRDefault="00EB6320" w:rsidP="00EB6320">
            <w:pPr>
              <w:rPr>
                <w:color w:val="000000"/>
                <w:sz w:val="18"/>
                <w:szCs w:val="18"/>
              </w:rPr>
            </w:pPr>
            <w:r>
              <w:rPr>
                <w:color w:val="000000"/>
                <w:sz w:val="18"/>
                <w:szCs w:val="18"/>
              </w:rPr>
              <w:t>0.150 - 0.199</w:t>
            </w:r>
          </w:p>
        </w:tc>
        <w:tc>
          <w:tcPr>
            <w:tcW w:w="1180" w:type="dxa"/>
            <w:noWrap/>
            <w:hideMark/>
          </w:tcPr>
          <w:p w14:paraId="1D6C23A5" w14:textId="15E45262" w:rsidR="00EB6320" w:rsidRDefault="004C7026" w:rsidP="00EB632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51</w:t>
            </w:r>
          </w:p>
        </w:tc>
        <w:tc>
          <w:tcPr>
            <w:tcW w:w="1380" w:type="dxa"/>
            <w:noWrap/>
            <w:hideMark/>
          </w:tcPr>
          <w:p w14:paraId="58A03C8B" w14:textId="131104BD" w:rsidR="00EB6320" w:rsidRDefault="004C7026" w:rsidP="00EB632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18,420</w:t>
            </w:r>
          </w:p>
        </w:tc>
        <w:tc>
          <w:tcPr>
            <w:tcW w:w="1520" w:type="dxa"/>
            <w:noWrap/>
            <w:hideMark/>
          </w:tcPr>
          <w:p w14:paraId="163F84E7" w14:textId="3508AE84" w:rsidR="00EB6320" w:rsidRDefault="004C7026" w:rsidP="00EB632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7</w:t>
            </w:r>
            <w:r w:rsidR="00EB6320">
              <w:rPr>
                <w:color w:val="000000"/>
                <w:sz w:val="18"/>
                <w:szCs w:val="18"/>
              </w:rPr>
              <w:t>%</w:t>
            </w:r>
          </w:p>
        </w:tc>
        <w:tc>
          <w:tcPr>
            <w:tcW w:w="1640" w:type="dxa"/>
            <w:noWrap/>
            <w:hideMark/>
          </w:tcPr>
          <w:p w14:paraId="1DDA54AE" w14:textId="77777777" w:rsidR="00EB6320" w:rsidRDefault="00EB6320" w:rsidP="00EB632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w:t>
            </w:r>
          </w:p>
        </w:tc>
      </w:tr>
      <w:tr w:rsidR="00EB6320" w14:paraId="59FA8216" w14:textId="77777777" w:rsidTr="00EB632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40" w:type="dxa"/>
            <w:noWrap/>
            <w:hideMark/>
          </w:tcPr>
          <w:p w14:paraId="0AE7FBE0" w14:textId="77777777" w:rsidR="00EB6320" w:rsidRDefault="00EB6320" w:rsidP="00EB6320">
            <w:pPr>
              <w:rPr>
                <w:color w:val="000000"/>
                <w:sz w:val="18"/>
                <w:szCs w:val="18"/>
              </w:rPr>
            </w:pPr>
            <w:r>
              <w:rPr>
                <w:color w:val="000000"/>
                <w:sz w:val="18"/>
                <w:szCs w:val="18"/>
              </w:rPr>
              <w:t>0.200 - 0.399</w:t>
            </w:r>
          </w:p>
        </w:tc>
        <w:tc>
          <w:tcPr>
            <w:tcW w:w="1180" w:type="dxa"/>
            <w:noWrap/>
            <w:hideMark/>
          </w:tcPr>
          <w:p w14:paraId="00B667F1" w14:textId="7B2CCC82" w:rsidR="00EB6320" w:rsidRDefault="004C7026" w:rsidP="00EB632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84</w:t>
            </w:r>
          </w:p>
        </w:tc>
        <w:tc>
          <w:tcPr>
            <w:tcW w:w="1380" w:type="dxa"/>
            <w:noWrap/>
            <w:hideMark/>
          </w:tcPr>
          <w:p w14:paraId="70BE386D" w14:textId="531F6B89" w:rsidR="00EB6320" w:rsidRDefault="004C7026" w:rsidP="00EB632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22,391</w:t>
            </w:r>
          </w:p>
        </w:tc>
        <w:tc>
          <w:tcPr>
            <w:tcW w:w="1520" w:type="dxa"/>
            <w:noWrap/>
            <w:hideMark/>
          </w:tcPr>
          <w:p w14:paraId="4C87B06C" w14:textId="4F88C3E6" w:rsidR="00EB6320" w:rsidRDefault="004C7026" w:rsidP="00EB632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11</w:t>
            </w:r>
            <w:r w:rsidR="00EB6320">
              <w:rPr>
                <w:color w:val="000000"/>
                <w:sz w:val="18"/>
                <w:szCs w:val="18"/>
              </w:rPr>
              <w:t>%</w:t>
            </w:r>
          </w:p>
        </w:tc>
        <w:tc>
          <w:tcPr>
            <w:tcW w:w="1640" w:type="dxa"/>
            <w:noWrap/>
            <w:hideMark/>
          </w:tcPr>
          <w:p w14:paraId="0C880A29" w14:textId="77777777" w:rsidR="00EB6320" w:rsidRDefault="00EB6320" w:rsidP="00EB632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w:t>
            </w:r>
          </w:p>
        </w:tc>
      </w:tr>
      <w:tr w:rsidR="00EB6320" w14:paraId="33B3C545" w14:textId="77777777" w:rsidTr="00EB6320">
        <w:trPr>
          <w:trHeight w:val="318"/>
        </w:trPr>
        <w:tc>
          <w:tcPr>
            <w:cnfStyle w:val="001000000000" w:firstRow="0" w:lastRow="0" w:firstColumn="1" w:lastColumn="0" w:oddVBand="0" w:evenVBand="0" w:oddHBand="0" w:evenHBand="0" w:firstRowFirstColumn="0" w:firstRowLastColumn="0" w:lastRowFirstColumn="0" w:lastRowLastColumn="0"/>
            <w:tcW w:w="1640" w:type="dxa"/>
            <w:noWrap/>
            <w:hideMark/>
          </w:tcPr>
          <w:p w14:paraId="7A5D72DC" w14:textId="77777777" w:rsidR="00EB6320" w:rsidRDefault="00EB6320" w:rsidP="00EB6320">
            <w:pPr>
              <w:rPr>
                <w:color w:val="000000"/>
                <w:sz w:val="18"/>
                <w:szCs w:val="18"/>
              </w:rPr>
            </w:pPr>
            <w:r>
              <w:rPr>
                <w:color w:val="000000"/>
                <w:sz w:val="18"/>
                <w:szCs w:val="18"/>
              </w:rPr>
              <w:t xml:space="preserve">0.400 + </w:t>
            </w:r>
          </w:p>
        </w:tc>
        <w:tc>
          <w:tcPr>
            <w:tcW w:w="1180" w:type="dxa"/>
            <w:noWrap/>
            <w:hideMark/>
          </w:tcPr>
          <w:p w14:paraId="6E0C5F33" w14:textId="78B515BC" w:rsidR="00EB6320" w:rsidRDefault="004C7026" w:rsidP="004C7026">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105</w:t>
            </w:r>
          </w:p>
        </w:tc>
        <w:tc>
          <w:tcPr>
            <w:tcW w:w="1380" w:type="dxa"/>
            <w:noWrap/>
            <w:hideMark/>
          </w:tcPr>
          <w:p w14:paraId="6BAD1C57" w14:textId="32CECA20" w:rsidR="00EB6320" w:rsidRDefault="00EB6320" w:rsidP="004C7026">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11,</w:t>
            </w:r>
            <w:r w:rsidR="004C7026">
              <w:rPr>
                <w:color w:val="000000"/>
                <w:sz w:val="18"/>
                <w:szCs w:val="18"/>
              </w:rPr>
              <w:t>461</w:t>
            </w:r>
          </w:p>
        </w:tc>
        <w:tc>
          <w:tcPr>
            <w:tcW w:w="1520" w:type="dxa"/>
            <w:noWrap/>
            <w:hideMark/>
          </w:tcPr>
          <w:p w14:paraId="6B251656" w14:textId="7CABD8C0" w:rsidR="00EB6320" w:rsidRDefault="00EB6320" w:rsidP="004C7026">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w:t>
            </w:r>
            <w:r w:rsidR="004C7026">
              <w:rPr>
                <w:color w:val="000000"/>
                <w:sz w:val="18"/>
                <w:szCs w:val="18"/>
              </w:rPr>
              <w:t>4</w:t>
            </w:r>
            <w:r>
              <w:rPr>
                <w:color w:val="000000"/>
                <w:sz w:val="18"/>
                <w:szCs w:val="18"/>
              </w:rPr>
              <w:t>%</w:t>
            </w:r>
          </w:p>
        </w:tc>
        <w:tc>
          <w:tcPr>
            <w:tcW w:w="1640" w:type="dxa"/>
            <w:noWrap/>
            <w:hideMark/>
          </w:tcPr>
          <w:p w14:paraId="08D6CE44" w14:textId="77777777" w:rsidR="00EB6320" w:rsidRDefault="00EB6320" w:rsidP="00EB6320">
            <w:pPr>
              <w:jc w:val="right"/>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w:t>
            </w:r>
          </w:p>
        </w:tc>
      </w:tr>
      <w:tr w:rsidR="00EB6320" w14:paraId="498AAD99" w14:textId="77777777" w:rsidTr="00EB632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40" w:type="dxa"/>
            <w:noWrap/>
            <w:hideMark/>
          </w:tcPr>
          <w:p w14:paraId="12A3B53F" w14:textId="77777777" w:rsidR="00EB6320" w:rsidRDefault="00EB6320" w:rsidP="00EB6320">
            <w:pPr>
              <w:rPr>
                <w:b w:val="0"/>
                <w:bCs w:val="0"/>
                <w:color w:val="000000"/>
                <w:sz w:val="18"/>
                <w:szCs w:val="18"/>
              </w:rPr>
            </w:pPr>
            <w:r>
              <w:rPr>
                <w:b w:val="0"/>
                <w:bCs w:val="0"/>
                <w:color w:val="000000"/>
                <w:sz w:val="18"/>
                <w:szCs w:val="18"/>
              </w:rPr>
              <w:t>Total*</w:t>
            </w:r>
          </w:p>
        </w:tc>
        <w:tc>
          <w:tcPr>
            <w:tcW w:w="1180" w:type="dxa"/>
            <w:noWrap/>
            <w:hideMark/>
          </w:tcPr>
          <w:p w14:paraId="2D6CE8D0" w14:textId="50266A5D" w:rsidR="00EB6320" w:rsidRDefault="004C7026" w:rsidP="00EB6320">
            <w:pPr>
              <w:jc w:val="right"/>
              <w:cnfStyle w:val="000000100000" w:firstRow="0" w:lastRow="0" w:firstColumn="0" w:lastColumn="0" w:oddVBand="0" w:evenVBand="0" w:oddHBand="1" w:evenHBand="0" w:firstRowFirstColumn="0" w:firstRowLastColumn="0" w:lastRowFirstColumn="0" w:lastRowLastColumn="0"/>
              <w:rPr>
                <w:b/>
                <w:bCs/>
                <w:color w:val="000000"/>
                <w:sz w:val="18"/>
                <w:szCs w:val="18"/>
              </w:rPr>
            </w:pPr>
            <w:r>
              <w:rPr>
                <w:b/>
                <w:bCs/>
                <w:color w:val="000000"/>
                <w:sz w:val="18"/>
                <w:szCs w:val="18"/>
              </w:rPr>
              <w:t>760</w:t>
            </w:r>
          </w:p>
        </w:tc>
        <w:tc>
          <w:tcPr>
            <w:tcW w:w="1380" w:type="dxa"/>
            <w:noWrap/>
            <w:hideMark/>
          </w:tcPr>
          <w:p w14:paraId="462C2C82" w14:textId="7F6D5CFD" w:rsidR="00EB6320" w:rsidRDefault="004C7026" w:rsidP="004C7026">
            <w:pPr>
              <w:jc w:val="right"/>
              <w:cnfStyle w:val="000000100000" w:firstRow="0" w:lastRow="0" w:firstColumn="0" w:lastColumn="0" w:oddVBand="0" w:evenVBand="0" w:oddHBand="1" w:evenHBand="0" w:firstRowFirstColumn="0" w:firstRowLastColumn="0" w:lastRowFirstColumn="0" w:lastRowLastColumn="0"/>
              <w:rPr>
                <w:b/>
                <w:bCs/>
                <w:color w:val="000000"/>
                <w:sz w:val="18"/>
                <w:szCs w:val="18"/>
              </w:rPr>
            </w:pPr>
            <w:r>
              <w:rPr>
                <w:b/>
                <w:bCs/>
                <w:color w:val="000000"/>
                <w:sz w:val="18"/>
                <w:szCs w:val="18"/>
              </w:rPr>
              <w:t>3,051,575</w:t>
            </w:r>
            <w:r w:rsidR="00EB6320">
              <w:rPr>
                <w:b/>
                <w:bCs/>
                <w:color w:val="000000"/>
                <w:sz w:val="18"/>
                <w:szCs w:val="18"/>
              </w:rPr>
              <w:t>*</w:t>
            </w:r>
          </w:p>
        </w:tc>
        <w:tc>
          <w:tcPr>
            <w:tcW w:w="1520" w:type="dxa"/>
            <w:noWrap/>
            <w:hideMark/>
          </w:tcPr>
          <w:p w14:paraId="27B452DE" w14:textId="77777777" w:rsidR="00EB6320" w:rsidRDefault="00EB6320" w:rsidP="00EB6320">
            <w:pPr>
              <w:jc w:val="right"/>
              <w:cnfStyle w:val="000000100000" w:firstRow="0" w:lastRow="0" w:firstColumn="0" w:lastColumn="0" w:oddVBand="0" w:evenVBand="0" w:oddHBand="1" w:evenHBand="0" w:firstRowFirstColumn="0" w:firstRowLastColumn="0" w:lastRowFirstColumn="0" w:lastRowLastColumn="0"/>
              <w:rPr>
                <w:b/>
                <w:bCs/>
                <w:color w:val="000000"/>
                <w:sz w:val="18"/>
                <w:szCs w:val="18"/>
              </w:rPr>
            </w:pPr>
            <w:r>
              <w:rPr>
                <w:b/>
                <w:bCs/>
                <w:color w:val="000000"/>
                <w:sz w:val="18"/>
                <w:szCs w:val="18"/>
              </w:rPr>
              <w:t>100%</w:t>
            </w:r>
          </w:p>
        </w:tc>
        <w:tc>
          <w:tcPr>
            <w:tcW w:w="1640" w:type="dxa"/>
            <w:noWrap/>
            <w:hideMark/>
          </w:tcPr>
          <w:p w14:paraId="4BDBC7BE" w14:textId="77777777" w:rsidR="00EB6320" w:rsidRDefault="00EB6320" w:rsidP="00EB6320">
            <w:pPr>
              <w:jc w:val="right"/>
              <w:cnfStyle w:val="000000100000" w:firstRow="0" w:lastRow="0" w:firstColumn="0" w:lastColumn="0" w:oddVBand="0" w:evenVBand="0" w:oddHBand="1" w:evenHBand="0" w:firstRowFirstColumn="0" w:firstRowLastColumn="0" w:lastRowFirstColumn="0" w:lastRowLastColumn="0"/>
              <w:rPr>
                <w:b/>
                <w:bCs/>
                <w:color w:val="000000"/>
                <w:sz w:val="18"/>
                <w:szCs w:val="18"/>
              </w:rPr>
            </w:pPr>
            <w:r>
              <w:rPr>
                <w:b/>
                <w:bCs/>
                <w:color w:val="000000"/>
                <w:sz w:val="18"/>
                <w:szCs w:val="18"/>
              </w:rPr>
              <w:t>100%</w:t>
            </w:r>
          </w:p>
        </w:tc>
      </w:tr>
    </w:tbl>
    <w:p w14:paraId="549A8F53" w14:textId="78B97213" w:rsidR="00E7439E" w:rsidRDefault="00EB6320" w:rsidP="00EB6320">
      <w:r>
        <w:t>* The standard error for some DRGs cannot be estimated due to low separation counts in the sample.</w:t>
      </w:r>
    </w:p>
    <w:p w14:paraId="487953EB" w14:textId="7BB13F51" w:rsidR="00E7439E" w:rsidRDefault="00EB6320" w:rsidP="00EB6320">
      <w:r w:rsidRPr="004C7026">
        <w:t xml:space="preserve">The results above </w:t>
      </w:r>
      <w:r w:rsidR="00653C98" w:rsidRPr="004C7026">
        <w:t>show that 5</w:t>
      </w:r>
      <w:r w:rsidR="004C7026" w:rsidRPr="004C7026">
        <w:t>8</w:t>
      </w:r>
      <w:r w:rsidR="00210A35">
        <w:t xml:space="preserve"> per cent</w:t>
      </w:r>
      <w:r w:rsidR="004C7026" w:rsidRPr="004C7026">
        <w:t xml:space="preserve"> (34</w:t>
      </w:r>
      <w:r w:rsidR="00210A35">
        <w:t xml:space="preserve"> per cent</w:t>
      </w:r>
      <w:r w:rsidR="004C7026" w:rsidRPr="004C7026">
        <w:t xml:space="preserve"> + 24</w:t>
      </w:r>
      <w:r w:rsidR="00210A35">
        <w:t xml:space="preserve"> per cent</w:t>
      </w:r>
      <w:r w:rsidR="00653C98" w:rsidRPr="004C7026">
        <w:t xml:space="preserve">) of </w:t>
      </w:r>
      <w:r w:rsidRPr="004C7026">
        <w:t>DRGs have cost weight estimates with a standard error ra</w:t>
      </w:r>
      <w:r w:rsidR="00210A35">
        <w:t>nge of less than 0.1. Around 96 per cent</w:t>
      </w:r>
      <w:r w:rsidRPr="004C7026">
        <w:t xml:space="preserve"> (89</w:t>
      </w:r>
      <w:r w:rsidR="00210A35">
        <w:t xml:space="preserve"> per cent + 7</w:t>
      </w:r>
      <w:r w:rsidR="00401766">
        <w:t>.0</w:t>
      </w:r>
      <w:r w:rsidR="00210A35">
        <w:t xml:space="preserve"> per cent</w:t>
      </w:r>
      <w:r w:rsidRPr="004C7026">
        <w:t>) of separati</w:t>
      </w:r>
      <w:r w:rsidR="00653C98" w:rsidRPr="004C7026">
        <w:t xml:space="preserve">ons are within the subset of </w:t>
      </w:r>
      <w:r w:rsidRPr="004C7026">
        <w:t>DRGs that have standard error less than 0.1.</w:t>
      </w:r>
    </w:p>
    <w:p w14:paraId="4726A3FE" w14:textId="77777777" w:rsidR="002315CF" w:rsidRDefault="002315CF" w:rsidP="002315CF">
      <w:pPr>
        <w:pStyle w:val="PwCNormal"/>
        <w:numPr>
          <w:ilvl w:val="0"/>
          <w:numId w:val="0"/>
        </w:numPr>
      </w:pPr>
    </w:p>
    <w:p w14:paraId="0C9CFFD7" w14:textId="78F7CC1F" w:rsidR="002315CF" w:rsidRDefault="002315CF" w:rsidP="00F40C87">
      <w:pPr>
        <w:pStyle w:val="Heading1"/>
        <w:numPr>
          <w:ilvl w:val="0"/>
          <w:numId w:val="0"/>
        </w:numPr>
        <w:sectPr w:rsidR="002315CF" w:rsidSect="00202CAA">
          <w:type w:val="continuous"/>
          <w:pgSz w:w="11907" w:h="16840" w:code="9"/>
          <w:pgMar w:top="2041" w:right="1440" w:bottom="1021" w:left="1021" w:header="680" w:footer="510" w:gutter="0"/>
          <w:cols w:space="708"/>
          <w:docGrid w:linePitch="360"/>
        </w:sectPr>
      </w:pPr>
      <w:bookmarkStart w:id="310" w:name="_Toc435611235"/>
      <w:bookmarkStart w:id="311" w:name="_Ref433984344"/>
      <w:bookmarkStart w:id="312" w:name="_Ref431563279"/>
      <w:bookmarkStart w:id="313" w:name="_Ref430348640"/>
      <w:bookmarkStart w:id="314" w:name="_Ref430348632"/>
      <w:bookmarkStart w:id="315" w:name="_Ref430348620"/>
      <w:bookmarkStart w:id="316" w:name="_Ref430338462"/>
      <w:bookmarkStart w:id="317" w:name="_Ref430338461"/>
      <w:bookmarkStart w:id="318" w:name="_Ref430247171"/>
      <w:bookmarkStart w:id="319" w:name="_Toc430010948"/>
      <w:bookmarkStart w:id="320" w:name="_Ref404551388"/>
      <w:bookmarkStart w:id="321" w:name="_Toc401133812"/>
      <w:bookmarkStart w:id="322" w:name="_Toc401133778"/>
      <w:bookmarkStart w:id="323" w:name="_Toc356830903"/>
      <w:bookmarkStart w:id="324" w:name="CVs"/>
    </w:p>
    <w:p w14:paraId="7195465E" w14:textId="151FCFD3" w:rsidR="00E7439E" w:rsidRDefault="002315CF" w:rsidP="00F40C87">
      <w:pPr>
        <w:pStyle w:val="Heading1"/>
        <w:numPr>
          <w:ilvl w:val="0"/>
          <w:numId w:val="0"/>
        </w:numPr>
      </w:pPr>
      <w:bookmarkStart w:id="325" w:name="_Toc496857603"/>
      <w:bookmarkStart w:id="326" w:name="_Ref496865407"/>
      <w:bookmarkStart w:id="327" w:name="_Ref497167766"/>
      <w:bookmarkStart w:id="328" w:name="_Ref497167774"/>
      <w:bookmarkStart w:id="329" w:name="_Ref497335615"/>
      <w:bookmarkStart w:id="330" w:name="_Ref497337026"/>
      <w:bookmarkStart w:id="331" w:name="_Toc497750216"/>
      <w:r>
        <w:lastRenderedPageBreak/>
        <w:t>Appen</w:t>
      </w:r>
      <w:r w:rsidR="002C1FF8">
        <w:t xml:space="preserve">dix </w:t>
      </w:r>
      <w:r w:rsidR="00E00286">
        <w:t>D</w:t>
      </w:r>
      <w:r w:rsidR="002C1FF8">
        <w:t>: Cost weight tables by AR-</w:t>
      </w:r>
      <w:r>
        <w:t>DRG</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5"/>
      <w:bookmarkEnd w:id="326"/>
      <w:bookmarkEnd w:id="327"/>
      <w:bookmarkEnd w:id="328"/>
      <w:r w:rsidR="00FB7EF0">
        <w:t xml:space="preserve"> Version 8.0</w:t>
      </w:r>
      <w:bookmarkEnd w:id="329"/>
      <w:bookmarkEnd w:id="330"/>
      <w:bookmarkEnd w:id="331"/>
    </w:p>
    <w:p w14:paraId="15F1BBBA" w14:textId="5B70557B" w:rsidR="000147A6" w:rsidRPr="006F21D0" w:rsidRDefault="006654BA" w:rsidP="006F21D0">
      <w:pPr>
        <w:pStyle w:val="TableHeadings3"/>
      </w:pPr>
      <w:bookmarkStart w:id="332" w:name="_Toc497385676"/>
      <w:bookmarkStart w:id="333" w:name="_Toc497488054"/>
      <w:bookmarkStart w:id="334" w:name="_Toc497750030"/>
      <w:proofErr w:type="gramStart"/>
      <w:r>
        <w:t>Table 16</w:t>
      </w:r>
      <w:r w:rsidR="00E22F35">
        <w:t>.</w:t>
      </w:r>
      <w:proofErr w:type="gramEnd"/>
      <w:r w:rsidR="001105BD" w:rsidRPr="006F21D0">
        <w:t xml:space="preserve"> </w:t>
      </w:r>
      <w:r w:rsidR="000147A6" w:rsidRPr="006F21D0">
        <w:t>Round 20 (2015-16) national consolidation cost weight tables – V8.0</w:t>
      </w:r>
      <w:bookmarkEnd w:id="332"/>
      <w:bookmarkEnd w:id="333"/>
      <w:bookmarkEnd w:id="334"/>
    </w:p>
    <w:p w14:paraId="69A81A37" w14:textId="67266B64" w:rsidR="000147A6" w:rsidRDefault="000147A6" w:rsidP="005C6364">
      <w:pPr>
        <w:pStyle w:val="Caption"/>
        <w:spacing w:before="240" w:after="4000"/>
        <w:rPr>
          <w:b/>
          <w:sz w:val="22"/>
        </w:rPr>
      </w:pPr>
      <w:bookmarkStart w:id="335" w:name="_Toc497385677"/>
      <w:bookmarkStart w:id="336" w:name="_Toc497486135"/>
      <w:bookmarkStart w:id="337" w:name="_Toc497488055"/>
      <w:r w:rsidRPr="006F21D0">
        <w:rPr>
          <w:b/>
          <w:i w:val="0"/>
          <w:sz w:val="20"/>
        </w:rPr>
        <w:t xml:space="preserve">Please refer to </w:t>
      </w:r>
      <w:bookmarkEnd w:id="335"/>
      <w:bookmarkEnd w:id="336"/>
      <w:bookmarkEnd w:id="337"/>
      <w:r w:rsidR="00E33828">
        <w:rPr>
          <w:b/>
          <w:i w:val="0"/>
          <w:sz w:val="20"/>
        </w:rPr>
        <w:t>excel file for details</w:t>
      </w:r>
    </w:p>
    <w:p w14:paraId="7102985A" w14:textId="323ABAEF" w:rsidR="005C6364" w:rsidRDefault="000147A6" w:rsidP="000147A6">
      <w:pPr>
        <w:pStyle w:val="Tablesheadings"/>
        <w:jc w:val="center"/>
        <w:rPr>
          <w:b w:val="0"/>
          <w:sz w:val="22"/>
        </w:rPr>
      </w:pPr>
      <w:bookmarkStart w:id="338" w:name="_Toc497385678"/>
      <w:bookmarkStart w:id="339" w:name="_Toc497486136"/>
      <w:bookmarkStart w:id="340" w:name="_Toc497488056"/>
      <w:proofErr w:type="gramStart"/>
      <w:r w:rsidRPr="00F32950">
        <w:rPr>
          <w:b w:val="0"/>
          <w:sz w:val="22"/>
        </w:rPr>
        <w:t>Intentionally left blank.</w:t>
      </w:r>
      <w:bookmarkEnd w:id="338"/>
      <w:bookmarkEnd w:id="339"/>
      <w:bookmarkEnd w:id="340"/>
      <w:proofErr w:type="gramEnd"/>
    </w:p>
    <w:p w14:paraId="12222C42" w14:textId="77777777" w:rsidR="005C6364" w:rsidRDefault="005C6364">
      <w:pPr>
        <w:spacing w:after="0"/>
        <w:rPr>
          <w:rFonts w:asciiTheme="majorHAnsi" w:hAnsiTheme="majorHAnsi"/>
          <w:bCs/>
          <w:color w:val="333132" w:themeColor="text2"/>
          <w:lang w:val="en-GB" w:eastAsia="en-US"/>
        </w:rPr>
      </w:pPr>
      <w:r>
        <w:rPr>
          <w:b/>
        </w:rPr>
        <w:br w:type="page"/>
      </w:r>
    </w:p>
    <w:p w14:paraId="092CFA4F" w14:textId="0F4FA95A" w:rsidR="000147A6" w:rsidRPr="009C06EF" w:rsidRDefault="000147A6" w:rsidP="00F40C87">
      <w:pPr>
        <w:pStyle w:val="Heading1"/>
        <w:numPr>
          <w:ilvl w:val="0"/>
          <w:numId w:val="0"/>
        </w:numPr>
      </w:pPr>
      <w:bookmarkStart w:id="341" w:name="_Ref497285518"/>
      <w:bookmarkStart w:id="342" w:name="_Toc497324309"/>
      <w:bookmarkStart w:id="343" w:name="_Toc497750217"/>
      <w:r>
        <w:lastRenderedPageBreak/>
        <w:t>Appendix E: Cost weight tables by AR-DRG Version 7</w:t>
      </w:r>
      <w:bookmarkEnd w:id="341"/>
      <w:bookmarkEnd w:id="342"/>
      <w:r w:rsidR="00B92C6C">
        <w:t>.0</w:t>
      </w:r>
      <w:bookmarkEnd w:id="343"/>
    </w:p>
    <w:p w14:paraId="1D8B50F0" w14:textId="247248E0" w:rsidR="000147A6" w:rsidRPr="006F21D0" w:rsidRDefault="006654BA" w:rsidP="006F21D0">
      <w:pPr>
        <w:pStyle w:val="TableHeadings3"/>
      </w:pPr>
      <w:bookmarkStart w:id="344" w:name="_Toc497385679"/>
      <w:bookmarkStart w:id="345" w:name="_Toc497488057"/>
      <w:bookmarkStart w:id="346" w:name="_Toc497750031"/>
      <w:proofErr w:type="gramStart"/>
      <w:r>
        <w:t>Table 17</w:t>
      </w:r>
      <w:r w:rsidR="00E22F35">
        <w:t>.</w:t>
      </w:r>
      <w:proofErr w:type="gramEnd"/>
      <w:r w:rsidR="001105BD" w:rsidRPr="006F21D0">
        <w:t xml:space="preserve"> </w:t>
      </w:r>
      <w:r w:rsidR="000147A6" w:rsidRPr="006F21D0">
        <w:t>Round 20 (2015-16) national consolidation cost weight tables – V7</w:t>
      </w:r>
      <w:bookmarkEnd w:id="344"/>
      <w:bookmarkEnd w:id="345"/>
      <w:bookmarkEnd w:id="346"/>
      <w:r w:rsidR="00B92C6C">
        <w:t>.0</w:t>
      </w:r>
    </w:p>
    <w:p w14:paraId="1FE7E52B" w14:textId="77777777" w:rsidR="00E33828" w:rsidRPr="006F21D0" w:rsidRDefault="00E33828" w:rsidP="005C6364">
      <w:pPr>
        <w:pStyle w:val="Caption"/>
        <w:spacing w:before="240" w:after="4000"/>
        <w:rPr>
          <w:b/>
          <w:i w:val="0"/>
          <w:sz w:val="20"/>
        </w:rPr>
      </w:pPr>
      <w:r w:rsidRPr="006F21D0">
        <w:rPr>
          <w:b/>
          <w:i w:val="0"/>
          <w:sz w:val="20"/>
        </w:rPr>
        <w:t xml:space="preserve">Please refer to </w:t>
      </w:r>
      <w:r>
        <w:rPr>
          <w:b/>
          <w:i w:val="0"/>
          <w:sz w:val="20"/>
        </w:rPr>
        <w:t>excel file for details</w:t>
      </w:r>
    </w:p>
    <w:p w14:paraId="77437F6C" w14:textId="7406B305" w:rsidR="000147A6" w:rsidRDefault="000147A6" w:rsidP="005C6364">
      <w:pPr>
        <w:pStyle w:val="Tablesheadings"/>
        <w:jc w:val="center"/>
      </w:pPr>
      <w:bookmarkStart w:id="347" w:name="_Toc497385681"/>
      <w:bookmarkStart w:id="348" w:name="_Toc497486139"/>
      <w:bookmarkStart w:id="349" w:name="_Toc497488059"/>
      <w:proofErr w:type="gramStart"/>
      <w:r w:rsidRPr="00F32950">
        <w:rPr>
          <w:b w:val="0"/>
          <w:sz w:val="22"/>
        </w:rPr>
        <w:t>Intentionally left blank.</w:t>
      </w:r>
      <w:bookmarkEnd w:id="347"/>
      <w:bookmarkEnd w:id="348"/>
      <w:bookmarkEnd w:id="349"/>
      <w:proofErr w:type="gramEnd"/>
      <w:r w:rsidR="005C6364">
        <w:t xml:space="preserve"> </w:t>
      </w:r>
    </w:p>
    <w:p w14:paraId="737C45FF" w14:textId="77777777" w:rsidR="000147A6" w:rsidRDefault="000147A6" w:rsidP="000147A6">
      <w:pPr>
        <w:spacing w:after="0"/>
      </w:pPr>
      <w:r>
        <w:br w:type="page"/>
      </w:r>
    </w:p>
    <w:p w14:paraId="019639E8" w14:textId="77777777" w:rsidR="000147A6" w:rsidRDefault="000147A6" w:rsidP="00F40C87">
      <w:pPr>
        <w:pStyle w:val="Heading1"/>
        <w:numPr>
          <w:ilvl w:val="0"/>
          <w:numId w:val="0"/>
        </w:numPr>
      </w:pPr>
      <w:bookmarkStart w:id="350" w:name="_Ref497285537"/>
      <w:bookmarkStart w:id="351" w:name="_Toc497324310"/>
      <w:bookmarkStart w:id="352" w:name="_Toc497750218"/>
      <w:r>
        <w:lastRenderedPageBreak/>
        <w:t>Appendix F: Cost weight tables by AR-DRG Version 6.0x</w:t>
      </w:r>
      <w:bookmarkEnd w:id="350"/>
      <w:bookmarkEnd w:id="351"/>
      <w:bookmarkEnd w:id="352"/>
    </w:p>
    <w:p w14:paraId="7B382CE7" w14:textId="375278D2" w:rsidR="000147A6" w:rsidRPr="006F21D0" w:rsidRDefault="006654BA" w:rsidP="006F21D0">
      <w:pPr>
        <w:pStyle w:val="TableHeadings3"/>
      </w:pPr>
      <w:bookmarkStart w:id="353" w:name="_Toc497385682"/>
      <w:bookmarkStart w:id="354" w:name="_Toc497488060"/>
      <w:bookmarkStart w:id="355" w:name="_Toc497750032"/>
      <w:proofErr w:type="gramStart"/>
      <w:r>
        <w:t>Table 18</w:t>
      </w:r>
      <w:r w:rsidR="00202CAA">
        <w:t>.</w:t>
      </w:r>
      <w:proofErr w:type="gramEnd"/>
      <w:r w:rsidR="001105BD" w:rsidRPr="006F21D0">
        <w:t xml:space="preserve"> </w:t>
      </w:r>
      <w:r w:rsidR="000147A6" w:rsidRPr="006F21D0">
        <w:t>Round 20 (2015-16) national consolidation cost weight tables – V6.0x</w:t>
      </w:r>
      <w:bookmarkEnd w:id="353"/>
      <w:bookmarkEnd w:id="354"/>
      <w:bookmarkEnd w:id="355"/>
    </w:p>
    <w:p w14:paraId="330CD087" w14:textId="400EAF31" w:rsidR="000147A6" w:rsidRDefault="00E33828" w:rsidP="005C6364">
      <w:pPr>
        <w:pStyle w:val="Caption"/>
        <w:spacing w:before="240" w:after="4000"/>
        <w:rPr>
          <w:b/>
          <w:sz w:val="22"/>
        </w:rPr>
      </w:pPr>
      <w:r w:rsidRPr="006F21D0">
        <w:rPr>
          <w:b/>
          <w:i w:val="0"/>
          <w:sz w:val="20"/>
        </w:rPr>
        <w:t xml:space="preserve">Please refer to </w:t>
      </w:r>
      <w:r>
        <w:rPr>
          <w:b/>
          <w:i w:val="0"/>
          <w:sz w:val="20"/>
        </w:rPr>
        <w:t>excel file for details</w:t>
      </w:r>
    </w:p>
    <w:p w14:paraId="69ADA238" w14:textId="04629BEF" w:rsidR="00B40F6B" w:rsidRDefault="000147A6" w:rsidP="005C6364">
      <w:pPr>
        <w:pStyle w:val="Tablesheadings"/>
        <w:jc w:val="center"/>
      </w:pPr>
      <w:bookmarkStart w:id="356" w:name="_Toc497385684"/>
      <w:bookmarkStart w:id="357" w:name="_Toc497486142"/>
      <w:bookmarkStart w:id="358" w:name="_Toc497488062"/>
      <w:proofErr w:type="gramStart"/>
      <w:r w:rsidRPr="00F32950">
        <w:rPr>
          <w:b w:val="0"/>
          <w:sz w:val="22"/>
        </w:rPr>
        <w:t>Intentionally left blank.</w:t>
      </w:r>
      <w:bookmarkEnd w:id="356"/>
      <w:bookmarkEnd w:id="357"/>
      <w:bookmarkEnd w:id="358"/>
      <w:bookmarkEnd w:id="264"/>
      <w:bookmarkEnd w:id="265"/>
      <w:bookmarkEnd w:id="324"/>
      <w:proofErr w:type="gramEnd"/>
      <w:r w:rsidR="005C6364">
        <w:t xml:space="preserve"> </w:t>
      </w:r>
    </w:p>
    <w:p w14:paraId="21172825" w14:textId="590C0D8C" w:rsidR="00B40F6B" w:rsidRDefault="00B40F6B" w:rsidP="00B40F6B">
      <w:pPr>
        <w:spacing w:after="0"/>
      </w:pPr>
      <w:r w:rsidRPr="00B40F6B">
        <w:br w:type="page"/>
      </w:r>
      <w:r w:rsidR="00A5266D">
        <w:rPr>
          <w:noProof/>
        </w:rPr>
        <w:lastRenderedPageBreak/>
        <mc:AlternateContent>
          <mc:Choice Requires="wps">
            <w:drawing>
              <wp:anchor distT="0" distB="0" distL="114300" distR="114300" simplePos="0" relativeHeight="251664384" behindDoc="0" locked="0" layoutInCell="1" allowOverlap="1" wp14:anchorId="288F6C2B" wp14:editId="5C360EFA">
                <wp:simplePos x="0" y="0"/>
                <wp:positionH relativeFrom="column">
                  <wp:posOffset>-114300</wp:posOffset>
                </wp:positionH>
                <wp:positionV relativeFrom="margin">
                  <wp:posOffset>7710805</wp:posOffset>
                </wp:positionV>
                <wp:extent cx="1943100" cy="13525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943100" cy="1352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7EAF77" w14:textId="77777777" w:rsidR="005C6364" w:rsidRPr="00C303D7" w:rsidRDefault="005C6364" w:rsidP="00B06FEE">
                            <w:pPr>
                              <w:pStyle w:val="Address"/>
                              <w:spacing w:after="0"/>
                            </w:pPr>
                            <w:r w:rsidRPr="00C303D7">
                              <w:t>Independent Hospital Pricing Authority</w:t>
                            </w:r>
                          </w:p>
                          <w:p w14:paraId="2B1E2394" w14:textId="77777777" w:rsidR="005C6364" w:rsidRPr="00C303D7" w:rsidRDefault="005C6364" w:rsidP="00B06FEE">
                            <w:pPr>
                              <w:pStyle w:val="Address"/>
                              <w:spacing w:after="0"/>
                            </w:pPr>
                            <w:r w:rsidRPr="00C303D7">
                              <w:t> </w:t>
                            </w:r>
                          </w:p>
                          <w:p w14:paraId="3E47A9DA" w14:textId="77777777" w:rsidR="005C6364" w:rsidRPr="00C303D7" w:rsidRDefault="005C6364" w:rsidP="00B06FEE">
                            <w:pPr>
                              <w:pStyle w:val="Address"/>
                              <w:spacing w:after="0"/>
                              <w:rPr>
                                <w:color w:val="7EC352" w:themeColor="accent3"/>
                              </w:rPr>
                            </w:pPr>
                            <w:r w:rsidRPr="00C303D7">
                              <w:rPr>
                                <w:color w:val="7EC352" w:themeColor="accent3"/>
                              </w:rPr>
                              <w:t>Level 6, 1 Oxford Street</w:t>
                            </w:r>
                          </w:p>
                          <w:p w14:paraId="5E4BD5CD" w14:textId="77777777" w:rsidR="005C6364" w:rsidRDefault="005C6364" w:rsidP="00B06FEE">
                            <w:pPr>
                              <w:pStyle w:val="Address"/>
                              <w:spacing w:after="0"/>
                            </w:pPr>
                            <w:r w:rsidRPr="00C303D7">
                              <w:rPr>
                                <w:color w:val="7EC352" w:themeColor="accent3"/>
                              </w:rPr>
                              <w:t>Sydney NSW 2000</w:t>
                            </w:r>
                          </w:p>
                          <w:p w14:paraId="1E560FDD" w14:textId="77777777" w:rsidR="005C6364" w:rsidRPr="00C303D7" w:rsidRDefault="005C6364" w:rsidP="00B06FEE">
                            <w:pPr>
                              <w:pStyle w:val="Address"/>
                              <w:spacing w:after="0"/>
                            </w:pPr>
                          </w:p>
                          <w:p w14:paraId="66AB4476" w14:textId="77777777" w:rsidR="005C6364" w:rsidRPr="00C303D7" w:rsidRDefault="005C6364" w:rsidP="00B06FEE">
                            <w:pPr>
                              <w:pStyle w:val="Address"/>
                              <w:spacing w:after="0"/>
                            </w:pPr>
                            <w:r w:rsidRPr="00C303D7">
                              <w:t xml:space="preserve">Phone </w:t>
                            </w:r>
                            <w:r w:rsidRPr="00C303D7">
                              <w:rPr>
                                <w:color w:val="7EC352" w:themeColor="accent3"/>
                              </w:rPr>
                              <w:t>02 8215 1100</w:t>
                            </w:r>
                          </w:p>
                          <w:p w14:paraId="536E3F07" w14:textId="77777777" w:rsidR="005C6364" w:rsidRPr="00C303D7" w:rsidRDefault="005C6364" w:rsidP="00B06FEE">
                            <w:pPr>
                              <w:pStyle w:val="Address"/>
                              <w:spacing w:after="0"/>
                            </w:pPr>
                            <w:r w:rsidRPr="00C303D7">
                              <w:t xml:space="preserve">Email </w:t>
                            </w:r>
                            <w:r w:rsidRPr="00C303D7">
                              <w:rPr>
                                <w:color w:val="7EC352" w:themeColor="accent3"/>
                              </w:rPr>
                              <w:t>enquiries.ihpa@ihpa.gov.au</w:t>
                            </w:r>
                          </w:p>
                          <w:p w14:paraId="4774D96B" w14:textId="77777777" w:rsidR="005C6364" w:rsidRPr="00C303D7" w:rsidRDefault="005C6364" w:rsidP="00B06FEE">
                            <w:pPr>
                              <w:pStyle w:val="Address"/>
                              <w:spacing w:after="0"/>
                              <w:rPr>
                                <w:color w:val="7EC352" w:themeColor="accent3"/>
                              </w:rPr>
                            </w:pPr>
                            <w:r w:rsidRPr="00C303D7">
                              <w:t xml:space="preserve">Twitter </w:t>
                            </w:r>
                            <w:r w:rsidRPr="00C303D7">
                              <w:rPr>
                                <w:color w:val="7EC352" w:themeColor="accent3"/>
                              </w:rPr>
                              <w:t>@</w:t>
                            </w:r>
                            <w:proofErr w:type="spellStart"/>
                            <w:r w:rsidRPr="00C303D7">
                              <w:rPr>
                                <w:color w:val="7EC352" w:themeColor="accent3"/>
                              </w:rPr>
                              <w:t>IHPAnews</w:t>
                            </w:r>
                            <w:proofErr w:type="spellEnd"/>
                          </w:p>
                          <w:p w14:paraId="68C5AA98" w14:textId="77777777" w:rsidR="005C6364" w:rsidRPr="00C303D7" w:rsidRDefault="005C6364" w:rsidP="00B06FEE">
                            <w:pPr>
                              <w:pStyle w:val="Address"/>
                              <w:spacing w:after="0"/>
                            </w:pPr>
                          </w:p>
                          <w:p w14:paraId="022E896D" w14:textId="77777777" w:rsidR="005C6364" w:rsidRPr="00C303D7" w:rsidRDefault="005C6364" w:rsidP="00B06FEE">
                            <w:pPr>
                              <w:pStyle w:val="Address"/>
                              <w:spacing w:after="0"/>
                            </w:pPr>
                            <w:r w:rsidRPr="00C303D7">
                              <w:t>www.ihpa.gov.au</w:t>
                            </w:r>
                          </w:p>
                          <w:p w14:paraId="4E5AC5E8" w14:textId="77777777" w:rsidR="005C6364" w:rsidRPr="00C303D7" w:rsidRDefault="005C6364" w:rsidP="00A5266D">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pt;margin-top:607.15pt;width:153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dawIAAEoFAAAOAAAAZHJzL2Uyb0RvYy54bWysVN9v0zAQfkfif7D8ztJ2DEHVdCqdipCm&#10;bdqG9uw6dhth+4x9bVL+es5O0o3CyxAvzuX83a/v7jy7bK1hexViDa7k47MRZ8pJqGq3Kfm3x9W7&#10;j5xFFK4SBpwq+UFFfjl/+2bW+KmawBZMpQIjJy5OG1/yLaKfFkWUW2VFPAOvHF1qCFYg/YZNUQXR&#10;kHdrislo9KFoIFQ+gFQxkvaqu+Tz7F9rJfFW66iQmZJTbpjPkM91Oov5TEw3QfhtLfs0xD9kYUXt&#10;KOjR1ZVAwXah/sOVrWWACBrPJNgCtK6lyjVQNePRSTUPW+FVroXIif5IU/x/buXN/i6wuqLeceaE&#10;pRY9qhbZZ2jZOLHT+Dgl0IMnGLakTsheH0mZim51sOlL5TC6J54PR26TM5mMPr0/H4/oStLd+Pxi&#10;cnGR2S+ezX2I+EWBZUkoeaDmZU7F/joihSToAEnRHKxqY3IDjftNQcBOo/IE9Napki7jLOHBqGRl&#10;3L3SxEBOPCny7KmlCWwvaGqElMphrjn7JXRCaYr9GsMen0y7rF5jfLTIkcHh0djWDkJm6STt6vuQ&#10;su7wxN+LupOI7brtO7mG6kANDtAtSPRyVVMTrkXEOxFoI6hxtOV4S4c20JQceomzLYSff9MnPA0q&#10;3XLW0IaVPP7YiaA4M18djXBax0EIg7AeBLezSyD6aSwpmyySQUAziDqAfaLlX6QodCWcpFglx0Fc&#10;Yrfn9HhItVhkEC2dF3jtHrxMrhOdaaQe2ycRfD93SCN7A8PuienJ+HXYZOlgsUPQdZ7NRGjHYk80&#10;LWwe2f5xSS/Cy/+Men4C578AAAD//wMAUEsDBBQABgAIAAAAIQDf6qmg4QAAAA0BAAAPAAAAZHJz&#10;L2Rvd25yZXYueG1sTI9BT4NAEIXvJv6HzZh4axdoUxFZmsboycRI8eBxgSlsys4iu23x3zs96XHe&#10;e3nzvXw720GccfLGkYJ4GYFAalxrqFPwWb0uUhA+aGr14AgV/KCHbXF7k+usdRcq8bwPneAS8plW&#10;0IcwZlL6pker/dKNSOwd3GR14HPqZDvpC5fbQSZRtJFWG+IPvR7xucfmuD9ZBbsvKl/M93v9UR5K&#10;U1WPEb1tjkrd3827JxAB5/AXhis+o0PBTLU7UevFoGARp7wlsJHE6xUIjiTpVapZWicPK5BFLv+v&#10;KH4BAAD//wMAUEsBAi0AFAAGAAgAAAAhALaDOJL+AAAA4QEAABMAAAAAAAAAAAAAAAAAAAAAAFtD&#10;b250ZW50X1R5cGVzXS54bWxQSwECLQAUAAYACAAAACEAOP0h/9YAAACUAQAACwAAAAAAAAAAAAAA&#10;AAAvAQAAX3JlbHMvLnJlbHNQSwECLQAUAAYACAAAACEA/i3HHWsCAABKBQAADgAAAAAAAAAAAAAA&#10;AAAuAgAAZHJzL2Uyb0RvYy54bWxQSwECLQAUAAYACAAAACEA3+qpoOEAAAANAQAADwAAAAAAAAAA&#10;AAAAAADFBAAAZHJzL2Rvd25yZXYueG1sUEsFBgAAAAAEAAQA8wAAANMFAAAAAA==&#10;" filled="f" stroked="f">
                <v:textbox inset="0,0,0,0">
                  <w:txbxContent>
                    <w:p w14:paraId="247EAF77" w14:textId="77777777" w:rsidR="005C6364" w:rsidRPr="00C303D7" w:rsidRDefault="005C6364" w:rsidP="00B06FEE">
                      <w:pPr>
                        <w:pStyle w:val="Address"/>
                        <w:spacing w:after="0"/>
                      </w:pPr>
                      <w:r w:rsidRPr="00C303D7">
                        <w:t>Independent Hospital Pricing Authority</w:t>
                      </w:r>
                    </w:p>
                    <w:p w14:paraId="2B1E2394" w14:textId="77777777" w:rsidR="005C6364" w:rsidRPr="00C303D7" w:rsidRDefault="005C6364" w:rsidP="00B06FEE">
                      <w:pPr>
                        <w:pStyle w:val="Address"/>
                        <w:spacing w:after="0"/>
                      </w:pPr>
                      <w:r w:rsidRPr="00C303D7">
                        <w:t> </w:t>
                      </w:r>
                    </w:p>
                    <w:p w14:paraId="3E47A9DA" w14:textId="77777777" w:rsidR="005C6364" w:rsidRPr="00C303D7" w:rsidRDefault="005C6364" w:rsidP="00B06FEE">
                      <w:pPr>
                        <w:pStyle w:val="Address"/>
                        <w:spacing w:after="0"/>
                        <w:rPr>
                          <w:color w:val="7EC352" w:themeColor="accent3"/>
                        </w:rPr>
                      </w:pPr>
                      <w:r w:rsidRPr="00C303D7">
                        <w:rPr>
                          <w:color w:val="7EC352" w:themeColor="accent3"/>
                        </w:rPr>
                        <w:t>Level 6, 1 Oxford Street</w:t>
                      </w:r>
                    </w:p>
                    <w:p w14:paraId="5E4BD5CD" w14:textId="77777777" w:rsidR="005C6364" w:rsidRDefault="005C6364" w:rsidP="00B06FEE">
                      <w:pPr>
                        <w:pStyle w:val="Address"/>
                        <w:spacing w:after="0"/>
                      </w:pPr>
                      <w:r w:rsidRPr="00C303D7">
                        <w:rPr>
                          <w:color w:val="7EC352" w:themeColor="accent3"/>
                        </w:rPr>
                        <w:t>Sydney NSW 2000</w:t>
                      </w:r>
                    </w:p>
                    <w:p w14:paraId="1E560FDD" w14:textId="77777777" w:rsidR="005C6364" w:rsidRPr="00C303D7" w:rsidRDefault="005C6364" w:rsidP="00B06FEE">
                      <w:pPr>
                        <w:pStyle w:val="Address"/>
                        <w:spacing w:after="0"/>
                      </w:pPr>
                    </w:p>
                    <w:p w14:paraId="66AB4476" w14:textId="77777777" w:rsidR="005C6364" w:rsidRPr="00C303D7" w:rsidRDefault="005C6364" w:rsidP="00B06FEE">
                      <w:pPr>
                        <w:pStyle w:val="Address"/>
                        <w:spacing w:after="0"/>
                      </w:pPr>
                      <w:r w:rsidRPr="00C303D7">
                        <w:t xml:space="preserve">Phone </w:t>
                      </w:r>
                      <w:r w:rsidRPr="00C303D7">
                        <w:rPr>
                          <w:color w:val="7EC352" w:themeColor="accent3"/>
                        </w:rPr>
                        <w:t>02 8215 1100</w:t>
                      </w:r>
                    </w:p>
                    <w:p w14:paraId="536E3F07" w14:textId="77777777" w:rsidR="005C6364" w:rsidRPr="00C303D7" w:rsidRDefault="005C6364" w:rsidP="00B06FEE">
                      <w:pPr>
                        <w:pStyle w:val="Address"/>
                        <w:spacing w:after="0"/>
                      </w:pPr>
                      <w:r w:rsidRPr="00C303D7">
                        <w:t xml:space="preserve">Email </w:t>
                      </w:r>
                      <w:r w:rsidRPr="00C303D7">
                        <w:rPr>
                          <w:color w:val="7EC352" w:themeColor="accent3"/>
                        </w:rPr>
                        <w:t>enquiries.ihpa@ihpa.gov.au</w:t>
                      </w:r>
                    </w:p>
                    <w:p w14:paraId="4774D96B" w14:textId="77777777" w:rsidR="005C6364" w:rsidRPr="00C303D7" w:rsidRDefault="005C6364" w:rsidP="00B06FEE">
                      <w:pPr>
                        <w:pStyle w:val="Address"/>
                        <w:spacing w:after="0"/>
                        <w:rPr>
                          <w:color w:val="7EC352" w:themeColor="accent3"/>
                        </w:rPr>
                      </w:pPr>
                      <w:r w:rsidRPr="00C303D7">
                        <w:t xml:space="preserve">Twitter </w:t>
                      </w:r>
                      <w:r w:rsidRPr="00C303D7">
                        <w:rPr>
                          <w:color w:val="7EC352" w:themeColor="accent3"/>
                        </w:rPr>
                        <w:t>@</w:t>
                      </w:r>
                      <w:proofErr w:type="spellStart"/>
                      <w:r w:rsidRPr="00C303D7">
                        <w:rPr>
                          <w:color w:val="7EC352" w:themeColor="accent3"/>
                        </w:rPr>
                        <w:t>IHPAnews</w:t>
                      </w:r>
                      <w:proofErr w:type="spellEnd"/>
                    </w:p>
                    <w:p w14:paraId="68C5AA98" w14:textId="77777777" w:rsidR="005C6364" w:rsidRPr="00C303D7" w:rsidRDefault="005C6364" w:rsidP="00B06FEE">
                      <w:pPr>
                        <w:pStyle w:val="Address"/>
                        <w:spacing w:after="0"/>
                      </w:pPr>
                    </w:p>
                    <w:p w14:paraId="022E896D" w14:textId="77777777" w:rsidR="005C6364" w:rsidRPr="00C303D7" w:rsidRDefault="005C6364" w:rsidP="00B06FEE">
                      <w:pPr>
                        <w:pStyle w:val="Address"/>
                        <w:spacing w:after="0"/>
                      </w:pPr>
                      <w:r w:rsidRPr="00C303D7">
                        <w:t>www.ihpa.gov.au</w:t>
                      </w:r>
                    </w:p>
                    <w:p w14:paraId="4E5AC5E8" w14:textId="77777777" w:rsidR="005C6364" w:rsidRPr="00C303D7" w:rsidRDefault="005C6364" w:rsidP="00A5266D">
                      <w:pPr>
                        <w:pStyle w:val="Address"/>
                      </w:pPr>
                    </w:p>
                  </w:txbxContent>
                </v:textbox>
                <w10:wrap type="square" anchory="margin"/>
              </v:shape>
            </w:pict>
          </mc:Fallback>
        </mc:AlternateContent>
      </w:r>
      <w:r w:rsidRPr="00B40F6B">
        <w:rPr>
          <w:b/>
          <w:noProof/>
        </w:rPr>
        <w:drawing>
          <wp:anchor distT="0" distB="0" distL="114300" distR="114300" simplePos="0" relativeHeight="251660800" behindDoc="1" locked="0" layoutInCell="1" allowOverlap="1" wp14:anchorId="3257EFA3" wp14:editId="60C1552E">
            <wp:simplePos x="0" y="0"/>
            <wp:positionH relativeFrom="page">
              <wp:posOffset>-43180</wp:posOffset>
            </wp:positionH>
            <wp:positionV relativeFrom="page">
              <wp:posOffset>-15512</wp:posOffset>
            </wp:positionV>
            <wp:extent cx="7593480" cy="10740240"/>
            <wp:effectExtent l="0" t="0" r="7620" b="4445"/>
            <wp:wrapNone/>
            <wp:docPr id="11" name="Picture 11" descr="IHPA logo" title="Final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2.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593480" cy="10740240"/>
                    </a:xfrm>
                    <a:prstGeom prst="rect">
                      <a:avLst/>
                    </a:prstGeom>
                  </pic:spPr>
                </pic:pic>
              </a:graphicData>
            </a:graphic>
            <wp14:sizeRelH relativeFrom="margin">
              <wp14:pctWidth>0</wp14:pctWidth>
            </wp14:sizeRelH>
            <wp14:sizeRelV relativeFrom="margin">
              <wp14:pctHeight>0</wp14:pctHeight>
            </wp14:sizeRelV>
          </wp:anchor>
        </w:drawing>
      </w:r>
    </w:p>
    <w:sectPr w:rsidR="00B40F6B" w:rsidSect="00E22F35">
      <w:pgSz w:w="11907" w:h="16840" w:code="9"/>
      <w:pgMar w:top="1702" w:right="1021" w:bottom="2041" w:left="1440" w:header="68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8EE0A" w14:textId="77777777" w:rsidR="005C6364" w:rsidRDefault="005C6364">
      <w:r>
        <w:separator/>
      </w:r>
    </w:p>
  </w:endnote>
  <w:endnote w:type="continuationSeparator" w:id="0">
    <w:p w14:paraId="36BFAC43" w14:textId="77777777" w:rsidR="005C6364" w:rsidRDefault="005C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EastAsia" w:hAnsiTheme="minorHAnsi"/>
        <w:sz w:val="22"/>
        <w:szCs w:val="22"/>
      </w:rPr>
      <w:id w:val="1436255330"/>
      <w:docPartObj>
        <w:docPartGallery w:val="Page Numbers (Bottom of Page)"/>
        <w:docPartUnique/>
      </w:docPartObj>
    </w:sdtPr>
    <w:sdtEndPr>
      <w:rPr>
        <w:rFonts w:asciiTheme="majorHAnsi" w:eastAsiaTheme="majorEastAsia" w:hAnsiTheme="majorHAnsi" w:cstheme="majorBidi"/>
        <w:noProof/>
        <w:color w:val="004200" w:themeColor="accent1"/>
        <w:sz w:val="40"/>
        <w:szCs w:val="40"/>
      </w:rPr>
    </w:sdtEndPr>
    <w:sdtContent>
      <w:p w14:paraId="2980E239" w14:textId="1B0EE852" w:rsidR="005C6364" w:rsidRDefault="005C6364">
        <w:pPr>
          <w:pStyle w:val="Footer"/>
          <w:jc w:val="right"/>
          <w:rPr>
            <w:rFonts w:asciiTheme="majorHAnsi" w:eastAsiaTheme="majorEastAsia" w:hAnsiTheme="majorHAnsi" w:cstheme="majorBidi"/>
            <w:color w:val="004200" w:themeColor="accent1"/>
            <w:sz w:val="40"/>
            <w:szCs w:val="40"/>
          </w:rPr>
        </w:pP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F70FAB" w:rsidRPr="00F70FAB">
          <w:rPr>
            <w:rFonts w:asciiTheme="majorHAnsi" w:eastAsiaTheme="majorEastAsia" w:hAnsiTheme="majorHAnsi" w:cstheme="majorBidi"/>
            <w:noProof/>
            <w:color w:val="004200" w:themeColor="accent1"/>
            <w:sz w:val="40"/>
            <w:szCs w:val="40"/>
          </w:rPr>
          <w:t>1</w:t>
        </w:r>
        <w:r>
          <w:rPr>
            <w:rFonts w:asciiTheme="majorHAnsi" w:eastAsiaTheme="majorEastAsia" w:hAnsiTheme="majorHAnsi" w:cstheme="majorBidi"/>
            <w:noProof/>
            <w:color w:val="004200" w:themeColor="accent1"/>
            <w:sz w:val="40"/>
            <w:szCs w:val="40"/>
          </w:rPr>
          <w:fldChar w:fldCharType="end"/>
        </w:r>
      </w:p>
    </w:sdtContent>
  </w:sdt>
  <w:p w14:paraId="2F8A18F6" w14:textId="77777777" w:rsidR="005C6364" w:rsidRDefault="005C63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C2896" w14:textId="5B8D5F84" w:rsidR="005C6364" w:rsidRDefault="005C6364" w:rsidP="00F70FA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D4641" w14:textId="77777777" w:rsidR="005C6364" w:rsidRDefault="005C6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C56D8" w14:textId="77777777" w:rsidR="005C6364" w:rsidRDefault="005C6364">
      <w:r>
        <w:separator/>
      </w:r>
    </w:p>
  </w:footnote>
  <w:footnote w:type="continuationSeparator" w:id="0">
    <w:p w14:paraId="28757E0A" w14:textId="77777777" w:rsidR="005C6364" w:rsidRDefault="005C6364">
      <w:r>
        <w:continuationSeparator/>
      </w:r>
    </w:p>
  </w:footnote>
  <w:footnote w:id="1">
    <w:p w14:paraId="2EBCE586" w14:textId="603C5702" w:rsidR="005C6364" w:rsidRPr="00521262" w:rsidRDefault="005C6364" w:rsidP="004A6563">
      <w:pPr>
        <w:pStyle w:val="SourceNotesText"/>
        <w:rPr>
          <w:sz w:val="14"/>
          <w:szCs w:val="14"/>
        </w:rPr>
      </w:pPr>
      <w:r>
        <w:rPr>
          <w:rStyle w:val="FootnoteReference"/>
          <w:rFonts w:ascii="Georgia" w:hAnsi="Georgia"/>
          <w:snapToGrid w:val="0"/>
        </w:rPr>
        <w:footnoteRef/>
      </w:r>
      <w:r>
        <w:rPr>
          <w:snapToGrid w:val="0"/>
        </w:rPr>
        <w:t xml:space="preserve"> </w:t>
      </w:r>
      <w:r w:rsidRPr="00521262">
        <w:rPr>
          <w:snapToGrid w:val="0"/>
          <w:sz w:val="14"/>
          <w:szCs w:val="14"/>
        </w:rPr>
        <w:t>DOH</w:t>
      </w:r>
      <w:r>
        <w:rPr>
          <w:snapToGrid w:val="0"/>
          <w:sz w:val="14"/>
          <w:szCs w:val="14"/>
        </w:rPr>
        <w:t>,</w:t>
      </w:r>
      <w:r w:rsidRPr="00521262">
        <w:rPr>
          <w:snapToGrid w:val="0"/>
          <w:sz w:val="14"/>
          <w:szCs w:val="14"/>
        </w:rPr>
        <w:t xml:space="preserve">  A Users Guide for the Collection of </w:t>
      </w:r>
      <w:r>
        <w:rPr>
          <w:snapToGrid w:val="0"/>
          <w:sz w:val="14"/>
          <w:szCs w:val="14"/>
        </w:rPr>
        <w:t>HCP and PHDB</w:t>
      </w:r>
      <w:r w:rsidRPr="00521262">
        <w:rPr>
          <w:snapToGrid w:val="0"/>
          <w:sz w:val="14"/>
          <w:szCs w:val="14"/>
        </w:rPr>
        <w:t xml:space="preserve"> (Version 1.2- May 2010  - page 38, </w:t>
      </w:r>
      <w:hyperlink r:id="rId1" w:history="1">
        <w:r w:rsidRPr="00521262">
          <w:rPr>
            <w:rStyle w:val="Hyperlink"/>
            <w:snapToGrid w:val="0"/>
            <w:sz w:val="14"/>
            <w:szCs w:val="14"/>
          </w:rPr>
          <w:t>Government Health Website: http://www.health.gov.au/internet/main/publishing.nsf/Content/38E5E5E23C0D4336CA257BF0001E8AC3/$File/Data%20Definitions%20Manual.pdf</w:t>
        </w:r>
      </w:hyperlink>
      <w:r w:rsidRPr="00521262">
        <w:rPr>
          <w:snapToGrid w:val="0"/>
          <w:sz w:val="14"/>
          <w:szCs w:val="14"/>
        </w:rPr>
        <w:t>, dated viewed 26 November 2017</w:t>
      </w:r>
    </w:p>
  </w:footnote>
  <w:footnote w:id="2">
    <w:p w14:paraId="4F33B059" w14:textId="4555A62D" w:rsidR="005C6364" w:rsidRPr="00521262" w:rsidRDefault="005C6364" w:rsidP="00521262">
      <w:pPr>
        <w:pStyle w:val="SourceNotesText"/>
        <w:rPr>
          <w:sz w:val="14"/>
          <w:szCs w:val="14"/>
        </w:rPr>
      </w:pPr>
      <w:r w:rsidRPr="00D81F1E">
        <w:rPr>
          <w:rStyle w:val="FootnoteReference"/>
          <w:rFonts w:ascii="Georgia" w:hAnsi="Georgia"/>
          <w:snapToGrid w:val="0"/>
        </w:rPr>
        <w:footnoteRef/>
      </w:r>
      <w:r w:rsidRPr="00521262">
        <w:rPr>
          <w:snapToGrid w:val="0"/>
          <w:sz w:val="14"/>
          <w:szCs w:val="14"/>
        </w:rPr>
        <w:t xml:space="preserve"> DOH</w:t>
      </w:r>
      <w:r>
        <w:rPr>
          <w:snapToGrid w:val="0"/>
          <w:sz w:val="14"/>
          <w:szCs w:val="14"/>
        </w:rPr>
        <w:t>,</w:t>
      </w:r>
      <w:r w:rsidRPr="00521262">
        <w:rPr>
          <w:snapToGrid w:val="0"/>
          <w:sz w:val="14"/>
          <w:szCs w:val="14"/>
        </w:rPr>
        <w:t xml:space="preserve"> A Users Guide for the Collection of </w:t>
      </w:r>
      <w:r>
        <w:rPr>
          <w:snapToGrid w:val="0"/>
          <w:sz w:val="14"/>
          <w:szCs w:val="14"/>
        </w:rPr>
        <w:t>HCP and PHDB</w:t>
      </w:r>
      <w:r w:rsidRPr="00521262">
        <w:rPr>
          <w:snapToGrid w:val="0"/>
          <w:sz w:val="14"/>
          <w:szCs w:val="14"/>
        </w:rPr>
        <w:t xml:space="preserve"> (Version 1.2- May 2010  - page 38, </w:t>
      </w:r>
      <w:hyperlink r:id="rId2" w:history="1">
        <w:r w:rsidRPr="00521262">
          <w:rPr>
            <w:rStyle w:val="Hyperlink"/>
            <w:snapToGrid w:val="0"/>
            <w:sz w:val="14"/>
            <w:szCs w:val="14"/>
          </w:rPr>
          <w:t>Government Health Website: http://www.health.gov.au/internet/main/publishing.nsf/Content/38E5E5E23C0D4336CA257BF0001E8AC3/$File/Data%20Definitions%20Manual.pdf</w:t>
        </w:r>
      </w:hyperlink>
      <w:r w:rsidRPr="00521262">
        <w:rPr>
          <w:snapToGrid w:val="0"/>
          <w:sz w:val="14"/>
          <w:szCs w:val="14"/>
        </w:rPr>
        <w:t>, dated viewed 26 November 2017</w:t>
      </w:r>
    </w:p>
  </w:footnote>
  <w:footnote w:id="3">
    <w:p w14:paraId="5A5933AC" w14:textId="5E19E1EC" w:rsidR="005C6364" w:rsidRPr="003D7C5F" w:rsidRDefault="005C6364" w:rsidP="00E153D4">
      <w:pPr>
        <w:pStyle w:val="SourceNotesText"/>
        <w:rPr>
          <w:sz w:val="14"/>
        </w:rPr>
      </w:pPr>
      <w:r w:rsidRPr="003D7C5F">
        <w:rPr>
          <w:rStyle w:val="FootnoteReference"/>
          <w:rFonts w:ascii="Georgia" w:hAnsi="Georgia"/>
          <w:snapToGrid w:val="0"/>
          <w:sz w:val="14"/>
        </w:rPr>
        <w:footnoteRef/>
      </w:r>
      <w:r w:rsidRPr="003D7C5F">
        <w:rPr>
          <w:snapToGrid w:val="0"/>
          <w:sz w:val="14"/>
        </w:rPr>
        <w:t xml:space="preserve"> ABS, Private Hospital  Statistics for 2015-16, </w:t>
      </w:r>
      <w:hyperlink r:id="rId3" w:history="1">
        <w:r w:rsidRPr="003D7C5F">
          <w:rPr>
            <w:rStyle w:val="Hyperlink"/>
            <w:snapToGrid w:val="0"/>
            <w:sz w:val="14"/>
          </w:rPr>
          <w:t>Australian Bureau of Statistics Website: http://www.abs.gov.au/ausstats/abs@.nsf/Lookup/by%20Subject/4390.0~2015-16~Main%20Features~All%20Private%20Hospitals%20-%20summary~2</w:t>
        </w:r>
      </w:hyperlink>
      <w:r w:rsidRPr="003D7C5F">
        <w:rPr>
          <w:snapToGrid w:val="0"/>
          <w:sz w:val="14"/>
        </w:rPr>
        <w:t>, date viewed 13</w:t>
      </w:r>
      <w:r w:rsidRPr="003D7C5F">
        <w:rPr>
          <w:snapToGrid w:val="0"/>
          <w:sz w:val="14"/>
          <w:vertAlign w:val="superscript"/>
        </w:rPr>
        <w:t>th</w:t>
      </w:r>
      <w:r w:rsidRPr="003D7C5F">
        <w:rPr>
          <w:snapToGrid w:val="0"/>
          <w:sz w:val="14"/>
        </w:rPr>
        <w:t xml:space="preserve"> September 2017 (this reference is for the whole of section 2.4)</w:t>
      </w:r>
      <w:r w:rsidRPr="003D7C5F">
        <w:rPr>
          <w:sz w:val="14"/>
        </w:rPr>
        <w:t xml:space="preserve"> </w:t>
      </w:r>
    </w:p>
  </w:footnote>
  <w:footnote w:id="4">
    <w:p w14:paraId="7FDFE10F" w14:textId="7FFA972D" w:rsidR="005C6364" w:rsidRPr="003D7C5F" w:rsidRDefault="005C6364" w:rsidP="001745D1">
      <w:pPr>
        <w:pStyle w:val="FootnoteText"/>
        <w:rPr>
          <w:sz w:val="14"/>
          <w:szCs w:val="14"/>
        </w:rPr>
      </w:pPr>
      <w:r w:rsidRPr="003D7C5F">
        <w:rPr>
          <w:rStyle w:val="FootnoteReference"/>
          <w:sz w:val="14"/>
        </w:rPr>
        <w:footnoteRef/>
      </w:r>
      <w:r w:rsidRPr="003D7C5F">
        <w:rPr>
          <w:rStyle w:val="FootnoteReference"/>
          <w:sz w:val="14"/>
        </w:rPr>
        <w:t xml:space="preserve"> </w:t>
      </w:r>
      <w:hyperlink r:id="rId4" w:history="1">
        <w:r w:rsidRPr="003D7C5F">
          <w:rPr>
            <w:rStyle w:val="Hyperlink"/>
            <w:sz w:val="14"/>
            <w:szCs w:val="14"/>
          </w:rPr>
          <w:t xml:space="preserve">Data Dictionary, </w:t>
        </w:r>
        <w:proofErr w:type="spellStart"/>
        <w:r w:rsidRPr="003D7C5F">
          <w:rPr>
            <w:rStyle w:val="Hyperlink"/>
            <w:sz w:val="14"/>
            <w:szCs w:val="14"/>
          </w:rPr>
          <w:t>METeOR</w:t>
        </w:r>
        <w:proofErr w:type="spellEnd"/>
        <w:r w:rsidRPr="003D7C5F">
          <w:rPr>
            <w:rStyle w:val="Hyperlink"/>
            <w:sz w:val="14"/>
            <w:szCs w:val="14"/>
          </w:rPr>
          <w:t xml:space="preserve"> ID: 270174</w:t>
        </w:r>
      </w:hyperlink>
      <w:r w:rsidRPr="003D7C5F">
        <w:rPr>
          <w:sz w:val="14"/>
          <w:szCs w:val="14"/>
        </w:rPr>
        <w:t xml:space="preserve">, </w:t>
      </w:r>
      <w:r>
        <w:rPr>
          <w:sz w:val="14"/>
        </w:rPr>
        <w:t xml:space="preserve">AIHW, </w:t>
      </w:r>
      <w:r w:rsidRPr="003D7C5F">
        <w:rPr>
          <w:sz w:val="14"/>
          <w:szCs w:val="14"/>
        </w:rPr>
        <w:t xml:space="preserve">date viewed </w:t>
      </w:r>
      <w:r>
        <w:rPr>
          <w:sz w:val="14"/>
          <w:szCs w:val="14"/>
        </w:rPr>
        <w:t>6 November 2017</w:t>
      </w:r>
      <w:r w:rsidRPr="003D7C5F">
        <w:rPr>
          <w:sz w:val="14"/>
          <w:szCs w:val="14"/>
        </w:rPr>
        <w:t>; or</w:t>
      </w:r>
    </w:p>
    <w:p w14:paraId="4AC9E75F" w14:textId="1F8F1D1B" w:rsidR="005C6364" w:rsidRPr="003D7C5F" w:rsidRDefault="005C6364" w:rsidP="001745D1">
      <w:pPr>
        <w:pStyle w:val="FootnoteText"/>
        <w:rPr>
          <w:sz w:val="14"/>
        </w:rPr>
      </w:pPr>
      <w:r w:rsidRPr="003D7C5F">
        <w:rPr>
          <w:rStyle w:val="FootnoteReference"/>
          <w:sz w:val="14"/>
        </w:rPr>
        <w:footnoteRef/>
      </w:r>
      <w:r w:rsidRPr="003D7C5F">
        <w:rPr>
          <w:sz w:val="14"/>
        </w:rPr>
        <w:t xml:space="preserve"> </w:t>
      </w:r>
      <w:hyperlink r:id="rId5" w:history="1">
        <w:r w:rsidRPr="003D7C5F">
          <w:rPr>
            <w:rStyle w:val="Hyperlink"/>
            <w:sz w:val="14"/>
          </w:rPr>
          <w:t>A Users Guide for the Collection of HCP) and Private Hospital Data Bureau (PHDB)</w:t>
        </w:r>
      </w:hyperlink>
      <w:r w:rsidRPr="003D7C5F">
        <w:rPr>
          <w:sz w:val="14"/>
        </w:rPr>
        <w:t xml:space="preserve">, (Version 1.2- May 2010  - page 27-31), </w:t>
      </w:r>
      <w:proofErr w:type="spellStart"/>
      <w:r w:rsidRPr="003D7C5F">
        <w:rPr>
          <w:sz w:val="14"/>
        </w:rPr>
        <w:t>D</w:t>
      </w:r>
      <w:r>
        <w:rPr>
          <w:sz w:val="14"/>
        </w:rPr>
        <w:t>o</w:t>
      </w:r>
      <w:r w:rsidRPr="003D7C5F">
        <w:rPr>
          <w:sz w:val="14"/>
        </w:rPr>
        <w:t>H</w:t>
      </w:r>
      <w:proofErr w:type="spellEnd"/>
      <w:r>
        <w:rPr>
          <w:sz w:val="14"/>
        </w:rPr>
        <w:t xml:space="preserve">, </w:t>
      </w:r>
      <w:r w:rsidRPr="003D7C5F">
        <w:rPr>
          <w:sz w:val="14"/>
        </w:rPr>
        <w:t xml:space="preserve">dated viewed </w:t>
      </w:r>
      <w:r>
        <w:rPr>
          <w:sz w:val="14"/>
        </w:rPr>
        <w:t>26 November 2017</w:t>
      </w:r>
    </w:p>
  </w:footnote>
  <w:footnote w:id="5">
    <w:p w14:paraId="3EBE0925" w14:textId="77777777" w:rsidR="005C6364" w:rsidRPr="003D7C5F" w:rsidRDefault="005C6364" w:rsidP="001745D1">
      <w:pPr>
        <w:pStyle w:val="SourceNotesText"/>
        <w:rPr>
          <w:sz w:val="14"/>
          <w:szCs w:val="14"/>
        </w:rPr>
      </w:pPr>
      <w:r w:rsidRPr="003D7C5F">
        <w:rPr>
          <w:rStyle w:val="FootnoteReference"/>
          <w:rFonts w:ascii="Georgia" w:hAnsi="Georgia"/>
          <w:sz w:val="14"/>
        </w:rPr>
        <w:footnoteRef/>
      </w:r>
      <w:r w:rsidRPr="003D7C5F">
        <w:rPr>
          <w:sz w:val="14"/>
        </w:rPr>
        <w:t xml:space="preserve"> </w:t>
      </w:r>
      <w:r w:rsidRPr="003D7C5F">
        <w:rPr>
          <w:sz w:val="14"/>
          <w:szCs w:val="14"/>
        </w:rPr>
        <w:t>These are separations with care type 7.0 (new born care), with zero qualified days in the neonate DRGs (Major Diagnostic Category 15 newborns and other neonates)</w:t>
      </w:r>
    </w:p>
  </w:footnote>
  <w:footnote w:id="6">
    <w:p w14:paraId="5C3AEFB3" w14:textId="014D932D" w:rsidR="005C6364" w:rsidRDefault="005C6364" w:rsidP="00D33479">
      <w:pPr>
        <w:pStyle w:val="FootnoteText"/>
      </w:pPr>
      <w:r w:rsidRPr="00F636F2">
        <w:rPr>
          <w:rStyle w:val="FootnoteReference"/>
          <w:sz w:val="14"/>
          <w:szCs w:val="14"/>
        </w:rPr>
        <w:footnoteRef/>
      </w:r>
      <w:r w:rsidRPr="00F636F2">
        <w:rPr>
          <w:sz w:val="14"/>
          <w:szCs w:val="14"/>
        </w:rPr>
        <w:t xml:space="preserve"> </w:t>
      </w:r>
      <w:hyperlink r:id="rId6" w:history="1">
        <w:r w:rsidRPr="00F636F2">
          <w:rPr>
            <w:rStyle w:val="Hyperlink"/>
            <w:sz w:val="14"/>
            <w:szCs w:val="14"/>
          </w:rPr>
          <w:t>A Users Guide for the Collection of Hospital Casemix Protocol (HCP) and Private Hospital Data Bureau (PHDB)</w:t>
        </w:r>
      </w:hyperlink>
      <w:r w:rsidRPr="00F636F2">
        <w:rPr>
          <w:sz w:val="14"/>
          <w:szCs w:val="14"/>
        </w:rPr>
        <w:t xml:space="preserve">, (Version 1.2- May 2010  page 28), </w:t>
      </w:r>
      <w:proofErr w:type="spellStart"/>
      <w:r w:rsidRPr="00F636F2">
        <w:rPr>
          <w:sz w:val="14"/>
          <w:szCs w:val="14"/>
        </w:rPr>
        <w:t>D</w:t>
      </w:r>
      <w:r>
        <w:rPr>
          <w:sz w:val="14"/>
          <w:szCs w:val="14"/>
        </w:rPr>
        <w:t>o</w:t>
      </w:r>
      <w:r w:rsidRPr="00F636F2">
        <w:rPr>
          <w:sz w:val="14"/>
          <w:szCs w:val="14"/>
        </w:rPr>
        <w:t>H</w:t>
      </w:r>
      <w:proofErr w:type="spellEnd"/>
      <w:r>
        <w:rPr>
          <w:sz w:val="14"/>
          <w:szCs w:val="14"/>
        </w:rPr>
        <w:t xml:space="preserve">, </w:t>
      </w:r>
      <w:r w:rsidRPr="003D7C5F">
        <w:rPr>
          <w:sz w:val="14"/>
        </w:rPr>
        <w:t xml:space="preserve">dated viewed </w:t>
      </w:r>
      <w:r>
        <w:rPr>
          <w:sz w:val="14"/>
        </w:rPr>
        <w:t>26 November 2017</w:t>
      </w:r>
    </w:p>
  </w:footnote>
  <w:footnote w:id="7">
    <w:p w14:paraId="347762E6" w14:textId="1813D3BB" w:rsidR="005C6364" w:rsidRDefault="005C6364" w:rsidP="00D33479">
      <w:pPr>
        <w:pStyle w:val="FootnoteText"/>
      </w:pPr>
      <w:r w:rsidRPr="00F636F2">
        <w:rPr>
          <w:rStyle w:val="FootnoteReference"/>
          <w:sz w:val="14"/>
          <w:szCs w:val="14"/>
        </w:rPr>
        <w:footnoteRef/>
      </w:r>
      <w:r w:rsidRPr="00F636F2">
        <w:rPr>
          <w:sz w:val="14"/>
          <w:szCs w:val="14"/>
        </w:rPr>
        <w:t xml:space="preserve"> </w:t>
      </w:r>
      <w:hyperlink r:id="rId7" w:history="1">
        <w:r w:rsidRPr="00F636F2">
          <w:rPr>
            <w:rStyle w:val="Hyperlink"/>
            <w:sz w:val="14"/>
            <w:szCs w:val="14"/>
          </w:rPr>
          <w:t>A Users Guide for the Collection of Hospital Casemix Protocol (HCP) and Private Hospital Data Bureau (PHDB)</w:t>
        </w:r>
      </w:hyperlink>
      <w:r w:rsidRPr="00F636F2">
        <w:rPr>
          <w:sz w:val="14"/>
          <w:szCs w:val="14"/>
        </w:rPr>
        <w:t xml:space="preserve">, (Version 1.2- May 2010  page 30-31), </w:t>
      </w:r>
      <w:proofErr w:type="spellStart"/>
      <w:r>
        <w:rPr>
          <w:sz w:val="14"/>
          <w:szCs w:val="14"/>
        </w:rPr>
        <w:t>DoH</w:t>
      </w:r>
      <w:proofErr w:type="spellEnd"/>
      <w:r>
        <w:rPr>
          <w:sz w:val="14"/>
          <w:szCs w:val="14"/>
        </w:rPr>
        <w:t>,</w:t>
      </w:r>
      <w:r w:rsidRPr="00F636F2">
        <w:rPr>
          <w:sz w:val="14"/>
          <w:szCs w:val="14"/>
        </w:rPr>
        <w:t xml:space="preserve"> </w:t>
      </w:r>
      <w:r w:rsidRPr="003D7C5F">
        <w:rPr>
          <w:sz w:val="14"/>
        </w:rPr>
        <w:t xml:space="preserve">dated viewed </w:t>
      </w:r>
      <w:r>
        <w:rPr>
          <w:sz w:val="14"/>
        </w:rPr>
        <w:t>26 November 2017</w:t>
      </w:r>
    </w:p>
  </w:footnote>
  <w:footnote w:id="8">
    <w:p w14:paraId="571624E9" w14:textId="0B523E1F" w:rsidR="005C6364" w:rsidRPr="003D7C5F" w:rsidRDefault="005C6364" w:rsidP="0058290D">
      <w:pPr>
        <w:pStyle w:val="SourceNotesText"/>
        <w:rPr>
          <w:sz w:val="14"/>
          <w:szCs w:val="14"/>
        </w:rPr>
      </w:pPr>
      <w:r w:rsidRPr="003D7C5F">
        <w:rPr>
          <w:rStyle w:val="FootnoteReference"/>
          <w:rFonts w:ascii="Georgia" w:hAnsi="Georgia"/>
          <w:sz w:val="14"/>
          <w:szCs w:val="14"/>
        </w:rPr>
        <w:footnoteRef/>
      </w:r>
      <w:r w:rsidRPr="003D7C5F">
        <w:rPr>
          <w:sz w:val="14"/>
          <w:szCs w:val="14"/>
        </w:rPr>
        <w:t xml:space="preserve">  </w:t>
      </w:r>
      <w:r>
        <w:rPr>
          <w:sz w:val="14"/>
          <w:szCs w:val="14"/>
        </w:rPr>
        <w:t>IHPA, AHPCS</w:t>
      </w:r>
      <w:r w:rsidRPr="003D7C5F">
        <w:rPr>
          <w:sz w:val="14"/>
          <w:szCs w:val="14"/>
        </w:rPr>
        <w:t xml:space="preserve"> v3.1,  July 2014, </w:t>
      </w:r>
      <w:hyperlink r:id="rId8" w:history="1">
        <w:r w:rsidRPr="003D7C5F">
          <w:rPr>
            <w:rStyle w:val="Hyperlink"/>
            <w:sz w:val="14"/>
            <w:szCs w:val="14"/>
          </w:rPr>
          <w:t>Independent Health Pricing Authority</w:t>
        </w:r>
      </w:hyperlink>
      <w:r w:rsidRPr="003D7C5F">
        <w:rPr>
          <w:sz w:val="14"/>
          <w:szCs w:val="14"/>
        </w:rPr>
        <w:t>, viewed 19</w:t>
      </w:r>
      <w:r w:rsidRPr="003D7C5F">
        <w:rPr>
          <w:sz w:val="14"/>
          <w:szCs w:val="14"/>
          <w:vertAlign w:val="superscript"/>
        </w:rPr>
        <w:t>th</w:t>
      </w:r>
      <w:r w:rsidRPr="003D7C5F">
        <w:rPr>
          <w:sz w:val="14"/>
          <w:szCs w:val="14"/>
        </w:rPr>
        <w:t xml:space="preserve"> September 2017</w:t>
      </w:r>
    </w:p>
  </w:footnote>
  <w:footnote w:id="9">
    <w:p w14:paraId="45961D8D" w14:textId="639C2AC6" w:rsidR="005C6364" w:rsidRPr="003D7C5F" w:rsidRDefault="005C6364" w:rsidP="001745D1">
      <w:pPr>
        <w:pStyle w:val="SourceNotesText"/>
        <w:rPr>
          <w:sz w:val="14"/>
          <w:szCs w:val="14"/>
        </w:rPr>
      </w:pPr>
      <w:r w:rsidRPr="003D7C5F">
        <w:rPr>
          <w:rStyle w:val="FootnoteReference"/>
          <w:rFonts w:ascii="Georgia" w:hAnsi="Georgia"/>
          <w:sz w:val="14"/>
          <w:szCs w:val="14"/>
        </w:rPr>
        <w:footnoteRef/>
      </w:r>
      <w:r w:rsidRPr="003D7C5F">
        <w:rPr>
          <w:sz w:val="14"/>
          <w:szCs w:val="14"/>
        </w:rPr>
        <w:t xml:space="preserve">  I</w:t>
      </w:r>
      <w:r>
        <w:rPr>
          <w:sz w:val="14"/>
          <w:szCs w:val="14"/>
        </w:rPr>
        <w:t>HPA, AHPCS</w:t>
      </w:r>
      <w:r w:rsidRPr="003D7C5F">
        <w:rPr>
          <w:sz w:val="14"/>
          <w:szCs w:val="14"/>
        </w:rPr>
        <w:t xml:space="preserve"> v3.1,  July 2014, page 14, standard SCP 2.003 – Product Costs in Scope</w:t>
      </w:r>
      <w:r w:rsidRPr="003D7C5F">
        <w:rPr>
          <w:b/>
          <w:bCs/>
          <w:sz w:val="14"/>
          <w:szCs w:val="14"/>
        </w:rPr>
        <w:t xml:space="preserve">, </w:t>
      </w:r>
      <w:hyperlink r:id="rId9" w:history="1">
        <w:r w:rsidRPr="003D7C5F">
          <w:rPr>
            <w:rStyle w:val="Hyperlink"/>
            <w:sz w:val="14"/>
            <w:szCs w:val="14"/>
          </w:rPr>
          <w:t>Independent Hospital Pricing Authority</w:t>
        </w:r>
      </w:hyperlink>
      <w:r w:rsidRPr="003D7C5F">
        <w:rPr>
          <w:sz w:val="14"/>
          <w:szCs w:val="14"/>
        </w:rPr>
        <w:t>, viewed 19</w:t>
      </w:r>
      <w:r w:rsidRPr="003D7C5F">
        <w:rPr>
          <w:sz w:val="14"/>
          <w:szCs w:val="14"/>
          <w:vertAlign w:val="superscript"/>
        </w:rPr>
        <w:t>th</w:t>
      </w:r>
      <w:r w:rsidRPr="003D7C5F">
        <w:rPr>
          <w:sz w:val="14"/>
          <w:szCs w:val="14"/>
        </w:rPr>
        <w:t xml:space="preserve"> September 2017</w:t>
      </w:r>
    </w:p>
    <w:p w14:paraId="2AF87B99" w14:textId="77777777" w:rsidR="005C6364" w:rsidRDefault="005C6364" w:rsidP="001745D1">
      <w:pPr>
        <w:pStyle w:val="SourceNotesText"/>
      </w:pPr>
    </w:p>
  </w:footnote>
  <w:footnote w:id="10">
    <w:p w14:paraId="2A93D6E7" w14:textId="4D4E13E7" w:rsidR="005C6364" w:rsidRDefault="005C6364" w:rsidP="005D62AC">
      <w:pPr>
        <w:pStyle w:val="SourceNotesText"/>
        <w:rPr>
          <w:lang w:eastAsia="en-US"/>
        </w:rPr>
      </w:pPr>
      <w:r>
        <w:rPr>
          <w:rStyle w:val="FootnoteReference"/>
          <w:rFonts w:ascii="Georgia" w:hAnsi="Georgia"/>
          <w:snapToGrid w:val="0"/>
        </w:rPr>
        <w:footnoteRef/>
      </w:r>
      <w:r>
        <w:rPr>
          <w:snapToGrid w:val="0"/>
        </w:rPr>
        <w:t xml:space="preserve">Published cost weight tables for Round 13 on the </w:t>
      </w:r>
      <w:proofErr w:type="spellStart"/>
      <w:r>
        <w:rPr>
          <w:snapToGrid w:val="0"/>
        </w:rPr>
        <w:t>DoH</w:t>
      </w:r>
      <w:proofErr w:type="spellEnd"/>
      <w:r>
        <w:rPr>
          <w:snapToGrid w:val="0"/>
        </w:rPr>
        <w:t xml:space="preserve"> website </w:t>
      </w:r>
      <w:hyperlink r:id="rId10" w:history="1">
        <w:r>
          <w:rPr>
            <w:rStyle w:val="Hyperlink"/>
            <w:snapToGrid w:val="0"/>
          </w:rPr>
          <w:t>Government Health Website: http://www.health.gov.au/internet/main/publishing.nsf/Content/Round_13-cost-reports</w:t>
        </w:r>
      </w:hyperlink>
      <w:r>
        <w:rPr>
          <w:snapToGrid w:val="0"/>
        </w:rPr>
        <w:t>, accessed 3 April 2012</w:t>
      </w:r>
    </w:p>
  </w:footnote>
  <w:footnote w:id="11">
    <w:p w14:paraId="04A82846" w14:textId="77777777" w:rsidR="005C6364" w:rsidRDefault="005C6364" w:rsidP="002C440C">
      <w:pPr>
        <w:pStyle w:val="SourceNotesText"/>
      </w:pPr>
      <w:r>
        <w:rPr>
          <w:rStyle w:val="FootnoteReference"/>
          <w:rFonts w:ascii="Georgia" w:hAnsi="Georgia"/>
        </w:rPr>
        <w:footnoteRef/>
      </w:r>
      <w:r>
        <w:t xml:space="preserve">   In this context: the probability that an estimate falls within the margin of error of the true mean.</w:t>
      </w:r>
    </w:p>
  </w:footnote>
  <w:footnote w:id="12">
    <w:p w14:paraId="2EA4E377" w14:textId="6C31086F" w:rsidR="005C6364" w:rsidRDefault="005C6364" w:rsidP="00423BB2">
      <w:pPr>
        <w:pStyle w:val="SourceNotesText"/>
      </w:pPr>
      <w:r>
        <w:rPr>
          <w:rStyle w:val="FootnoteReference"/>
          <w:rFonts w:ascii="Georgia" w:hAnsi="Georgia"/>
        </w:rPr>
        <w:footnoteRef/>
      </w:r>
      <w:r>
        <w:t xml:space="preserve"> </w:t>
      </w:r>
      <w:proofErr w:type="gramStart"/>
      <w:r>
        <w:t>Defined as 95 per cent confidence level and 4.0 per cent acceptable margin of error for the overall average cost.</w:t>
      </w:r>
      <w:proofErr w:type="gramEnd"/>
      <w:r>
        <w:t xml:space="preserve"> The 95 per cent confidence level and 4.0 per cent margin of error parameters were informed by considering participation levels in historic publications that were considered acceptable for publication.</w:t>
      </w:r>
    </w:p>
  </w:footnote>
  <w:footnote w:id="13">
    <w:p w14:paraId="70CD9B9F" w14:textId="77777777" w:rsidR="005C6364" w:rsidRDefault="005C6364" w:rsidP="00750696">
      <w:pPr>
        <w:pStyle w:val="FootnoteText"/>
      </w:pPr>
      <w:r>
        <w:rPr>
          <w:rStyle w:val="FootnoteReference"/>
        </w:rPr>
        <w:footnoteRef/>
      </w:r>
      <w:r>
        <w:t xml:space="preserve"> DRG flipping occurs when the average cost of a lower complexity DRG within the related adjacent DRG is higher than the one with more complexity.  </w:t>
      </w:r>
    </w:p>
  </w:footnote>
  <w:footnote w:id="14">
    <w:p w14:paraId="5F52A3F7" w14:textId="7921E596" w:rsidR="005C6364" w:rsidRDefault="005C6364" w:rsidP="00FA7EC6">
      <w:pPr>
        <w:pStyle w:val="SourceNotesText"/>
      </w:pPr>
      <w:r>
        <w:rPr>
          <w:rStyle w:val="FootnoteReference"/>
          <w:rFonts w:ascii="Georgia" w:hAnsi="Georgia"/>
          <w:snapToGrid w:val="0"/>
        </w:rPr>
        <w:footnoteRef/>
      </w:r>
      <w:r>
        <w:rPr>
          <w:snapToGrid w:val="0"/>
        </w:rPr>
        <w:t xml:space="preserve"> AIHW National Health Data Dictionary, version 16.2, </w:t>
      </w:r>
      <w:hyperlink r:id="rId11" w:history="1">
        <w:r>
          <w:rPr>
            <w:rStyle w:val="Hyperlink"/>
            <w:snapToGrid w:val="0"/>
          </w:rPr>
          <w:t>AIHW: http://www.aihw.gov.au/WorkArea/DownloadAsset.aspx?id=60129550404</w:t>
        </w:r>
      </w:hyperlink>
      <w:r>
        <w:rPr>
          <w:snapToGrid w:val="0"/>
        </w:rPr>
        <w:t>, viewed 17</w:t>
      </w:r>
      <w:r>
        <w:rPr>
          <w:snapToGrid w:val="0"/>
          <w:vertAlign w:val="superscript"/>
        </w:rPr>
        <w:t>th</w:t>
      </w:r>
      <w:r>
        <w:rPr>
          <w:snapToGrid w:val="0"/>
        </w:rPr>
        <w:t xml:space="preserve"> September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4D469" w14:textId="4B3BD20D" w:rsidR="005C517B" w:rsidRDefault="005C6364" w:rsidP="005C517B">
    <w:pPr>
      <w:pStyle w:val="Footer"/>
      <w:jc w:val="right"/>
    </w:pPr>
    <w:r w:rsidRPr="005C517B">
      <w:rPr>
        <w:noProof/>
        <w:color w:val="FFFFFF" w:themeColor="background1"/>
      </w:rPr>
      <w:drawing>
        <wp:anchor distT="0" distB="0" distL="114300" distR="114300" simplePos="0" relativeHeight="251652608" behindDoc="1" locked="0" layoutInCell="0" allowOverlap="1" wp14:anchorId="79D9F67B" wp14:editId="7178D5AA">
          <wp:simplePos x="0" y="0"/>
          <wp:positionH relativeFrom="page">
            <wp:align>left</wp:align>
          </wp:positionH>
          <wp:positionV relativeFrom="page">
            <wp:align>top</wp:align>
          </wp:positionV>
          <wp:extent cx="6080400" cy="1011600"/>
          <wp:effectExtent l="0" t="0" r="0" b="0"/>
          <wp:wrapNone/>
          <wp:docPr id="3" name="Picture 3" descr="List of abbreviations&#10;" title="List of abbrevi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sidR="00FB6C69" w:rsidRPr="005C517B">
      <w:rPr>
        <w:color w:val="FFFFFF" w:themeColor="background1"/>
      </w:rPr>
      <w:t>National Hospital Cost Data Collection – Private Hospital Cost Report – Round 20</w:t>
    </w:r>
    <w:r w:rsidR="005C517B" w:rsidRPr="005C517B">
      <w:t xml:space="preserve"> </w:t>
    </w:r>
    <w:sdt>
      <w:sdtPr>
        <w:id w:val="-800912585"/>
        <w:docPartObj>
          <w:docPartGallery w:val="Page Numbers (Bottom of Page)"/>
          <w:docPartUnique/>
        </w:docPartObj>
      </w:sdtPr>
      <w:sdtEndPr>
        <w:rPr>
          <w:noProof/>
          <w:color w:val="008A00" w:themeColor="accent2"/>
        </w:rPr>
      </w:sdtEndPr>
      <w:sdtContent>
        <w:r w:rsidR="005C517B">
          <w:tab/>
        </w:r>
        <w:r w:rsidR="005C517B" w:rsidRPr="005C517B">
          <w:rPr>
            <w:color w:val="008A00" w:themeColor="accent2"/>
          </w:rPr>
          <w:fldChar w:fldCharType="begin"/>
        </w:r>
        <w:r w:rsidR="005C517B" w:rsidRPr="005C517B">
          <w:rPr>
            <w:color w:val="008A00" w:themeColor="accent2"/>
          </w:rPr>
          <w:instrText xml:space="preserve"> PAGE   \* MERGEFORMAT </w:instrText>
        </w:r>
        <w:r w:rsidR="005C517B" w:rsidRPr="005C517B">
          <w:rPr>
            <w:color w:val="008A00" w:themeColor="accent2"/>
          </w:rPr>
          <w:fldChar w:fldCharType="separate"/>
        </w:r>
        <w:r w:rsidR="00F70FAB">
          <w:rPr>
            <w:noProof/>
            <w:color w:val="008A00" w:themeColor="accent2"/>
          </w:rPr>
          <w:t>54</w:t>
        </w:r>
        <w:r w:rsidR="005C517B" w:rsidRPr="005C517B">
          <w:rPr>
            <w:noProof/>
            <w:color w:val="008A00" w:themeColor="accent2"/>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92ED3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F3511E"/>
    <w:multiLevelType w:val="hybridMultilevel"/>
    <w:tmpl w:val="68DC26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A60E0D"/>
    <w:multiLevelType w:val="hybridMultilevel"/>
    <w:tmpl w:val="9BEAD6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086541"/>
    <w:multiLevelType w:val="multilevel"/>
    <w:tmpl w:val="572824AC"/>
    <w:lvl w:ilvl="0">
      <w:start w:val="1"/>
      <w:numFmt w:val="decimal"/>
      <w:pStyle w:val="ListNumber"/>
      <w:lvlText w:val="%1"/>
      <w:lvlJc w:val="left"/>
      <w:pPr>
        <w:tabs>
          <w:tab w:val="num" w:pos="567"/>
        </w:tabs>
        <w:ind w:left="567" w:hanging="567"/>
      </w:pPr>
    </w:lvl>
    <w:lvl w:ilvl="1">
      <w:start w:val="1"/>
      <w:numFmt w:val="lowerLetter"/>
      <w:pStyle w:val="ListNumber2"/>
      <w:lvlText w:val="%2"/>
      <w:lvlJc w:val="left"/>
      <w:pPr>
        <w:tabs>
          <w:tab w:val="num" w:pos="1134"/>
        </w:tabs>
        <w:ind w:left="1134" w:hanging="567"/>
      </w:pPr>
    </w:lvl>
    <w:lvl w:ilvl="2">
      <w:start w:val="1"/>
      <w:numFmt w:val="lowerRoman"/>
      <w:pStyle w:val="ListNumber3"/>
      <w:lvlText w:val="%3"/>
      <w:lvlJc w:val="left"/>
      <w:pPr>
        <w:tabs>
          <w:tab w:val="num" w:pos="1701"/>
        </w:tabs>
        <w:ind w:left="1701" w:hanging="567"/>
      </w:pPr>
    </w:lvl>
    <w:lvl w:ilvl="3">
      <w:start w:val="1"/>
      <w:numFmt w:val="decimal"/>
      <w:pStyle w:val="ListNumber4"/>
      <w:lvlText w:val="%4"/>
      <w:lvlJc w:val="left"/>
      <w:pPr>
        <w:tabs>
          <w:tab w:val="num" w:pos="2268"/>
        </w:tabs>
        <w:ind w:left="2268" w:hanging="567"/>
      </w:pPr>
    </w:lvl>
    <w:lvl w:ilvl="4">
      <w:start w:val="1"/>
      <w:numFmt w:val="lowerLetter"/>
      <w:pStyle w:val="ListNumber5"/>
      <w:lvlText w:val="%5"/>
      <w:lvlJc w:val="left"/>
      <w:pPr>
        <w:tabs>
          <w:tab w:val="num" w:pos="2835"/>
        </w:tabs>
        <w:ind w:left="2835" w:hanging="567"/>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B05BF4"/>
    <w:multiLevelType w:val="hybridMultilevel"/>
    <w:tmpl w:val="BE84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4655B6"/>
    <w:multiLevelType w:val="hybridMultilevel"/>
    <w:tmpl w:val="C2E0A8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156C1331"/>
    <w:multiLevelType w:val="hybridMultilevel"/>
    <w:tmpl w:val="68D4FBE6"/>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189255DC"/>
    <w:multiLevelType w:val="hybridMultilevel"/>
    <w:tmpl w:val="59ACB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9">
    <w:nsid w:val="1EE90B71"/>
    <w:multiLevelType w:val="hybridMultilevel"/>
    <w:tmpl w:val="785273C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nsid w:val="20EA7171"/>
    <w:multiLevelType w:val="hybridMultilevel"/>
    <w:tmpl w:val="7D2A39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5991B0A"/>
    <w:multiLevelType w:val="hybridMultilevel"/>
    <w:tmpl w:val="4FAC13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20935D5"/>
    <w:multiLevelType w:val="hybridMultilevel"/>
    <w:tmpl w:val="D632F7E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3">
    <w:nsid w:val="35D44389"/>
    <w:multiLevelType w:val="hybridMultilevel"/>
    <w:tmpl w:val="40B6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3624CF"/>
    <w:multiLevelType w:val="multilevel"/>
    <w:tmpl w:val="35FC7AD0"/>
    <w:lvl w:ilvl="0">
      <w:start w:val="1"/>
      <w:numFmt w:val="decimal"/>
      <w:pStyle w:val="Heading1"/>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sz w:val="64"/>
        <w:szCs w:val="6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heme="majorHAnsi" w:hAnsiTheme="majorHAnsi" w:cstheme="majorHAnsi" w:hint="default"/>
        <w:b/>
        <w:color w:val="004200" w:themeColor="accent1"/>
        <w:sz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2144"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3D88458B"/>
    <w:multiLevelType w:val="hybridMultilevel"/>
    <w:tmpl w:val="7D2A39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FFA17CB"/>
    <w:multiLevelType w:val="hybridMultilevel"/>
    <w:tmpl w:val="F3186D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A00"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DC76B7F"/>
    <w:multiLevelType w:val="multilevel"/>
    <w:tmpl w:val="5AE694A2"/>
    <w:lvl w:ilvl="0">
      <w:start w:val="1"/>
      <w:numFmt w:val="decimal"/>
      <w:lvlText w:val="%1."/>
      <w:lvlJc w:val="left"/>
      <w:pPr>
        <w:tabs>
          <w:tab w:val="num" w:pos="851"/>
        </w:tabs>
        <w:ind w:left="851" w:hanging="851"/>
      </w:pPr>
    </w:lvl>
    <w:lvl w:ilvl="1">
      <w:start w:val="1"/>
      <w:numFmt w:val="decimal"/>
      <w:lvlText w:val="%1.%2"/>
      <w:lvlJc w:val="left"/>
      <w:pPr>
        <w:tabs>
          <w:tab w:val="num" w:pos="851"/>
        </w:tabs>
        <w:ind w:left="850" w:hanging="850"/>
      </w:pPr>
    </w:lvl>
    <w:lvl w:ilvl="2">
      <w:start w:val="1"/>
      <w:numFmt w:val="none"/>
      <w:suff w:val="nothing"/>
      <w:lvlText w:val=""/>
      <w:lvlJc w:val="left"/>
      <w:pPr>
        <w:ind w:left="0" w:firstLine="0"/>
      </w:pPr>
    </w:lvl>
    <w:lvl w:ilvl="3">
      <w:start w:val="1"/>
      <w:numFmt w:val="upperLetter"/>
      <w:lvlRestart w:val="0"/>
      <w:lvlText w:val="Appendix %4"/>
      <w:lvlJc w:val="left"/>
      <w:pPr>
        <w:tabs>
          <w:tab w:val="num" w:pos="10208"/>
        </w:tabs>
        <w:ind w:left="6522" w:firstLine="0"/>
      </w:pPr>
    </w:lvl>
    <w:lvl w:ilvl="4">
      <w:start w:val="1"/>
      <w:numFmt w:val="upperLetter"/>
      <w:lvlRestart w:val="0"/>
      <w:lvlText w:val="Appendix %5"/>
      <w:lvlJc w:val="left"/>
      <w:pPr>
        <w:tabs>
          <w:tab w:val="num" w:pos="3968"/>
        </w:tabs>
        <w:ind w:left="283" w:firstLine="0"/>
      </w:pPr>
    </w:lvl>
    <w:lvl w:ilvl="5">
      <w:start w:val="1"/>
      <w:numFmt w:val="upperLetter"/>
      <w:lvlRestart w:val="0"/>
      <w:pStyle w:val="AppendixNumberLong"/>
      <w:suff w:val="nothing"/>
      <w:lvlText w:val="Appendix %6"/>
      <w:lvlJc w:val="left"/>
      <w:pPr>
        <w:ind w:left="0" w:firstLine="0"/>
      </w:pPr>
    </w:lvl>
    <w:lvl w:ilvl="6">
      <w:start w:val="1"/>
      <w:numFmt w:val="decimal"/>
      <w:lvlText w:val="%7"/>
      <w:lvlJc w:val="left"/>
      <w:pPr>
        <w:tabs>
          <w:tab w:val="num" w:pos="567"/>
        </w:tabs>
        <w:ind w:left="567" w:hanging="567"/>
      </w:pPr>
      <w:rPr>
        <w:b/>
        <w:i/>
      </w:rPr>
    </w:lvl>
    <w:lvl w:ilvl="7">
      <w:start w:val="1"/>
      <w:numFmt w:val="decimal"/>
      <w:pStyle w:val="ChapterNumberedList1"/>
      <w:lvlText w:val="%8"/>
      <w:lvlJc w:val="left"/>
      <w:pPr>
        <w:tabs>
          <w:tab w:val="num" w:pos="567"/>
        </w:tabs>
        <w:ind w:left="567" w:hanging="567"/>
      </w:pPr>
      <w:rPr>
        <w:b w:val="0"/>
        <w:i w:val="0"/>
        <w:color w:val="auto"/>
      </w:rPr>
    </w:lvl>
    <w:lvl w:ilvl="8">
      <w:start w:val="1"/>
      <w:numFmt w:val="lowerLetter"/>
      <w:pStyle w:val="ChapterNumberedList2"/>
      <w:lvlText w:val="%9"/>
      <w:lvlJc w:val="left"/>
      <w:pPr>
        <w:tabs>
          <w:tab w:val="num" w:pos="1134"/>
        </w:tabs>
        <w:ind w:left="1134" w:hanging="567"/>
      </w:pPr>
      <w:rPr>
        <w:b w:val="0"/>
        <w:i w:val="0"/>
        <w:color w:val="auto"/>
      </w:rPr>
    </w:lvl>
  </w:abstractNum>
  <w:abstractNum w:abstractNumId="19">
    <w:nsid w:val="5E2753C7"/>
    <w:multiLevelType w:val="hybridMultilevel"/>
    <w:tmpl w:val="97AE81E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614E2CEE"/>
    <w:multiLevelType w:val="hybridMultilevel"/>
    <w:tmpl w:val="D2EAFB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62DA17CD"/>
    <w:multiLevelType w:val="hybridMultilevel"/>
    <w:tmpl w:val="9B488772"/>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3917BB9"/>
    <w:multiLevelType w:val="multilevel"/>
    <w:tmpl w:val="D0445D84"/>
    <w:lvl w:ilvl="0">
      <w:start w:val="1"/>
      <w:numFmt w:val="bullet"/>
      <w:pStyle w:val="PwCNormal"/>
      <w:lvlText w:val=""/>
      <w:lvlJc w:val="left"/>
      <w:pPr>
        <w:ind w:left="0" w:firstLine="0"/>
      </w:pPr>
      <w:rPr>
        <w:rFonts w:ascii="Symbol" w:hAnsi="Symbol" w:hint="default"/>
        <w:color w:val="auto"/>
      </w:rPr>
    </w:lvl>
    <w:lvl w:ilvl="1">
      <w:start w:val="1"/>
      <w:numFmt w:val="none"/>
      <w:pStyle w:val="Indent1"/>
      <w:suff w:val="nothing"/>
      <w:lvlText w:val=""/>
      <w:lvlJc w:val="left"/>
      <w:pPr>
        <w:ind w:left="567" w:firstLine="0"/>
      </w:pPr>
    </w:lvl>
    <w:lvl w:ilvl="2">
      <w:start w:val="1"/>
      <w:numFmt w:val="none"/>
      <w:pStyle w:val="Indent2"/>
      <w:suff w:val="nothing"/>
      <w:lvlText w:val=""/>
      <w:lvlJc w:val="left"/>
      <w:pPr>
        <w:ind w:left="1134" w:firstLine="0"/>
      </w:pPr>
    </w:lvl>
    <w:lvl w:ilvl="3">
      <w:start w:val="1"/>
      <w:numFmt w:val="none"/>
      <w:pStyle w:val="Indent3"/>
      <w:suff w:val="nothing"/>
      <w:lvlText w:val=""/>
      <w:lvlJc w:val="left"/>
      <w:pPr>
        <w:ind w:left="1701" w:firstLine="0"/>
      </w:pPr>
    </w:lvl>
    <w:lvl w:ilvl="4">
      <w:start w:val="1"/>
      <w:numFmt w:val="none"/>
      <w:pStyle w:val="Indent4"/>
      <w:suff w:val="nothing"/>
      <w:lvlText w:val=""/>
      <w:lvlJc w:val="left"/>
      <w:pPr>
        <w:ind w:left="2268" w:firstLine="0"/>
      </w:pPr>
    </w:lvl>
    <w:lvl w:ilvl="5">
      <w:start w:val="1"/>
      <w:numFmt w:val="none"/>
      <w:pStyle w:val="Indent5"/>
      <w:suff w:val="nothing"/>
      <w:lvlText w:val=""/>
      <w:lvlJc w:val="left"/>
      <w:pPr>
        <w:ind w:left="2835" w:firstLine="0"/>
      </w:pPr>
    </w:lvl>
    <w:lvl w:ilvl="6">
      <w:start w:val="1"/>
      <w:numFmt w:val="none"/>
      <w:pStyle w:val="Indent6"/>
      <w:suff w:val="nothing"/>
      <w:lvlText w:val=""/>
      <w:lvlJc w:val="left"/>
      <w:pPr>
        <w:ind w:left="3402" w:firstLine="0"/>
      </w:pPr>
    </w:lvl>
    <w:lvl w:ilvl="7">
      <w:start w:val="1"/>
      <w:numFmt w:val="none"/>
      <w:pStyle w:val="Indent7"/>
      <w:suff w:val="nothing"/>
      <w:lvlText w:val=""/>
      <w:lvlJc w:val="left"/>
      <w:pPr>
        <w:ind w:left="3969" w:firstLine="0"/>
      </w:pPr>
    </w:lvl>
    <w:lvl w:ilvl="8">
      <w:start w:val="1"/>
      <w:numFmt w:val="none"/>
      <w:pStyle w:val="Indent8"/>
      <w:suff w:val="nothing"/>
      <w:lvlText w:val=""/>
      <w:lvlJc w:val="left"/>
      <w:pPr>
        <w:ind w:left="4536" w:firstLine="0"/>
      </w:pPr>
    </w:lvl>
  </w:abstractNum>
  <w:abstractNum w:abstractNumId="23">
    <w:nsid w:val="6AC722F0"/>
    <w:multiLevelType w:val="hybridMultilevel"/>
    <w:tmpl w:val="143CB70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4">
    <w:nsid w:val="6D191F07"/>
    <w:multiLevelType w:val="hybridMultilevel"/>
    <w:tmpl w:val="FCCEF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F169B6"/>
    <w:multiLevelType w:val="hybridMultilevel"/>
    <w:tmpl w:val="0D4A113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nsid w:val="72836DF6"/>
    <w:multiLevelType w:val="hybridMultilevel"/>
    <w:tmpl w:val="0B341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B70451"/>
    <w:multiLevelType w:val="hybridMultilevel"/>
    <w:tmpl w:val="78DC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2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6"/>
  </w:num>
  <w:num w:numId="11">
    <w:abstractNumId w:val="19"/>
  </w:num>
  <w:num w:numId="12">
    <w:abstractNumId w:val="7"/>
  </w:num>
  <w:num w:numId="13">
    <w:abstractNumId w:val="16"/>
  </w:num>
  <w:num w:numId="14">
    <w:abstractNumId w:val="15"/>
  </w:num>
  <w:num w:numId="15">
    <w:abstractNumId w:val="8"/>
  </w:num>
  <w:num w:numId="16">
    <w:abstractNumId w:val="1"/>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7"/>
  </w:num>
  <w:num w:numId="23">
    <w:abstractNumId w:val="13"/>
  </w:num>
  <w:num w:numId="24">
    <w:abstractNumId w:val="4"/>
  </w:num>
  <w:num w:numId="25">
    <w:abstractNumId w:val="24"/>
  </w:num>
  <w:num w:numId="26">
    <w:abstractNumId w:val="10"/>
  </w:num>
  <w:num w:numId="27">
    <w:abstractNumId w:val="23"/>
  </w:num>
  <w:num w:numId="28">
    <w:abstractNumId w:val="11"/>
  </w:num>
  <w:num w:numId="29">
    <w:abstractNumId w:val="0"/>
  </w:num>
  <w:num w:numId="30">
    <w:abstractNumId w:val="21"/>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0"/>
  </w:num>
  <w:num w:numId="38">
    <w:abstractNumId w:val="1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C2">
    <w15:presenceInfo w15:providerId="None" w15:userId="EC2"/>
  </w15:person>
  <w15:person w15:author="Natasha Shah">
    <w15:presenceInfo w15:providerId="None" w15:userId="Natasha Shah"/>
  </w15:person>
  <w15:person w15:author="Tom Beers">
    <w15:presenceInfo w15:providerId="None" w15:userId="Tom Be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37"/>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2AE"/>
    <w:rsid w:val="00005785"/>
    <w:rsid w:val="00006876"/>
    <w:rsid w:val="000079AD"/>
    <w:rsid w:val="00007D1F"/>
    <w:rsid w:val="00010D84"/>
    <w:rsid w:val="00010F15"/>
    <w:rsid w:val="00011CE3"/>
    <w:rsid w:val="000133B0"/>
    <w:rsid w:val="000147A6"/>
    <w:rsid w:val="000159DD"/>
    <w:rsid w:val="00020AD3"/>
    <w:rsid w:val="00021A06"/>
    <w:rsid w:val="00021DDE"/>
    <w:rsid w:val="00022E9C"/>
    <w:rsid w:val="00024EF0"/>
    <w:rsid w:val="00025631"/>
    <w:rsid w:val="00027B26"/>
    <w:rsid w:val="00030705"/>
    <w:rsid w:val="00031ECD"/>
    <w:rsid w:val="00032861"/>
    <w:rsid w:val="00032B09"/>
    <w:rsid w:val="00032B77"/>
    <w:rsid w:val="0003712B"/>
    <w:rsid w:val="0004130B"/>
    <w:rsid w:val="00042285"/>
    <w:rsid w:val="00043256"/>
    <w:rsid w:val="00045A89"/>
    <w:rsid w:val="00046F8E"/>
    <w:rsid w:val="00047524"/>
    <w:rsid w:val="0005040E"/>
    <w:rsid w:val="0005087D"/>
    <w:rsid w:val="00050F9E"/>
    <w:rsid w:val="000547EF"/>
    <w:rsid w:val="00056004"/>
    <w:rsid w:val="0006075A"/>
    <w:rsid w:val="00061BD0"/>
    <w:rsid w:val="00061C84"/>
    <w:rsid w:val="00062484"/>
    <w:rsid w:val="00063129"/>
    <w:rsid w:val="00064EE9"/>
    <w:rsid w:val="00065022"/>
    <w:rsid w:val="00065A5E"/>
    <w:rsid w:val="00070681"/>
    <w:rsid w:val="00074A8B"/>
    <w:rsid w:val="0007594B"/>
    <w:rsid w:val="00080A09"/>
    <w:rsid w:val="00081CEB"/>
    <w:rsid w:val="00082B35"/>
    <w:rsid w:val="00083082"/>
    <w:rsid w:val="00084455"/>
    <w:rsid w:val="00087B2C"/>
    <w:rsid w:val="00087DBD"/>
    <w:rsid w:val="000902F7"/>
    <w:rsid w:val="00090718"/>
    <w:rsid w:val="00091B4E"/>
    <w:rsid w:val="00091CD7"/>
    <w:rsid w:val="00093DD5"/>
    <w:rsid w:val="000940E0"/>
    <w:rsid w:val="000967B2"/>
    <w:rsid w:val="000A03DD"/>
    <w:rsid w:val="000A1A09"/>
    <w:rsid w:val="000A47A8"/>
    <w:rsid w:val="000A73FB"/>
    <w:rsid w:val="000B218A"/>
    <w:rsid w:val="000B61EC"/>
    <w:rsid w:val="000B6AE8"/>
    <w:rsid w:val="000C014D"/>
    <w:rsid w:val="000C29B4"/>
    <w:rsid w:val="000C3EE1"/>
    <w:rsid w:val="000C4242"/>
    <w:rsid w:val="000C546E"/>
    <w:rsid w:val="000C5CD8"/>
    <w:rsid w:val="000C7A69"/>
    <w:rsid w:val="000D1158"/>
    <w:rsid w:val="000D1232"/>
    <w:rsid w:val="000D4703"/>
    <w:rsid w:val="000D6D03"/>
    <w:rsid w:val="000E00F0"/>
    <w:rsid w:val="000E10B8"/>
    <w:rsid w:val="000E12D4"/>
    <w:rsid w:val="000E39EF"/>
    <w:rsid w:val="000E620E"/>
    <w:rsid w:val="000E674A"/>
    <w:rsid w:val="000F2063"/>
    <w:rsid w:val="000F3D28"/>
    <w:rsid w:val="000F63C4"/>
    <w:rsid w:val="000F72D8"/>
    <w:rsid w:val="00100200"/>
    <w:rsid w:val="0010263D"/>
    <w:rsid w:val="00102824"/>
    <w:rsid w:val="00102E52"/>
    <w:rsid w:val="0010300A"/>
    <w:rsid w:val="001070A4"/>
    <w:rsid w:val="001105BD"/>
    <w:rsid w:val="00110745"/>
    <w:rsid w:val="001119EE"/>
    <w:rsid w:val="00112027"/>
    <w:rsid w:val="001131F0"/>
    <w:rsid w:val="001139C7"/>
    <w:rsid w:val="00114EBC"/>
    <w:rsid w:val="0012427E"/>
    <w:rsid w:val="001247E0"/>
    <w:rsid w:val="00124F7E"/>
    <w:rsid w:val="00126750"/>
    <w:rsid w:val="001271A1"/>
    <w:rsid w:val="0012767B"/>
    <w:rsid w:val="00131C0F"/>
    <w:rsid w:val="001325BF"/>
    <w:rsid w:val="00132DD1"/>
    <w:rsid w:val="00132F0D"/>
    <w:rsid w:val="00133713"/>
    <w:rsid w:val="00135776"/>
    <w:rsid w:val="00135B7E"/>
    <w:rsid w:val="00136FEE"/>
    <w:rsid w:val="00140FC9"/>
    <w:rsid w:val="001413C5"/>
    <w:rsid w:val="0014231B"/>
    <w:rsid w:val="00142956"/>
    <w:rsid w:val="00142D10"/>
    <w:rsid w:val="00143675"/>
    <w:rsid w:val="00144868"/>
    <w:rsid w:val="001452BC"/>
    <w:rsid w:val="00150D2A"/>
    <w:rsid w:val="00150E25"/>
    <w:rsid w:val="00150EA9"/>
    <w:rsid w:val="00151650"/>
    <w:rsid w:val="00155707"/>
    <w:rsid w:val="00155B98"/>
    <w:rsid w:val="00157001"/>
    <w:rsid w:val="00157709"/>
    <w:rsid w:val="00160E91"/>
    <w:rsid w:val="00161056"/>
    <w:rsid w:val="00162AE0"/>
    <w:rsid w:val="00164B39"/>
    <w:rsid w:val="00165626"/>
    <w:rsid w:val="00167CF4"/>
    <w:rsid w:val="0017147C"/>
    <w:rsid w:val="0017194E"/>
    <w:rsid w:val="0017249B"/>
    <w:rsid w:val="001745D1"/>
    <w:rsid w:val="001777E0"/>
    <w:rsid w:val="00177EC4"/>
    <w:rsid w:val="00181533"/>
    <w:rsid w:val="001824C8"/>
    <w:rsid w:val="00182698"/>
    <w:rsid w:val="00182B0B"/>
    <w:rsid w:val="00182B63"/>
    <w:rsid w:val="001864FD"/>
    <w:rsid w:val="0019139F"/>
    <w:rsid w:val="001943DD"/>
    <w:rsid w:val="00196278"/>
    <w:rsid w:val="00196BAC"/>
    <w:rsid w:val="00196D29"/>
    <w:rsid w:val="001A05B1"/>
    <w:rsid w:val="001A13F6"/>
    <w:rsid w:val="001A21FD"/>
    <w:rsid w:val="001A2D6E"/>
    <w:rsid w:val="001A2D78"/>
    <w:rsid w:val="001A3CAF"/>
    <w:rsid w:val="001A7249"/>
    <w:rsid w:val="001A7A92"/>
    <w:rsid w:val="001B0978"/>
    <w:rsid w:val="001B1824"/>
    <w:rsid w:val="001B385A"/>
    <w:rsid w:val="001B3904"/>
    <w:rsid w:val="001B3AEC"/>
    <w:rsid w:val="001B3E8D"/>
    <w:rsid w:val="001B5259"/>
    <w:rsid w:val="001B60D4"/>
    <w:rsid w:val="001B6F28"/>
    <w:rsid w:val="001C20B4"/>
    <w:rsid w:val="001C4F4F"/>
    <w:rsid w:val="001C6BA1"/>
    <w:rsid w:val="001D141C"/>
    <w:rsid w:val="001D2904"/>
    <w:rsid w:val="001D6402"/>
    <w:rsid w:val="001D652D"/>
    <w:rsid w:val="001D693F"/>
    <w:rsid w:val="001D6F9E"/>
    <w:rsid w:val="001E38FB"/>
    <w:rsid w:val="001E4166"/>
    <w:rsid w:val="001E4B22"/>
    <w:rsid w:val="001E52C2"/>
    <w:rsid w:val="001F0BE1"/>
    <w:rsid w:val="001F101A"/>
    <w:rsid w:val="001F24EF"/>
    <w:rsid w:val="001F56C7"/>
    <w:rsid w:val="001F72E2"/>
    <w:rsid w:val="001F788D"/>
    <w:rsid w:val="0020158B"/>
    <w:rsid w:val="00202113"/>
    <w:rsid w:val="00202CAA"/>
    <w:rsid w:val="00203039"/>
    <w:rsid w:val="00204B17"/>
    <w:rsid w:val="00205F82"/>
    <w:rsid w:val="002069D2"/>
    <w:rsid w:val="0021069C"/>
    <w:rsid w:val="00210A35"/>
    <w:rsid w:val="00211DA2"/>
    <w:rsid w:val="00213693"/>
    <w:rsid w:val="00215CCB"/>
    <w:rsid w:val="00216CF5"/>
    <w:rsid w:val="0022037B"/>
    <w:rsid w:val="00222C8D"/>
    <w:rsid w:val="002256A8"/>
    <w:rsid w:val="002261E9"/>
    <w:rsid w:val="0022779A"/>
    <w:rsid w:val="00230E6B"/>
    <w:rsid w:val="002315CF"/>
    <w:rsid w:val="00231641"/>
    <w:rsid w:val="00232B97"/>
    <w:rsid w:val="0023523A"/>
    <w:rsid w:val="002357D1"/>
    <w:rsid w:val="0023757C"/>
    <w:rsid w:val="00237C47"/>
    <w:rsid w:val="002402E4"/>
    <w:rsid w:val="002421A0"/>
    <w:rsid w:val="00242B98"/>
    <w:rsid w:val="002445A1"/>
    <w:rsid w:val="00244C9E"/>
    <w:rsid w:val="00246FE6"/>
    <w:rsid w:val="002470E3"/>
    <w:rsid w:val="00247882"/>
    <w:rsid w:val="002507BE"/>
    <w:rsid w:val="0025207D"/>
    <w:rsid w:val="00254DE9"/>
    <w:rsid w:val="002615D3"/>
    <w:rsid w:val="002622B4"/>
    <w:rsid w:val="002647B1"/>
    <w:rsid w:val="002668F1"/>
    <w:rsid w:val="002672F1"/>
    <w:rsid w:val="00271414"/>
    <w:rsid w:val="00271922"/>
    <w:rsid w:val="00272A9E"/>
    <w:rsid w:val="00273412"/>
    <w:rsid w:val="0027373F"/>
    <w:rsid w:val="00274ACF"/>
    <w:rsid w:val="0028159B"/>
    <w:rsid w:val="00281672"/>
    <w:rsid w:val="00282671"/>
    <w:rsid w:val="00282861"/>
    <w:rsid w:val="002843E2"/>
    <w:rsid w:val="0028492A"/>
    <w:rsid w:val="00287BAA"/>
    <w:rsid w:val="00290A7D"/>
    <w:rsid w:val="00293489"/>
    <w:rsid w:val="00296E3C"/>
    <w:rsid w:val="00296F5E"/>
    <w:rsid w:val="00297B87"/>
    <w:rsid w:val="002A1FEE"/>
    <w:rsid w:val="002A30F0"/>
    <w:rsid w:val="002A4C1B"/>
    <w:rsid w:val="002A5193"/>
    <w:rsid w:val="002A6CCC"/>
    <w:rsid w:val="002A6DF5"/>
    <w:rsid w:val="002B4B8D"/>
    <w:rsid w:val="002B6406"/>
    <w:rsid w:val="002B6809"/>
    <w:rsid w:val="002C0A9D"/>
    <w:rsid w:val="002C1FF8"/>
    <w:rsid w:val="002C2096"/>
    <w:rsid w:val="002C4231"/>
    <w:rsid w:val="002C440C"/>
    <w:rsid w:val="002C4465"/>
    <w:rsid w:val="002C5144"/>
    <w:rsid w:val="002C7080"/>
    <w:rsid w:val="002D00B0"/>
    <w:rsid w:val="002D2364"/>
    <w:rsid w:val="002D278B"/>
    <w:rsid w:val="002D2E16"/>
    <w:rsid w:val="002D6B6A"/>
    <w:rsid w:val="002E45F0"/>
    <w:rsid w:val="002E7778"/>
    <w:rsid w:val="002F03D5"/>
    <w:rsid w:val="002F6DAB"/>
    <w:rsid w:val="003025F5"/>
    <w:rsid w:val="0030300D"/>
    <w:rsid w:val="00304B3E"/>
    <w:rsid w:val="00304D97"/>
    <w:rsid w:val="0031180A"/>
    <w:rsid w:val="00313127"/>
    <w:rsid w:val="00313304"/>
    <w:rsid w:val="003155F4"/>
    <w:rsid w:val="00315682"/>
    <w:rsid w:val="00317D28"/>
    <w:rsid w:val="00320309"/>
    <w:rsid w:val="00321D1E"/>
    <w:rsid w:val="0032225B"/>
    <w:rsid w:val="0032530E"/>
    <w:rsid w:val="00325A61"/>
    <w:rsid w:val="00326976"/>
    <w:rsid w:val="00330383"/>
    <w:rsid w:val="003311D7"/>
    <w:rsid w:val="00332B8B"/>
    <w:rsid w:val="0033521E"/>
    <w:rsid w:val="00336584"/>
    <w:rsid w:val="00337CA2"/>
    <w:rsid w:val="003404A4"/>
    <w:rsid w:val="00340C71"/>
    <w:rsid w:val="00345176"/>
    <w:rsid w:val="00345D43"/>
    <w:rsid w:val="00347104"/>
    <w:rsid w:val="00350852"/>
    <w:rsid w:val="0035096E"/>
    <w:rsid w:val="00351C9A"/>
    <w:rsid w:val="0035218F"/>
    <w:rsid w:val="0035219F"/>
    <w:rsid w:val="00355D01"/>
    <w:rsid w:val="00355E24"/>
    <w:rsid w:val="00356C24"/>
    <w:rsid w:val="00360B81"/>
    <w:rsid w:val="00362478"/>
    <w:rsid w:val="00364874"/>
    <w:rsid w:val="00366283"/>
    <w:rsid w:val="0036708F"/>
    <w:rsid w:val="0036777E"/>
    <w:rsid w:val="003701FA"/>
    <w:rsid w:val="00371024"/>
    <w:rsid w:val="00372A26"/>
    <w:rsid w:val="0037484C"/>
    <w:rsid w:val="003749CD"/>
    <w:rsid w:val="00374A6C"/>
    <w:rsid w:val="0038009C"/>
    <w:rsid w:val="003822A8"/>
    <w:rsid w:val="00382718"/>
    <w:rsid w:val="00382B3B"/>
    <w:rsid w:val="00384C17"/>
    <w:rsid w:val="003851AE"/>
    <w:rsid w:val="00385317"/>
    <w:rsid w:val="00385ED2"/>
    <w:rsid w:val="00387329"/>
    <w:rsid w:val="00391F86"/>
    <w:rsid w:val="003923FB"/>
    <w:rsid w:val="00393F00"/>
    <w:rsid w:val="003945C0"/>
    <w:rsid w:val="003956FC"/>
    <w:rsid w:val="003A0FEF"/>
    <w:rsid w:val="003A25A7"/>
    <w:rsid w:val="003A6F38"/>
    <w:rsid w:val="003A705D"/>
    <w:rsid w:val="003B0187"/>
    <w:rsid w:val="003B465D"/>
    <w:rsid w:val="003B535C"/>
    <w:rsid w:val="003C2120"/>
    <w:rsid w:val="003C54B6"/>
    <w:rsid w:val="003D030E"/>
    <w:rsid w:val="003D040D"/>
    <w:rsid w:val="003D0713"/>
    <w:rsid w:val="003D1F49"/>
    <w:rsid w:val="003D2061"/>
    <w:rsid w:val="003D40CA"/>
    <w:rsid w:val="003D50D2"/>
    <w:rsid w:val="003D7C5F"/>
    <w:rsid w:val="003D7E16"/>
    <w:rsid w:val="003E0D81"/>
    <w:rsid w:val="003E1FE3"/>
    <w:rsid w:val="003E32A7"/>
    <w:rsid w:val="003F1A33"/>
    <w:rsid w:val="003F3072"/>
    <w:rsid w:val="003F7E4B"/>
    <w:rsid w:val="00401766"/>
    <w:rsid w:val="004024E4"/>
    <w:rsid w:val="00406289"/>
    <w:rsid w:val="00406578"/>
    <w:rsid w:val="004074EF"/>
    <w:rsid w:val="004102C3"/>
    <w:rsid w:val="0041307C"/>
    <w:rsid w:val="00413699"/>
    <w:rsid w:val="00415AAE"/>
    <w:rsid w:val="00415E27"/>
    <w:rsid w:val="004167B4"/>
    <w:rsid w:val="004167BC"/>
    <w:rsid w:val="0042032D"/>
    <w:rsid w:val="004225DC"/>
    <w:rsid w:val="00423A41"/>
    <w:rsid w:val="00423BB2"/>
    <w:rsid w:val="00424F25"/>
    <w:rsid w:val="00425FBA"/>
    <w:rsid w:val="00426D7B"/>
    <w:rsid w:val="00430D7E"/>
    <w:rsid w:val="00432332"/>
    <w:rsid w:val="00432368"/>
    <w:rsid w:val="00433B04"/>
    <w:rsid w:val="0043784D"/>
    <w:rsid w:val="00440256"/>
    <w:rsid w:val="00440AD8"/>
    <w:rsid w:val="00440E22"/>
    <w:rsid w:val="004453DE"/>
    <w:rsid w:val="0044547D"/>
    <w:rsid w:val="00446F93"/>
    <w:rsid w:val="00450CF7"/>
    <w:rsid w:val="00451A74"/>
    <w:rsid w:val="004552AB"/>
    <w:rsid w:val="004557D5"/>
    <w:rsid w:val="0045622C"/>
    <w:rsid w:val="0046362C"/>
    <w:rsid w:val="004647EB"/>
    <w:rsid w:val="00464FB1"/>
    <w:rsid w:val="00467185"/>
    <w:rsid w:val="00467736"/>
    <w:rsid w:val="0047050C"/>
    <w:rsid w:val="004750DB"/>
    <w:rsid w:val="0047601C"/>
    <w:rsid w:val="00476F62"/>
    <w:rsid w:val="00480F21"/>
    <w:rsid w:val="0048108E"/>
    <w:rsid w:val="0048537F"/>
    <w:rsid w:val="0048617E"/>
    <w:rsid w:val="004874E5"/>
    <w:rsid w:val="00487885"/>
    <w:rsid w:val="00490A65"/>
    <w:rsid w:val="0049116C"/>
    <w:rsid w:val="004930C9"/>
    <w:rsid w:val="00493F62"/>
    <w:rsid w:val="00494832"/>
    <w:rsid w:val="004957C2"/>
    <w:rsid w:val="00495AF1"/>
    <w:rsid w:val="00497A89"/>
    <w:rsid w:val="004A249A"/>
    <w:rsid w:val="004A4CED"/>
    <w:rsid w:val="004A6563"/>
    <w:rsid w:val="004A6BE6"/>
    <w:rsid w:val="004B0828"/>
    <w:rsid w:val="004B3304"/>
    <w:rsid w:val="004B3DF1"/>
    <w:rsid w:val="004B4BC0"/>
    <w:rsid w:val="004B4E77"/>
    <w:rsid w:val="004B5555"/>
    <w:rsid w:val="004B6B3B"/>
    <w:rsid w:val="004B7238"/>
    <w:rsid w:val="004C0484"/>
    <w:rsid w:val="004C7026"/>
    <w:rsid w:val="004C777E"/>
    <w:rsid w:val="004D16A4"/>
    <w:rsid w:val="004D3497"/>
    <w:rsid w:val="004D379E"/>
    <w:rsid w:val="004E6682"/>
    <w:rsid w:val="004E6D8A"/>
    <w:rsid w:val="004E7F49"/>
    <w:rsid w:val="004F15EF"/>
    <w:rsid w:val="004F22FE"/>
    <w:rsid w:val="004F4B8F"/>
    <w:rsid w:val="004F774D"/>
    <w:rsid w:val="004F7ECE"/>
    <w:rsid w:val="00500B1C"/>
    <w:rsid w:val="005013B0"/>
    <w:rsid w:val="005015E4"/>
    <w:rsid w:val="005017A6"/>
    <w:rsid w:val="0050291D"/>
    <w:rsid w:val="00502DAD"/>
    <w:rsid w:val="005064CD"/>
    <w:rsid w:val="005068A3"/>
    <w:rsid w:val="00506C00"/>
    <w:rsid w:val="00511016"/>
    <w:rsid w:val="00512D64"/>
    <w:rsid w:val="005159B3"/>
    <w:rsid w:val="0052015D"/>
    <w:rsid w:val="00521262"/>
    <w:rsid w:val="00522C03"/>
    <w:rsid w:val="00525386"/>
    <w:rsid w:val="00525EA4"/>
    <w:rsid w:val="0052791F"/>
    <w:rsid w:val="0053227C"/>
    <w:rsid w:val="005323B1"/>
    <w:rsid w:val="00532BC8"/>
    <w:rsid w:val="00532CFF"/>
    <w:rsid w:val="00536880"/>
    <w:rsid w:val="00540AD0"/>
    <w:rsid w:val="0054376C"/>
    <w:rsid w:val="00543A76"/>
    <w:rsid w:val="00544B40"/>
    <w:rsid w:val="005474FB"/>
    <w:rsid w:val="005523D1"/>
    <w:rsid w:val="00553386"/>
    <w:rsid w:val="00553961"/>
    <w:rsid w:val="00553E45"/>
    <w:rsid w:val="0055532E"/>
    <w:rsid w:val="0055560A"/>
    <w:rsid w:val="00555BC3"/>
    <w:rsid w:val="00557C8E"/>
    <w:rsid w:val="00561B2B"/>
    <w:rsid w:val="00561E73"/>
    <w:rsid w:val="0056357E"/>
    <w:rsid w:val="00564952"/>
    <w:rsid w:val="005713A6"/>
    <w:rsid w:val="00571AB1"/>
    <w:rsid w:val="00571D9D"/>
    <w:rsid w:val="0057344E"/>
    <w:rsid w:val="00576E29"/>
    <w:rsid w:val="00577E1C"/>
    <w:rsid w:val="00580247"/>
    <w:rsid w:val="00580DB1"/>
    <w:rsid w:val="005814AC"/>
    <w:rsid w:val="00581D11"/>
    <w:rsid w:val="0058290D"/>
    <w:rsid w:val="005829E3"/>
    <w:rsid w:val="00584676"/>
    <w:rsid w:val="005854B7"/>
    <w:rsid w:val="00587AB1"/>
    <w:rsid w:val="0059070B"/>
    <w:rsid w:val="0059283C"/>
    <w:rsid w:val="00592C33"/>
    <w:rsid w:val="00592EA4"/>
    <w:rsid w:val="005A0D95"/>
    <w:rsid w:val="005A224B"/>
    <w:rsid w:val="005A67EB"/>
    <w:rsid w:val="005B1225"/>
    <w:rsid w:val="005B17D8"/>
    <w:rsid w:val="005B1D82"/>
    <w:rsid w:val="005B4077"/>
    <w:rsid w:val="005C22AC"/>
    <w:rsid w:val="005C28B0"/>
    <w:rsid w:val="005C2F01"/>
    <w:rsid w:val="005C517B"/>
    <w:rsid w:val="005C5F3C"/>
    <w:rsid w:val="005C6364"/>
    <w:rsid w:val="005C7A49"/>
    <w:rsid w:val="005D00B2"/>
    <w:rsid w:val="005D01BE"/>
    <w:rsid w:val="005D0441"/>
    <w:rsid w:val="005D1177"/>
    <w:rsid w:val="005D1D13"/>
    <w:rsid w:val="005D3E1D"/>
    <w:rsid w:val="005D4162"/>
    <w:rsid w:val="005D4B0E"/>
    <w:rsid w:val="005D5460"/>
    <w:rsid w:val="005D62AC"/>
    <w:rsid w:val="005D7320"/>
    <w:rsid w:val="005E08CD"/>
    <w:rsid w:val="005E37E8"/>
    <w:rsid w:val="005E476F"/>
    <w:rsid w:val="005E74C5"/>
    <w:rsid w:val="005F1BC1"/>
    <w:rsid w:val="005F219D"/>
    <w:rsid w:val="005F2437"/>
    <w:rsid w:val="005F318A"/>
    <w:rsid w:val="005F65A2"/>
    <w:rsid w:val="005F6731"/>
    <w:rsid w:val="005F6A0F"/>
    <w:rsid w:val="005F7710"/>
    <w:rsid w:val="005F7730"/>
    <w:rsid w:val="006004F7"/>
    <w:rsid w:val="00600F10"/>
    <w:rsid w:val="00603261"/>
    <w:rsid w:val="006050C8"/>
    <w:rsid w:val="0060596E"/>
    <w:rsid w:val="00607597"/>
    <w:rsid w:val="00610F93"/>
    <w:rsid w:val="006127CC"/>
    <w:rsid w:val="006145E7"/>
    <w:rsid w:val="006212A3"/>
    <w:rsid w:val="006239E9"/>
    <w:rsid w:val="006243C6"/>
    <w:rsid w:val="00626321"/>
    <w:rsid w:val="006273BC"/>
    <w:rsid w:val="006278AE"/>
    <w:rsid w:val="00632009"/>
    <w:rsid w:val="00633CF1"/>
    <w:rsid w:val="006357F7"/>
    <w:rsid w:val="00635A6C"/>
    <w:rsid w:val="00635C80"/>
    <w:rsid w:val="00637091"/>
    <w:rsid w:val="00642839"/>
    <w:rsid w:val="00644299"/>
    <w:rsid w:val="006457F8"/>
    <w:rsid w:val="00645A17"/>
    <w:rsid w:val="00645CCB"/>
    <w:rsid w:val="0064700E"/>
    <w:rsid w:val="006478CB"/>
    <w:rsid w:val="00650B88"/>
    <w:rsid w:val="00651A11"/>
    <w:rsid w:val="00651BAF"/>
    <w:rsid w:val="00652C58"/>
    <w:rsid w:val="006530EF"/>
    <w:rsid w:val="00653C98"/>
    <w:rsid w:val="0065448B"/>
    <w:rsid w:val="006554DD"/>
    <w:rsid w:val="00660951"/>
    <w:rsid w:val="00662867"/>
    <w:rsid w:val="006636E2"/>
    <w:rsid w:val="006654BA"/>
    <w:rsid w:val="00666273"/>
    <w:rsid w:val="00667FA9"/>
    <w:rsid w:val="006706FE"/>
    <w:rsid w:val="0067161C"/>
    <w:rsid w:val="0067233D"/>
    <w:rsid w:val="006723AA"/>
    <w:rsid w:val="00672B2E"/>
    <w:rsid w:val="00673458"/>
    <w:rsid w:val="006745AE"/>
    <w:rsid w:val="00676870"/>
    <w:rsid w:val="00676AF3"/>
    <w:rsid w:val="00677895"/>
    <w:rsid w:val="00677920"/>
    <w:rsid w:val="00677BEF"/>
    <w:rsid w:val="006814A3"/>
    <w:rsid w:val="00681CD9"/>
    <w:rsid w:val="00682AFC"/>
    <w:rsid w:val="00683344"/>
    <w:rsid w:val="00683C93"/>
    <w:rsid w:val="00684FC9"/>
    <w:rsid w:val="00685F64"/>
    <w:rsid w:val="006870AF"/>
    <w:rsid w:val="0069072B"/>
    <w:rsid w:val="0069174B"/>
    <w:rsid w:val="00693340"/>
    <w:rsid w:val="006A04C7"/>
    <w:rsid w:val="006A1D04"/>
    <w:rsid w:val="006A4B05"/>
    <w:rsid w:val="006B05E3"/>
    <w:rsid w:val="006B09BC"/>
    <w:rsid w:val="006B3A78"/>
    <w:rsid w:val="006B48D2"/>
    <w:rsid w:val="006B5AB7"/>
    <w:rsid w:val="006B6D5D"/>
    <w:rsid w:val="006B7B5A"/>
    <w:rsid w:val="006C07CB"/>
    <w:rsid w:val="006C0801"/>
    <w:rsid w:val="006C0C2C"/>
    <w:rsid w:val="006C1EAA"/>
    <w:rsid w:val="006C216F"/>
    <w:rsid w:val="006C45D4"/>
    <w:rsid w:val="006C4E43"/>
    <w:rsid w:val="006D2042"/>
    <w:rsid w:val="006D66E3"/>
    <w:rsid w:val="006D7855"/>
    <w:rsid w:val="006D7DE6"/>
    <w:rsid w:val="006E010C"/>
    <w:rsid w:val="006E1003"/>
    <w:rsid w:val="006E16BF"/>
    <w:rsid w:val="006E18F0"/>
    <w:rsid w:val="006E38AF"/>
    <w:rsid w:val="006E4F88"/>
    <w:rsid w:val="006E4F93"/>
    <w:rsid w:val="006E570D"/>
    <w:rsid w:val="006F21D0"/>
    <w:rsid w:val="006F4D2E"/>
    <w:rsid w:val="006F6E59"/>
    <w:rsid w:val="00700135"/>
    <w:rsid w:val="00705180"/>
    <w:rsid w:val="007075D4"/>
    <w:rsid w:val="00711605"/>
    <w:rsid w:val="00711DF6"/>
    <w:rsid w:val="00713681"/>
    <w:rsid w:val="00713FCD"/>
    <w:rsid w:val="00716FBC"/>
    <w:rsid w:val="00717090"/>
    <w:rsid w:val="0072053D"/>
    <w:rsid w:val="00720739"/>
    <w:rsid w:val="0072098B"/>
    <w:rsid w:val="0072253E"/>
    <w:rsid w:val="00723E1F"/>
    <w:rsid w:val="0072443D"/>
    <w:rsid w:val="007247E5"/>
    <w:rsid w:val="007248B7"/>
    <w:rsid w:val="007254CA"/>
    <w:rsid w:val="00725E50"/>
    <w:rsid w:val="00730AF7"/>
    <w:rsid w:val="00730CF8"/>
    <w:rsid w:val="00731A90"/>
    <w:rsid w:val="00732608"/>
    <w:rsid w:val="00733251"/>
    <w:rsid w:val="00736DCA"/>
    <w:rsid w:val="00737CF6"/>
    <w:rsid w:val="0074173A"/>
    <w:rsid w:val="00745C47"/>
    <w:rsid w:val="00746272"/>
    <w:rsid w:val="007464C3"/>
    <w:rsid w:val="007465A2"/>
    <w:rsid w:val="00746D0C"/>
    <w:rsid w:val="0075003D"/>
    <w:rsid w:val="00750696"/>
    <w:rsid w:val="00751104"/>
    <w:rsid w:val="00751D97"/>
    <w:rsid w:val="00752C55"/>
    <w:rsid w:val="0075439D"/>
    <w:rsid w:val="007562D4"/>
    <w:rsid w:val="007570A0"/>
    <w:rsid w:val="007573FA"/>
    <w:rsid w:val="00761624"/>
    <w:rsid w:val="00761DBF"/>
    <w:rsid w:val="00761FCF"/>
    <w:rsid w:val="00764DBD"/>
    <w:rsid w:val="00765503"/>
    <w:rsid w:val="00767B7E"/>
    <w:rsid w:val="00771D7D"/>
    <w:rsid w:val="007723B7"/>
    <w:rsid w:val="007745B7"/>
    <w:rsid w:val="007750C8"/>
    <w:rsid w:val="00776538"/>
    <w:rsid w:val="007802BE"/>
    <w:rsid w:val="00780EEF"/>
    <w:rsid w:val="0078134C"/>
    <w:rsid w:val="00781C47"/>
    <w:rsid w:val="007837C7"/>
    <w:rsid w:val="00784B44"/>
    <w:rsid w:val="00785465"/>
    <w:rsid w:val="00785FAC"/>
    <w:rsid w:val="00787656"/>
    <w:rsid w:val="00791767"/>
    <w:rsid w:val="0079268A"/>
    <w:rsid w:val="0079456C"/>
    <w:rsid w:val="00794859"/>
    <w:rsid w:val="00797C88"/>
    <w:rsid w:val="007A1013"/>
    <w:rsid w:val="007A4CA9"/>
    <w:rsid w:val="007A7D19"/>
    <w:rsid w:val="007A7EC2"/>
    <w:rsid w:val="007B042D"/>
    <w:rsid w:val="007B05BB"/>
    <w:rsid w:val="007B6E0A"/>
    <w:rsid w:val="007B764C"/>
    <w:rsid w:val="007C118A"/>
    <w:rsid w:val="007C1906"/>
    <w:rsid w:val="007C3059"/>
    <w:rsid w:val="007C40BB"/>
    <w:rsid w:val="007C636F"/>
    <w:rsid w:val="007C657D"/>
    <w:rsid w:val="007D39EB"/>
    <w:rsid w:val="007D785D"/>
    <w:rsid w:val="007E26E6"/>
    <w:rsid w:val="007E620E"/>
    <w:rsid w:val="007E6E55"/>
    <w:rsid w:val="007E74E1"/>
    <w:rsid w:val="007E77A8"/>
    <w:rsid w:val="007F491C"/>
    <w:rsid w:val="008009B1"/>
    <w:rsid w:val="008020CE"/>
    <w:rsid w:val="00803BF8"/>
    <w:rsid w:val="008061C9"/>
    <w:rsid w:val="008066D8"/>
    <w:rsid w:val="00811A18"/>
    <w:rsid w:val="00813711"/>
    <w:rsid w:val="00821D1E"/>
    <w:rsid w:val="00821E64"/>
    <w:rsid w:val="00823692"/>
    <w:rsid w:val="00823FE0"/>
    <w:rsid w:val="008263C2"/>
    <w:rsid w:val="008307DB"/>
    <w:rsid w:val="00833398"/>
    <w:rsid w:val="0083575B"/>
    <w:rsid w:val="00835D9D"/>
    <w:rsid w:val="00835FC9"/>
    <w:rsid w:val="008368F8"/>
    <w:rsid w:val="008370E3"/>
    <w:rsid w:val="00837198"/>
    <w:rsid w:val="008418FA"/>
    <w:rsid w:val="00842959"/>
    <w:rsid w:val="00843390"/>
    <w:rsid w:val="008519B0"/>
    <w:rsid w:val="0085235A"/>
    <w:rsid w:val="00854138"/>
    <w:rsid w:val="00854410"/>
    <w:rsid w:val="008544DF"/>
    <w:rsid w:val="0085518C"/>
    <w:rsid w:val="00860AAD"/>
    <w:rsid w:val="0086146C"/>
    <w:rsid w:val="00861AA6"/>
    <w:rsid w:val="008708F3"/>
    <w:rsid w:val="00871354"/>
    <w:rsid w:val="00873611"/>
    <w:rsid w:val="00873794"/>
    <w:rsid w:val="00873C8F"/>
    <w:rsid w:val="0087411E"/>
    <w:rsid w:val="00874FB3"/>
    <w:rsid w:val="00880BE3"/>
    <w:rsid w:val="00880E0D"/>
    <w:rsid w:val="00881359"/>
    <w:rsid w:val="00882093"/>
    <w:rsid w:val="00882588"/>
    <w:rsid w:val="00884ADE"/>
    <w:rsid w:val="008856CF"/>
    <w:rsid w:val="00885864"/>
    <w:rsid w:val="00885E5C"/>
    <w:rsid w:val="00890A1D"/>
    <w:rsid w:val="008913E2"/>
    <w:rsid w:val="0089383B"/>
    <w:rsid w:val="0089534B"/>
    <w:rsid w:val="0089616F"/>
    <w:rsid w:val="008A0232"/>
    <w:rsid w:val="008A0CEC"/>
    <w:rsid w:val="008A1D89"/>
    <w:rsid w:val="008A23FE"/>
    <w:rsid w:val="008A3B6A"/>
    <w:rsid w:val="008A433B"/>
    <w:rsid w:val="008B0470"/>
    <w:rsid w:val="008B06C5"/>
    <w:rsid w:val="008B1483"/>
    <w:rsid w:val="008B164E"/>
    <w:rsid w:val="008B502A"/>
    <w:rsid w:val="008B555E"/>
    <w:rsid w:val="008B57D8"/>
    <w:rsid w:val="008B7A65"/>
    <w:rsid w:val="008C0756"/>
    <w:rsid w:val="008C1219"/>
    <w:rsid w:val="008C123E"/>
    <w:rsid w:val="008C137D"/>
    <w:rsid w:val="008C1995"/>
    <w:rsid w:val="008C1B74"/>
    <w:rsid w:val="008C1D45"/>
    <w:rsid w:val="008C22DD"/>
    <w:rsid w:val="008C27E6"/>
    <w:rsid w:val="008C3ED0"/>
    <w:rsid w:val="008C4B39"/>
    <w:rsid w:val="008C597F"/>
    <w:rsid w:val="008C5E94"/>
    <w:rsid w:val="008C67CE"/>
    <w:rsid w:val="008C7855"/>
    <w:rsid w:val="008D196A"/>
    <w:rsid w:val="008D220E"/>
    <w:rsid w:val="008D4616"/>
    <w:rsid w:val="008D5C33"/>
    <w:rsid w:val="008D60AA"/>
    <w:rsid w:val="008E3B24"/>
    <w:rsid w:val="008E3EF2"/>
    <w:rsid w:val="008E4FAA"/>
    <w:rsid w:val="008E51C9"/>
    <w:rsid w:val="008E5BEB"/>
    <w:rsid w:val="008E6306"/>
    <w:rsid w:val="008E70C9"/>
    <w:rsid w:val="008F68F7"/>
    <w:rsid w:val="009005A6"/>
    <w:rsid w:val="009006CF"/>
    <w:rsid w:val="00900B6D"/>
    <w:rsid w:val="00900C71"/>
    <w:rsid w:val="00902A1C"/>
    <w:rsid w:val="009037B6"/>
    <w:rsid w:val="00904C34"/>
    <w:rsid w:val="00906A0B"/>
    <w:rsid w:val="00906BBE"/>
    <w:rsid w:val="00906CBE"/>
    <w:rsid w:val="00910024"/>
    <w:rsid w:val="00910384"/>
    <w:rsid w:val="0091643D"/>
    <w:rsid w:val="00916E33"/>
    <w:rsid w:val="0092093B"/>
    <w:rsid w:val="00922ED2"/>
    <w:rsid w:val="0092740E"/>
    <w:rsid w:val="00930669"/>
    <w:rsid w:val="00932C33"/>
    <w:rsid w:val="009342CB"/>
    <w:rsid w:val="00935410"/>
    <w:rsid w:val="00936CBD"/>
    <w:rsid w:val="009427A1"/>
    <w:rsid w:val="00942FFE"/>
    <w:rsid w:val="00951E08"/>
    <w:rsid w:val="009551E0"/>
    <w:rsid w:val="0095654E"/>
    <w:rsid w:val="00956F3C"/>
    <w:rsid w:val="00964110"/>
    <w:rsid w:val="00964500"/>
    <w:rsid w:val="00965341"/>
    <w:rsid w:val="00966594"/>
    <w:rsid w:val="00971C34"/>
    <w:rsid w:val="00971F62"/>
    <w:rsid w:val="00972488"/>
    <w:rsid w:val="009726D0"/>
    <w:rsid w:val="0097421D"/>
    <w:rsid w:val="00976117"/>
    <w:rsid w:val="00976A23"/>
    <w:rsid w:val="009800BC"/>
    <w:rsid w:val="009816F6"/>
    <w:rsid w:val="0098382E"/>
    <w:rsid w:val="009860E8"/>
    <w:rsid w:val="009900F0"/>
    <w:rsid w:val="00990B9B"/>
    <w:rsid w:val="00991769"/>
    <w:rsid w:val="00993236"/>
    <w:rsid w:val="00993D8C"/>
    <w:rsid w:val="00994E3D"/>
    <w:rsid w:val="009A297E"/>
    <w:rsid w:val="009A450F"/>
    <w:rsid w:val="009A6127"/>
    <w:rsid w:val="009A688B"/>
    <w:rsid w:val="009A6D02"/>
    <w:rsid w:val="009B0CC1"/>
    <w:rsid w:val="009B1343"/>
    <w:rsid w:val="009B22DD"/>
    <w:rsid w:val="009B2D76"/>
    <w:rsid w:val="009B37DF"/>
    <w:rsid w:val="009B713C"/>
    <w:rsid w:val="009C0F18"/>
    <w:rsid w:val="009C12C6"/>
    <w:rsid w:val="009C2555"/>
    <w:rsid w:val="009C4441"/>
    <w:rsid w:val="009C53E9"/>
    <w:rsid w:val="009C58FD"/>
    <w:rsid w:val="009C7778"/>
    <w:rsid w:val="009D06AE"/>
    <w:rsid w:val="009D09E2"/>
    <w:rsid w:val="009D1E42"/>
    <w:rsid w:val="009D7148"/>
    <w:rsid w:val="009E02FD"/>
    <w:rsid w:val="009E4C74"/>
    <w:rsid w:val="009E62B6"/>
    <w:rsid w:val="009E6DCF"/>
    <w:rsid w:val="009F35D4"/>
    <w:rsid w:val="009F35DA"/>
    <w:rsid w:val="009F43D0"/>
    <w:rsid w:val="00A004D9"/>
    <w:rsid w:val="00A00568"/>
    <w:rsid w:val="00A00884"/>
    <w:rsid w:val="00A009EB"/>
    <w:rsid w:val="00A02F62"/>
    <w:rsid w:val="00A02FA3"/>
    <w:rsid w:val="00A030C3"/>
    <w:rsid w:val="00A04729"/>
    <w:rsid w:val="00A04803"/>
    <w:rsid w:val="00A0590A"/>
    <w:rsid w:val="00A10147"/>
    <w:rsid w:val="00A11331"/>
    <w:rsid w:val="00A131E6"/>
    <w:rsid w:val="00A13843"/>
    <w:rsid w:val="00A146A5"/>
    <w:rsid w:val="00A17466"/>
    <w:rsid w:val="00A204B3"/>
    <w:rsid w:val="00A20576"/>
    <w:rsid w:val="00A21593"/>
    <w:rsid w:val="00A221F7"/>
    <w:rsid w:val="00A22971"/>
    <w:rsid w:val="00A22C21"/>
    <w:rsid w:val="00A23161"/>
    <w:rsid w:val="00A24567"/>
    <w:rsid w:val="00A25A3D"/>
    <w:rsid w:val="00A2604E"/>
    <w:rsid w:val="00A279AD"/>
    <w:rsid w:val="00A31CCE"/>
    <w:rsid w:val="00A33C95"/>
    <w:rsid w:val="00A34653"/>
    <w:rsid w:val="00A34FF3"/>
    <w:rsid w:val="00A35351"/>
    <w:rsid w:val="00A361C7"/>
    <w:rsid w:val="00A36723"/>
    <w:rsid w:val="00A43798"/>
    <w:rsid w:val="00A45C4C"/>
    <w:rsid w:val="00A46DF5"/>
    <w:rsid w:val="00A5149A"/>
    <w:rsid w:val="00A516FD"/>
    <w:rsid w:val="00A51D8B"/>
    <w:rsid w:val="00A51F9F"/>
    <w:rsid w:val="00A5266D"/>
    <w:rsid w:val="00A53650"/>
    <w:rsid w:val="00A53818"/>
    <w:rsid w:val="00A53B2A"/>
    <w:rsid w:val="00A53E51"/>
    <w:rsid w:val="00A56D5D"/>
    <w:rsid w:val="00A570F4"/>
    <w:rsid w:val="00A57183"/>
    <w:rsid w:val="00A60693"/>
    <w:rsid w:val="00A6196D"/>
    <w:rsid w:val="00A619C0"/>
    <w:rsid w:val="00A61ADF"/>
    <w:rsid w:val="00A624CB"/>
    <w:rsid w:val="00A62AC0"/>
    <w:rsid w:val="00A66B65"/>
    <w:rsid w:val="00A75CE2"/>
    <w:rsid w:val="00A76231"/>
    <w:rsid w:val="00A76BD2"/>
    <w:rsid w:val="00A76FEB"/>
    <w:rsid w:val="00A80860"/>
    <w:rsid w:val="00A81EF4"/>
    <w:rsid w:val="00A8267D"/>
    <w:rsid w:val="00A82E14"/>
    <w:rsid w:val="00A85487"/>
    <w:rsid w:val="00A8688E"/>
    <w:rsid w:val="00A8722B"/>
    <w:rsid w:val="00A901E9"/>
    <w:rsid w:val="00A917B6"/>
    <w:rsid w:val="00A91831"/>
    <w:rsid w:val="00A91B3B"/>
    <w:rsid w:val="00A93B4F"/>
    <w:rsid w:val="00A9446D"/>
    <w:rsid w:val="00A94C01"/>
    <w:rsid w:val="00A94F7A"/>
    <w:rsid w:val="00A95D3B"/>
    <w:rsid w:val="00A97341"/>
    <w:rsid w:val="00AA0081"/>
    <w:rsid w:val="00AA16B4"/>
    <w:rsid w:val="00AA4E4D"/>
    <w:rsid w:val="00AA5590"/>
    <w:rsid w:val="00AA62F9"/>
    <w:rsid w:val="00AB09ED"/>
    <w:rsid w:val="00AB2CFC"/>
    <w:rsid w:val="00AB2E63"/>
    <w:rsid w:val="00AB343B"/>
    <w:rsid w:val="00AB3DC0"/>
    <w:rsid w:val="00AB4CBB"/>
    <w:rsid w:val="00AB5C8A"/>
    <w:rsid w:val="00AB71C4"/>
    <w:rsid w:val="00AC125E"/>
    <w:rsid w:val="00AC45DF"/>
    <w:rsid w:val="00AC474D"/>
    <w:rsid w:val="00AC4DFD"/>
    <w:rsid w:val="00AC5415"/>
    <w:rsid w:val="00AC5663"/>
    <w:rsid w:val="00AC58FD"/>
    <w:rsid w:val="00AD0F6D"/>
    <w:rsid w:val="00AD1166"/>
    <w:rsid w:val="00AD19D2"/>
    <w:rsid w:val="00AD1A96"/>
    <w:rsid w:val="00AD3042"/>
    <w:rsid w:val="00AD418C"/>
    <w:rsid w:val="00AD6694"/>
    <w:rsid w:val="00AD793A"/>
    <w:rsid w:val="00AE0120"/>
    <w:rsid w:val="00AE1171"/>
    <w:rsid w:val="00AE24CA"/>
    <w:rsid w:val="00AE3038"/>
    <w:rsid w:val="00AE3D4A"/>
    <w:rsid w:val="00AE4A42"/>
    <w:rsid w:val="00AE5956"/>
    <w:rsid w:val="00AE619F"/>
    <w:rsid w:val="00AE7A88"/>
    <w:rsid w:val="00AF009E"/>
    <w:rsid w:val="00AF2A56"/>
    <w:rsid w:val="00AF57BF"/>
    <w:rsid w:val="00AF63AB"/>
    <w:rsid w:val="00AF7B6F"/>
    <w:rsid w:val="00AF7FF9"/>
    <w:rsid w:val="00B00179"/>
    <w:rsid w:val="00B005DF"/>
    <w:rsid w:val="00B01784"/>
    <w:rsid w:val="00B0388B"/>
    <w:rsid w:val="00B03BEE"/>
    <w:rsid w:val="00B0416B"/>
    <w:rsid w:val="00B0517E"/>
    <w:rsid w:val="00B06FEE"/>
    <w:rsid w:val="00B07F9B"/>
    <w:rsid w:val="00B11314"/>
    <w:rsid w:val="00B113E3"/>
    <w:rsid w:val="00B1156A"/>
    <w:rsid w:val="00B126C0"/>
    <w:rsid w:val="00B138E3"/>
    <w:rsid w:val="00B13FB5"/>
    <w:rsid w:val="00B178FA"/>
    <w:rsid w:val="00B17D8E"/>
    <w:rsid w:val="00B207C3"/>
    <w:rsid w:val="00B23267"/>
    <w:rsid w:val="00B23906"/>
    <w:rsid w:val="00B24125"/>
    <w:rsid w:val="00B257BF"/>
    <w:rsid w:val="00B2694E"/>
    <w:rsid w:val="00B27149"/>
    <w:rsid w:val="00B302F5"/>
    <w:rsid w:val="00B35B4D"/>
    <w:rsid w:val="00B362F0"/>
    <w:rsid w:val="00B36652"/>
    <w:rsid w:val="00B40F6B"/>
    <w:rsid w:val="00B425AB"/>
    <w:rsid w:val="00B46890"/>
    <w:rsid w:val="00B47090"/>
    <w:rsid w:val="00B47775"/>
    <w:rsid w:val="00B5247E"/>
    <w:rsid w:val="00B532D1"/>
    <w:rsid w:val="00B55B42"/>
    <w:rsid w:val="00B61E3E"/>
    <w:rsid w:val="00B67A79"/>
    <w:rsid w:val="00B72D62"/>
    <w:rsid w:val="00B767AF"/>
    <w:rsid w:val="00B80511"/>
    <w:rsid w:val="00B80798"/>
    <w:rsid w:val="00B80876"/>
    <w:rsid w:val="00B82B3F"/>
    <w:rsid w:val="00B82C3C"/>
    <w:rsid w:val="00B82DE6"/>
    <w:rsid w:val="00B831CD"/>
    <w:rsid w:val="00B83FA8"/>
    <w:rsid w:val="00B85329"/>
    <w:rsid w:val="00B8705E"/>
    <w:rsid w:val="00B91B9D"/>
    <w:rsid w:val="00B92C6C"/>
    <w:rsid w:val="00B93854"/>
    <w:rsid w:val="00B95C7E"/>
    <w:rsid w:val="00BA2940"/>
    <w:rsid w:val="00BA572E"/>
    <w:rsid w:val="00BA5E20"/>
    <w:rsid w:val="00BA607C"/>
    <w:rsid w:val="00BA6734"/>
    <w:rsid w:val="00BA756E"/>
    <w:rsid w:val="00BA7D7E"/>
    <w:rsid w:val="00BB2A2B"/>
    <w:rsid w:val="00BB3012"/>
    <w:rsid w:val="00BB3E2A"/>
    <w:rsid w:val="00BB7121"/>
    <w:rsid w:val="00BC0479"/>
    <w:rsid w:val="00BC1651"/>
    <w:rsid w:val="00BC16F5"/>
    <w:rsid w:val="00BC18FF"/>
    <w:rsid w:val="00BC287D"/>
    <w:rsid w:val="00BC2A38"/>
    <w:rsid w:val="00BC46EB"/>
    <w:rsid w:val="00BC643B"/>
    <w:rsid w:val="00BD030A"/>
    <w:rsid w:val="00BD143D"/>
    <w:rsid w:val="00BD32E5"/>
    <w:rsid w:val="00BD36C4"/>
    <w:rsid w:val="00BE1095"/>
    <w:rsid w:val="00BE150A"/>
    <w:rsid w:val="00BE6767"/>
    <w:rsid w:val="00BE78EC"/>
    <w:rsid w:val="00BF2A9E"/>
    <w:rsid w:val="00BF425E"/>
    <w:rsid w:val="00BF46EE"/>
    <w:rsid w:val="00BF794D"/>
    <w:rsid w:val="00C02F74"/>
    <w:rsid w:val="00C036A8"/>
    <w:rsid w:val="00C06084"/>
    <w:rsid w:val="00C0613C"/>
    <w:rsid w:val="00C10D05"/>
    <w:rsid w:val="00C11EFE"/>
    <w:rsid w:val="00C14FBA"/>
    <w:rsid w:val="00C15004"/>
    <w:rsid w:val="00C15C81"/>
    <w:rsid w:val="00C15EA1"/>
    <w:rsid w:val="00C17A8E"/>
    <w:rsid w:val="00C24F70"/>
    <w:rsid w:val="00C25DC2"/>
    <w:rsid w:val="00C303D7"/>
    <w:rsid w:val="00C33479"/>
    <w:rsid w:val="00C40ED2"/>
    <w:rsid w:val="00C416F7"/>
    <w:rsid w:val="00C41F10"/>
    <w:rsid w:val="00C432DD"/>
    <w:rsid w:val="00C4423A"/>
    <w:rsid w:val="00C46497"/>
    <w:rsid w:val="00C46B42"/>
    <w:rsid w:val="00C501FE"/>
    <w:rsid w:val="00C54AB0"/>
    <w:rsid w:val="00C5784B"/>
    <w:rsid w:val="00C639FF"/>
    <w:rsid w:val="00C6442A"/>
    <w:rsid w:val="00C64608"/>
    <w:rsid w:val="00C64D15"/>
    <w:rsid w:val="00C66088"/>
    <w:rsid w:val="00C67C4C"/>
    <w:rsid w:val="00C74B5D"/>
    <w:rsid w:val="00C74F74"/>
    <w:rsid w:val="00C7554B"/>
    <w:rsid w:val="00C757A6"/>
    <w:rsid w:val="00C77B80"/>
    <w:rsid w:val="00C80951"/>
    <w:rsid w:val="00C813A5"/>
    <w:rsid w:val="00C8205E"/>
    <w:rsid w:val="00C82EAF"/>
    <w:rsid w:val="00C82EB5"/>
    <w:rsid w:val="00C8751C"/>
    <w:rsid w:val="00C87966"/>
    <w:rsid w:val="00C902DE"/>
    <w:rsid w:val="00C916AE"/>
    <w:rsid w:val="00C92920"/>
    <w:rsid w:val="00C93AAA"/>
    <w:rsid w:val="00C95FCD"/>
    <w:rsid w:val="00C97188"/>
    <w:rsid w:val="00CA0639"/>
    <w:rsid w:val="00CA084B"/>
    <w:rsid w:val="00CA11D0"/>
    <w:rsid w:val="00CA1472"/>
    <w:rsid w:val="00CA1CF3"/>
    <w:rsid w:val="00CA2E02"/>
    <w:rsid w:val="00CA583A"/>
    <w:rsid w:val="00CA5EC6"/>
    <w:rsid w:val="00CA6746"/>
    <w:rsid w:val="00CB0989"/>
    <w:rsid w:val="00CB33B4"/>
    <w:rsid w:val="00CB5744"/>
    <w:rsid w:val="00CB6058"/>
    <w:rsid w:val="00CB69B5"/>
    <w:rsid w:val="00CB7022"/>
    <w:rsid w:val="00CB7AD8"/>
    <w:rsid w:val="00CB7BC5"/>
    <w:rsid w:val="00CC0311"/>
    <w:rsid w:val="00CC13C6"/>
    <w:rsid w:val="00CC49A5"/>
    <w:rsid w:val="00CC586D"/>
    <w:rsid w:val="00CC7DBC"/>
    <w:rsid w:val="00CD0927"/>
    <w:rsid w:val="00CD1BA3"/>
    <w:rsid w:val="00CD1D23"/>
    <w:rsid w:val="00CD3612"/>
    <w:rsid w:val="00CD38B7"/>
    <w:rsid w:val="00CD3E69"/>
    <w:rsid w:val="00CD454A"/>
    <w:rsid w:val="00CD460D"/>
    <w:rsid w:val="00CD5F49"/>
    <w:rsid w:val="00CD66C3"/>
    <w:rsid w:val="00CD6B7D"/>
    <w:rsid w:val="00CD7D29"/>
    <w:rsid w:val="00CE0847"/>
    <w:rsid w:val="00CE0B6C"/>
    <w:rsid w:val="00CE11D0"/>
    <w:rsid w:val="00CE4708"/>
    <w:rsid w:val="00CE4C50"/>
    <w:rsid w:val="00CE5440"/>
    <w:rsid w:val="00CE6858"/>
    <w:rsid w:val="00CE7450"/>
    <w:rsid w:val="00CE770C"/>
    <w:rsid w:val="00CF107B"/>
    <w:rsid w:val="00CF2975"/>
    <w:rsid w:val="00CF50BE"/>
    <w:rsid w:val="00CF7625"/>
    <w:rsid w:val="00D004C1"/>
    <w:rsid w:val="00D00724"/>
    <w:rsid w:val="00D0506A"/>
    <w:rsid w:val="00D0768A"/>
    <w:rsid w:val="00D1289C"/>
    <w:rsid w:val="00D13CD5"/>
    <w:rsid w:val="00D1666F"/>
    <w:rsid w:val="00D17C66"/>
    <w:rsid w:val="00D2071A"/>
    <w:rsid w:val="00D2555B"/>
    <w:rsid w:val="00D262AE"/>
    <w:rsid w:val="00D30F73"/>
    <w:rsid w:val="00D30F97"/>
    <w:rsid w:val="00D313A0"/>
    <w:rsid w:val="00D33479"/>
    <w:rsid w:val="00D363C9"/>
    <w:rsid w:val="00D36FE0"/>
    <w:rsid w:val="00D379AF"/>
    <w:rsid w:val="00D4028A"/>
    <w:rsid w:val="00D40799"/>
    <w:rsid w:val="00D41A06"/>
    <w:rsid w:val="00D42284"/>
    <w:rsid w:val="00D42ABF"/>
    <w:rsid w:val="00D42F40"/>
    <w:rsid w:val="00D43BE7"/>
    <w:rsid w:val="00D45B67"/>
    <w:rsid w:val="00D4631D"/>
    <w:rsid w:val="00D46485"/>
    <w:rsid w:val="00D5034A"/>
    <w:rsid w:val="00D51F49"/>
    <w:rsid w:val="00D52161"/>
    <w:rsid w:val="00D521C4"/>
    <w:rsid w:val="00D55EE8"/>
    <w:rsid w:val="00D562CB"/>
    <w:rsid w:val="00D569D1"/>
    <w:rsid w:val="00D56AD8"/>
    <w:rsid w:val="00D56C05"/>
    <w:rsid w:val="00D5785A"/>
    <w:rsid w:val="00D57A2B"/>
    <w:rsid w:val="00D57F91"/>
    <w:rsid w:val="00D60A39"/>
    <w:rsid w:val="00D61C39"/>
    <w:rsid w:val="00D624AC"/>
    <w:rsid w:val="00D62C98"/>
    <w:rsid w:val="00D6375F"/>
    <w:rsid w:val="00D64C48"/>
    <w:rsid w:val="00D6680B"/>
    <w:rsid w:val="00D72F4F"/>
    <w:rsid w:val="00D731C4"/>
    <w:rsid w:val="00D7469C"/>
    <w:rsid w:val="00D74EB4"/>
    <w:rsid w:val="00D801FC"/>
    <w:rsid w:val="00D80696"/>
    <w:rsid w:val="00D81F1E"/>
    <w:rsid w:val="00D82B6B"/>
    <w:rsid w:val="00D85BE0"/>
    <w:rsid w:val="00D871C1"/>
    <w:rsid w:val="00D87FD7"/>
    <w:rsid w:val="00D90FEE"/>
    <w:rsid w:val="00D91466"/>
    <w:rsid w:val="00D915ED"/>
    <w:rsid w:val="00D92300"/>
    <w:rsid w:val="00D94A84"/>
    <w:rsid w:val="00D94AFC"/>
    <w:rsid w:val="00D950E6"/>
    <w:rsid w:val="00D97047"/>
    <w:rsid w:val="00DA2D79"/>
    <w:rsid w:val="00DA3619"/>
    <w:rsid w:val="00DB0B88"/>
    <w:rsid w:val="00DB1652"/>
    <w:rsid w:val="00DB58A6"/>
    <w:rsid w:val="00DB6B99"/>
    <w:rsid w:val="00DC001A"/>
    <w:rsid w:val="00DC6369"/>
    <w:rsid w:val="00DD4F44"/>
    <w:rsid w:val="00DD516D"/>
    <w:rsid w:val="00DD686C"/>
    <w:rsid w:val="00DE2AC3"/>
    <w:rsid w:val="00DE2E40"/>
    <w:rsid w:val="00DE3598"/>
    <w:rsid w:val="00DE3FBD"/>
    <w:rsid w:val="00DE43F5"/>
    <w:rsid w:val="00DE65FB"/>
    <w:rsid w:val="00DF14E1"/>
    <w:rsid w:val="00DF420A"/>
    <w:rsid w:val="00DF57B5"/>
    <w:rsid w:val="00DF5AA8"/>
    <w:rsid w:val="00DF7A5F"/>
    <w:rsid w:val="00E00286"/>
    <w:rsid w:val="00E02472"/>
    <w:rsid w:val="00E041F0"/>
    <w:rsid w:val="00E052E9"/>
    <w:rsid w:val="00E05496"/>
    <w:rsid w:val="00E0636F"/>
    <w:rsid w:val="00E11E94"/>
    <w:rsid w:val="00E126EB"/>
    <w:rsid w:val="00E128D8"/>
    <w:rsid w:val="00E130C3"/>
    <w:rsid w:val="00E153D4"/>
    <w:rsid w:val="00E15D40"/>
    <w:rsid w:val="00E175E8"/>
    <w:rsid w:val="00E17EDF"/>
    <w:rsid w:val="00E2082D"/>
    <w:rsid w:val="00E221E2"/>
    <w:rsid w:val="00E2235F"/>
    <w:rsid w:val="00E22D09"/>
    <w:rsid w:val="00E22F35"/>
    <w:rsid w:val="00E24303"/>
    <w:rsid w:val="00E27A16"/>
    <w:rsid w:val="00E3088B"/>
    <w:rsid w:val="00E33828"/>
    <w:rsid w:val="00E359A8"/>
    <w:rsid w:val="00E40F7B"/>
    <w:rsid w:val="00E418CF"/>
    <w:rsid w:val="00E41B9D"/>
    <w:rsid w:val="00E42C18"/>
    <w:rsid w:val="00E43C69"/>
    <w:rsid w:val="00E46D60"/>
    <w:rsid w:val="00E473AD"/>
    <w:rsid w:val="00E47C33"/>
    <w:rsid w:val="00E47F58"/>
    <w:rsid w:val="00E50939"/>
    <w:rsid w:val="00E51C28"/>
    <w:rsid w:val="00E52A05"/>
    <w:rsid w:val="00E53105"/>
    <w:rsid w:val="00E54BFC"/>
    <w:rsid w:val="00E56D9D"/>
    <w:rsid w:val="00E60903"/>
    <w:rsid w:val="00E60E2E"/>
    <w:rsid w:val="00E6483F"/>
    <w:rsid w:val="00E70D09"/>
    <w:rsid w:val="00E71A2D"/>
    <w:rsid w:val="00E73C71"/>
    <w:rsid w:val="00E7439E"/>
    <w:rsid w:val="00E74A73"/>
    <w:rsid w:val="00E7756B"/>
    <w:rsid w:val="00E823C1"/>
    <w:rsid w:val="00E82DB7"/>
    <w:rsid w:val="00E8579C"/>
    <w:rsid w:val="00E865FE"/>
    <w:rsid w:val="00E86DE1"/>
    <w:rsid w:val="00E870B0"/>
    <w:rsid w:val="00E9024A"/>
    <w:rsid w:val="00E91408"/>
    <w:rsid w:val="00E91759"/>
    <w:rsid w:val="00E93835"/>
    <w:rsid w:val="00E944A2"/>
    <w:rsid w:val="00E94858"/>
    <w:rsid w:val="00E9654B"/>
    <w:rsid w:val="00EA18DB"/>
    <w:rsid w:val="00EA2FBA"/>
    <w:rsid w:val="00EA389B"/>
    <w:rsid w:val="00EA4DC5"/>
    <w:rsid w:val="00EA5A5E"/>
    <w:rsid w:val="00EA66DF"/>
    <w:rsid w:val="00EA6ADC"/>
    <w:rsid w:val="00EB13A7"/>
    <w:rsid w:val="00EB14DF"/>
    <w:rsid w:val="00EB1A4D"/>
    <w:rsid w:val="00EB1CC4"/>
    <w:rsid w:val="00EB3A07"/>
    <w:rsid w:val="00EB5539"/>
    <w:rsid w:val="00EB6320"/>
    <w:rsid w:val="00EC2B0D"/>
    <w:rsid w:val="00EC2C42"/>
    <w:rsid w:val="00EC3F31"/>
    <w:rsid w:val="00EC52E7"/>
    <w:rsid w:val="00EC6182"/>
    <w:rsid w:val="00ED3698"/>
    <w:rsid w:val="00ED4794"/>
    <w:rsid w:val="00EE265C"/>
    <w:rsid w:val="00EE275B"/>
    <w:rsid w:val="00EE2FB0"/>
    <w:rsid w:val="00EE42F8"/>
    <w:rsid w:val="00EE4BB9"/>
    <w:rsid w:val="00EE5C63"/>
    <w:rsid w:val="00EF3204"/>
    <w:rsid w:val="00F0095C"/>
    <w:rsid w:val="00F01129"/>
    <w:rsid w:val="00F01CCA"/>
    <w:rsid w:val="00F01F2C"/>
    <w:rsid w:val="00F02104"/>
    <w:rsid w:val="00F02D99"/>
    <w:rsid w:val="00F06C17"/>
    <w:rsid w:val="00F12D5A"/>
    <w:rsid w:val="00F13AC2"/>
    <w:rsid w:val="00F1632B"/>
    <w:rsid w:val="00F17B00"/>
    <w:rsid w:val="00F30C33"/>
    <w:rsid w:val="00F334CB"/>
    <w:rsid w:val="00F3495A"/>
    <w:rsid w:val="00F34E2C"/>
    <w:rsid w:val="00F3621E"/>
    <w:rsid w:val="00F36C26"/>
    <w:rsid w:val="00F370BC"/>
    <w:rsid w:val="00F37143"/>
    <w:rsid w:val="00F40C87"/>
    <w:rsid w:val="00F40CAB"/>
    <w:rsid w:val="00F4338F"/>
    <w:rsid w:val="00F500E3"/>
    <w:rsid w:val="00F50562"/>
    <w:rsid w:val="00F50A92"/>
    <w:rsid w:val="00F50D01"/>
    <w:rsid w:val="00F55B6B"/>
    <w:rsid w:val="00F56BC1"/>
    <w:rsid w:val="00F618C4"/>
    <w:rsid w:val="00F636F2"/>
    <w:rsid w:val="00F65774"/>
    <w:rsid w:val="00F657FC"/>
    <w:rsid w:val="00F65A34"/>
    <w:rsid w:val="00F65F4C"/>
    <w:rsid w:val="00F70FAB"/>
    <w:rsid w:val="00F71A60"/>
    <w:rsid w:val="00F725DA"/>
    <w:rsid w:val="00F744F3"/>
    <w:rsid w:val="00F7536E"/>
    <w:rsid w:val="00F75652"/>
    <w:rsid w:val="00F8168B"/>
    <w:rsid w:val="00F81CF2"/>
    <w:rsid w:val="00F81F93"/>
    <w:rsid w:val="00F857D1"/>
    <w:rsid w:val="00F91DCC"/>
    <w:rsid w:val="00F9323F"/>
    <w:rsid w:val="00F943FE"/>
    <w:rsid w:val="00F95814"/>
    <w:rsid w:val="00F95CE9"/>
    <w:rsid w:val="00F97100"/>
    <w:rsid w:val="00FA01D9"/>
    <w:rsid w:val="00FA0F21"/>
    <w:rsid w:val="00FA2287"/>
    <w:rsid w:val="00FA3C68"/>
    <w:rsid w:val="00FA5DC3"/>
    <w:rsid w:val="00FA75C1"/>
    <w:rsid w:val="00FA7EC6"/>
    <w:rsid w:val="00FB67F6"/>
    <w:rsid w:val="00FB6C69"/>
    <w:rsid w:val="00FB7D06"/>
    <w:rsid w:val="00FB7EF0"/>
    <w:rsid w:val="00FC0E56"/>
    <w:rsid w:val="00FC1DFB"/>
    <w:rsid w:val="00FC1EF2"/>
    <w:rsid w:val="00FC3343"/>
    <w:rsid w:val="00FC33BA"/>
    <w:rsid w:val="00FC35AB"/>
    <w:rsid w:val="00FC6134"/>
    <w:rsid w:val="00FC654D"/>
    <w:rsid w:val="00FC67EF"/>
    <w:rsid w:val="00FD0555"/>
    <w:rsid w:val="00FD0ACC"/>
    <w:rsid w:val="00FD56F8"/>
    <w:rsid w:val="00FD57E0"/>
    <w:rsid w:val="00FD5961"/>
    <w:rsid w:val="00FE3EFA"/>
    <w:rsid w:val="00FE4117"/>
    <w:rsid w:val="00FE5C56"/>
    <w:rsid w:val="00FE5E20"/>
    <w:rsid w:val="00FE7AAC"/>
    <w:rsid w:val="00FE7B06"/>
    <w:rsid w:val="00FE7E98"/>
    <w:rsid w:val="00FF06BC"/>
    <w:rsid w:val="00FF20AC"/>
    <w:rsid w:val="00FF3801"/>
    <w:rsid w:val="00FF3A27"/>
    <w:rsid w:val="00FF3B27"/>
    <w:rsid w:val="00FF4263"/>
    <w:rsid w:val="00FF5997"/>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4A30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iPriority="2" w:unhideWhenUsed="0"/>
    <w:lsdException w:name="heading 5" w:semiHidden="0" w:unhideWhenUsed="0"/>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table of figures" w:uiPriority="99"/>
    <w:lsdException w:name="List Bullet" w:qFormat="1"/>
    <w:lsdException w:name="List Number" w:semiHidden="0" w:uiPriority="13" w:unhideWhenUsed="0" w:qFormat="1"/>
    <w:lsdException w:name="List 4" w:unhideWhenUsed="0"/>
    <w:lsdException w:name="List 5" w:unhideWhenUsed="0"/>
    <w:lsdException w:name="List Bullet 2" w:qFormat="1"/>
    <w:lsdException w:name="List Bullet 3" w:qFormat="1"/>
    <w:lsdException w:name="List Number 2" w:uiPriority="13" w:qFormat="1"/>
    <w:lsdException w:name="List Number 3" w:uiPriority="13" w:qFormat="1"/>
    <w:lsdException w:name="List Number 4" w:uiPriority="13"/>
    <w:lsdException w:name="List Number 5" w:uiPriority="13"/>
    <w:lsdException w:name="Title" w:semiHidden="0" w:unhideWhenUsed="0"/>
    <w:lsdException w:name="Subtitle" w:semiHidden="0" w:unhideWhenUsed="0"/>
    <w:lsdException w:name="Salutation" w:unhideWhenUsed="0"/>
    <w:lsdException w:name="Date" w:unhideWhenUsed="0"/>
    <w:lsdException w:name="Body Text First Indent"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6870AF"/>
    <w:pPr>
      <w:spacing w:after="120"/>
    </w:pPr>
  </w:style>
  <w:style w:type="paragraph" w:styleId="Heading1">
    <w:name w:val="heading 1"/>
    <w:basedOn w:val="Normal"/>
    <w:next w:val="Normal"/>
    <w:uiPriority w:val="2"/>
    <w:qFormat/>
    <w:rsid w:val="00F40C87"/>
    <w:pPr>
      <w:keepNext/>
      <w:keepLines/>
      <w:numPr>
        <w:numId w:val="17"/>
      </w:numPr>
      <w:spacing w:after="1080"/>
      <w:ind w:left="851" w:hanging="851"/>
      <w:contextualSpacing/>
      <w:outlineLvl w:val="0"/>
    </w:pPr>
    <w:rPr>
      <w:rFonts w:asciiTheme="majorHAnsi" w:hAnsiTheme="majorHAnsi"/>
      <w:b/>
      <w:sz w:val="64"/>
      <w:szCs w:val="44"/>
    </w:rPr>
  </w:style>
  <w:style w:type="paragraph" w:styleId="Heading2">
    <w:name w:val="heading 2"/>
    <w:basedOn w:val="Normal"/>
    <w:next w:val="Normal"/>
    <w:link w:val="Heading2Char"/>
    <w:uiPriority w:val="2"/>
    <w:qFormat/>
    <w:rsid w:val="00994E3D"/>
    <w:pPr>
      <w:keepNext/>
      <w:keepLines/>
      <w:numPr>
        <w:ilvl w:val="1"/>
        <w:numId w:val="17"/>
      </w:numPr>
      <w:spacing w:before="360"/>
      <w:contextualSpacing/>
      <w:outlineLvl w:val="1"/>
    </w:pPr>
    <w:rPr>
      <w:rFonts w:asciiTheme="majorHAnsi" w:hAnsiTheme="majorHAnsi"/>
      <w:b/>
      <w:sz w:val="28"/>
      <w:szCs w:val="44"/>
    </w:rPr>
  </w:style>
  <w:style w:type="paragraph" w:styleId="Heading3">
    <w:name w:val="heading 3"/>
    <w:basedOn w:val="Normal"/>
    <w:next w:val="Normal"/>
    <w:uiPriority w:val="2"/>
    <w:qFormat/>
    <w:rsid w:val="00350852"/>
    <w:pPr>
      <w:keepNext/>
      <w:keepLines/>
      <w:numPr>
        <w:ilvl w:val="2"/>
        <w:numId w:val="17"/>
      </w:numPr>
      <w:spacing w:before="240"/>
      <w:contextualSpacing/>
      <w:outlineLvl w:val="2"/>
    </w:pPr>
    <w:rPr>
      <w:rFonts w:asciiTheme="majorHAnsi" w:hAnsiTheme="majorHAnsi"/>
      <w:b/>
      <w:color w:val="004200" w:themeColor="accent1"/>
      <w:sz w:val="24"/>
      <w:szCs w:val="28"/>
    </w:rPr>
  </w:style>
  <w:style w:type="paragraph" w:styleId="Heading4">
    <w:name w:val="heading 4"/>
    <w:basedOn w:val="Normal"/>
    <w:next w:val="Normal"/>
    <w:uiPriority w:val="2"/>
    <w:rsid w:val="00EB13A7"/>
    <w:pPr>
      <w:keepNext/>
      <w:keepLines/>
      <w:numPr>
        <w:ilvl w:val="3"/>
        <w:numId w:val="17"/>
      </w:numPr>
      <w:spacing w:before="240"/>
      <w:contextualSpacing/>
      <w:outlineLvl w:val="3"/>
    </w:pPr>
    <w:rPr>
      <w:color w:val="636466" w:themeColor="accent4"/>
    </w:rPr>
  </w:style>
  <w:style w:type="paragraph" w:styleId="Heading5">
    <w:name w:val="heading 5"/>
    <w:basedOn w:val="Normal"/>
    <w:next w:val="Normal"/>
    <w:link w:val="Heading5Char"/>
    <w:semiHidden/>
    <w:rsid w:val="002672F1"/>
    <w:pPr>
      <w:keepNext/>
      <w:numPr>
        <w:ilvl w:val="4"/>
        <w:numId w:val="17"/>
      </w:numPr>
      <w:spacing w:before="240"/>
      <w:contextualSpacing/>
      <w:outlineLvl w:val="4"/>
    </w:pPr>
    <w:rPr>
      <w:b/>
      <w:szCs w:val="22"/>
    </w:rPr>
  </w:style>
  <w:style w:type="paragraph" w:styleId="Heading6">
    <w:name w:val="heading 6"/>
    <w:basedOn w:val="Normal"/>
    <w:next w:val="Normal"/>
    <w:link w:val="Heading6Char"/>
    <w:semiHidden/>
    <w:rsid w:val="002672F1"/>
    <w:pPr>
      <w:keepNext/>
      <w:numPr>
        <w:ilvl w:val="5"/>
        <w:numId w:val="17"/>
      </w:numPr>
      <w:spacing w:before="240"/>
      <w:ind w:left="1152"/>
      <w:contextualSpacing/>
      <w:outlineLvl w:val="5"/>
    </w:pPr>
    <w:rPr>
      <w:b/>
      <w:sz w:val="20"/>
      <w:szCs w:val="22"/>
    </w:rPr>
  </w:style>
  <w:style w:type="paragraph" w:styleId="Heading7">
    <w:name w:val="heading 7"/>
    <w:basedOn w:val="Normal"/>
    <w:next w:val="Normal"/>
    <w:link w:val="Heading7Char"/>
    <w:semiHidden/>
    <w:unhideWhenUsed/>
    <w:qFormat/>
    <w:rsid w:val="006E4F88"/>
    <w:pPr>
      <w:keepNext/>
      <w:keepLines/>
      <w:numPr>
        <w:ilvl w:val="6"/>
        <w:numId w:val="17"/>
      </w:numPr>
      <w:spacing w:before="40"/>
      <w:outlineLvl w:val="6"/>
    </w:pPr>
    <w:rPr>
      <w:rFonts w:asciiTheme="majorHAnsi" w:eastAsiaTheme="majorEastAsia" w:hAnsiTheme="majorHAnsi" w:cstheme="majorBidi"/>
      <w:i/>
      <w:iCs/>
      <w:color w:val="002000" w:themeColor="accent1" w:themeShade="7F"/>
    </w:rPr>
  </w:style>
  <w:style w:type="paragraph" w:styleId="Heading8">
    <w:name w:val="heading 8"/>
    <w:basedOn w:val="Normal"/>
    <w:next w:val="Normal"/>
    <w:link w:val="Heading8Char"/>
    <w:semiHidden/>
    <w:unhideWhenUsed/>
    <w:qFormat/>
    <w:rsid w:val="006E4F88"/>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E4F88"/>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219D"/>
    <w:pPr>
      <w:tabs>
        <w:tab w:val="right" w:pos="10319"/>
      </w:tabs>
    </w:pPr>
    <w:rPr>
      <w:b/>
      <w:sz w:val="16"/>
    </w:rPr>
  </w:style>
  <w:style w:type="paragraph" w:styleId="Title">
    <w:name w:val="Title"/>
    <w:basedOn w:val="Normal"/>
    <w:next w:val="Subtitle"/>
    <w:rsid w:val="001D6F9E"/>
    <w:pPr>
      <w:spacing w:before="480" w:after="360" w:line="204" w:lineRule="auto"/>
      <w:contextualSpacing/>
      <w:outlineLvl w:val="0"/>
    </w:pPr>
    <w:rPr>
      <w:rFonts w:ascii="Arial Bold" w:hAnsi="Arial Bold"/>
      <w:b/>
      <w:bCs/>
      <w:color w:val="FFFFFF" w:themeColor="background1"/>
      <w:kern w:val="28"/>
      <w:sz w:val="84"/>
      <w:szCs w:val="32"/>
    </w:rPr>
  </w:style>
  <w:style w:type="paragraph" w:styleId="ListBullet">
    <w:name w:val="List Bullet"/>
    <w:basedOn w:val="Normal"/>
    <w:link w:val="ListBulletChar"/>
    <w:qFormat/>
    <w:rsid w:val="00D91466"/>
    <w:pPr>
      <w:numPr>
        <w:numId w:val="1"/>
      </w:numPr>
      <w:spacing w:before="60" w:after="60"/>
    </w:pPr>
  </w:style>
  <w:style w:type="paragraph" w:styleId="Footer">
    <w:name w:val="footer"/>
    <w:basedOn w:val="Header"/>
    <w:link w:val="FooterChar"/>
    <w:uiPriority w:val="99"/>
    <w:rsid w:val="00733251"/>
    <w:pPr>
      <w:tabs>
        <w:tab w:val="right" w:pos="9639"/>
      </w:tabs>
    </w:pPr>
  </w:style>
  <w:style w:type="character" w:styleId="Hyperlink">
    <w:name w:val="Hyperlink"/>
    <w:basedOn w:val="DefaultParagraphFont"/>
    <w:uiPriority w:val="99"/>
    <w:rsid w:val="002A4C1B"/>
    <w:rPr>
      <w:color w:val="0000FF"/>
      <w:u w:val="single"/>
    </w:r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97C88"/>
    <w:pPr>
      <w:ind w:left="142" w:hanging="142"/>
    </w:p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rsid w:val="00843390"/>
    <w:rPr>
      <w:vertAlign w:val="superscript"/>
    </w:rPr>
  </w:style>
  <w:style w:type="paragraph" w:styleId="ListParagraph">
    <w:name w:val="List Paragraph"/>
    <w:basedOn w:val="Normal"/>
    <w:uiPriority w:val="34"/>
    <w:qFormat/>
    <w:rsid w:val="00010D84"/>
    <w:pPr>
      <w:ind w:left="720"/>
    </w:pPr>
  </w:style>
  <w:style w:type="character" w:customStyle="1" w:styleId="Heading2Char">
    <w:name w:val="Heading 2 Char"/>
    <w:basedOn w:val="DefaultParagraphFont"/>
    <w:link w:val="Heading2"/>
    <w:uiPriority w:val="2"/>
    <w:rsid w:val="00994E3D"/>
    <w:rPr>
      <w:rFonts w:asciiTheme="majorHAnsi" w:hAnsiTheme="majorHAnsi"/>
      <w:b/>
      <w:sz w:val="28"/>
      <w:szCs w:val="44"/>
    </w:rPr>
  </w:style>
  <w:style w:type="paragraph" w:styleId="TOC1">
    <w:name w:val="toc 1"/>
    <w:basedOn w:val="Normal"/>
    <w:next w:val="Normal"/>
    <w:autoRedefine/>
    <w:uiPriority w:val="39"/>
    <w:rsid w:val="004A249A"/>
    <w:pPr>
      <w:tabs>
        <w:tab w:val="right" w:leader="dot" w:pos="9356"/>
      </w:tabs>
      <w:spacing w:before="240" w:after="60"/>
    </w:pPr>
    <w:rPr>
      <w:noProof/>
    </w:rPr>
  </w:style>
  <w:style w:type="paragraph" w:styleId="TOC2">
    <w:name w:val="toc 2"/>
    <w:basedOn w:val="Normal"/>
    <w:next w:val="Normal"/>
    <w:autoRedefine/>
    <w:uiPriority w:val="39"/>
    <w:rsid w:val="00D94A84"/>
    <w:pPr>
      <w:tabs>
        <w:tab w:val="left" w:pos="660"/>
        <w:tab w:val="right" w:leader="dot" w:pos="9356"/>
      </w:tabs>
      <w:spacing w:before="60" w:after="60"/>
      <w:ind w:right="90"/>
    </w:pPr>
    <w:rPr>
      <w:noProof/>
    </w:rPr>
  </w:style>
  <w:style w:type="paragraph" w:customStyle="1" w:styleId="TableText">
    <w:name w:val="Table Text"/>
    <w:basedOn w:val="Normal"/>
    <w:uiPriority w:val="99"/>
    <w:qFormat/>
    <w:rsid w:val="009005A6"/>
    <w:pPr>
      <w:spacing w:before="80" w:after="80" w:line="240" w:lineRule="atLeast"/>
    </w:pPr>
    <w:rPr>
      <w:sz w:val="20"/>
    </w:rPr>
  </w:style>
  <w:style w:type="character" w:styleId="Emphasis">
    <w:name w:val="Emphasis"/>
    <w:basedOn w:val="DefaultParagraphFont"/>
    <w:uiPriority w:val="20"/>
    <w:qForma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A00"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uiPriority w:val="39"/>
    <w:qFormat/>
    <w:rsid w:val="002256A8"/>
    <w:pPr>
      <w:outlineLvl w:val="9"/>
    </w:pPr>
    <w:rPr>
      <w:rFonts w:eastAsiaTheme="majorEastAsia" w:cstheme="majorBidi"/>
      <w:bCs/>
      <w:szCs w:val="28"/>
    </w:rPr>
  </w:style>
  <w:style w:type="paragraph" w:customStyle="1" w:styleId="SourceNotesText">
    <w:name w:val="Source/Notes Text"/>
    <w:basedOn w:val="Normal"/>
    <w:uiPriority w:val="9"/>
    <w:qFormat/>
    <w:rsid w:val="007802BE"/>
    <w:rPr>
      <w:sz w:val="18"/>
      <w:szCs w:val="16"/>
    </w:rPr>
  </w:style>
  <w:style w:type="character" w:styleId="Strong">
    <w:name w:val="Strong"/>
    <w:basedOn w:val="DefaultParagraphFont"/>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uiPriority w:val="1"/>
    <w:qFormat/>
    <w:rsid w:val="00406578"/>
    <w:rPr>
      <w:szCs w:val="24"/>
    </w:rPr>
  </w:style>
  <w:style w:type="paragraph" w:styleId="EndnoteText">
    <w:name w:val="endnote text"/>
    <w:basedOn w:val="Normal"/>
    <w:link w:val="EndnoteTextChar"/>
    <w:semiHidden/>
    <w:rsid w:val="00EE265C"/>
    <w:rPr>
      <w:sz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Versionanddate"/>
    <w:link w:val="SubtitleChar"/>
    <w:rsid w:val="00E15D40"/>
    <w:pPr>
      <w:numPr>
        <w:ilvl w:val="1"/>
      </w:numPr>
      <w:spacing w:before="480" w:after="360"/>
    </w:pPr>
    <w:rPr>
      <w:rFonts w:asciiTheme="majorHAnsi" w:eastAsiaTheme="majorEastAsia" w:hAnsiTheme="majorHAnsi" w:cstheme="majorBidi"/>
      <w:b/>
      <w:iCs/>
      <w:color w:val="FFFFFF" w:themeColor="background1"/>
      <w:sz w:val="40"/>
    </w:rPr>
  </w:style>
  <w:style w:type="character" w:customStyle="1" w:styleId="SubtitleChar">
    <w:name w:val="Subtitle Char"/>
    <w:basedOn w:val="DefaultParagraphFont"/>
    <w:link w:val="Subtitle"/>
    <w:rsid w:val="00E15D40"/>
    <w:rPr>
      <w:rFonts w:asciiTheme="majorHAnsi" w:eastAsiaTheme="majorEastAsia" w:hAnsiTheme="majorHAnsi" w:cstheme="majorBidi"/>
      <w:b/>
      <w:iCs/>
      <w:color w:val="FFFFFF" w:themeColor="background1"/>
      <w:sz w:val="40"/>
      <w:szCs w:val="24"/>
    </w:rPr>
  </w:style>
  <w:style w:type="paragraph" w:customStyle="1" w:styleId="TableHeading">
    <w:name w:val="Table Heading"/>
    <w:basedOn w:val="Normal"/>
    <w:next w:val="TableText"/>
    <w:uiPriority w:val="99"/>
    <w:rsid w:val="00835FC9"/>
    <w:pPr>
      <w:keepNext/>
      <w:keepLines/>
      <w:spacing w:before="360"/>
      <w:contextualSpacing/>
    </w:pPr>
    <w:rPr>
      <w:b/>
    </w:rPr>
  </w:style>
  <w:style w:type="paragraph" w:customStyle="1" w:styleId="FigureHeading">
    <w:name w:val="Figure Heading"/>
    <w:basedOn w:val="Normal"/>
    <w:next w:val="Normal"/>
    <w:uiPriority w:val="99"/>
    <w:qFormat/>
    <w:rsid w:val="00E74A73"/>
    <w:pPr>
      <w:keepNext/>
      <w:keepLines/>
      <w:numPr>
        <w:numId w:val="2"/>
      </w:numPr>
      <w:tabs>
        <w:tab w:val="left" w:pos="907"/>
      </w:tabs>
      <w:contextualSpacing/>
    </w:pPr>
  </w:style>
  <w:style w:type="paragraph" w:customStyle="1" w:styleId="FinancialsH1">
    <w:name w:val="Financials H1"/>
    <w:basedOn w:val="Heading1"/>
    <w:next w:val="Normal"/>
    <w:uiPriority w:val="1"/>
    <w:semiHidden/>
    <w:rsid w:val="00010D84"/>
    <w:pPr>
      <w:spacing w:after="360"/>
    </w:pPr>
    <w:rPr>
      <w:color w:val="008A00" w:themeColor="accent2"/>
      <w:sz w:val="44"/>
    </w:rPr>
  </w:style>
  <w:style w:type="paragraph" w:customStyle="1" w:styleId="FinancialsH2">
    <w:name w:val="Financials H2"/>
    <w:basedOn w:val="Heading2"/>
    <w:next w:val="Normal"/>
    <w:uiPriority w:val="1"/>
    <w:semiHidden/>
    <w:rsid w:val="00FC654D"/>
    <w:rPr>
      <w:rFonts w:ascii="Arial Bold" w:hAnsi="Arial Bold"/>
      <w:caps/>
      <w:sz w:val="24"/>
      <w:szCs w:val="24"/>
    </w:rPr>
  </w:style>
  <w:style w:type="paragraph" w:customStyle="1" w:styleId="FinancialsH3">
    <w:name w:val="Financials H3"/>
    <w:basedOn w:val="Heading3"/>
    <w:uiPriority w:val="1"/>
    <w:semiHidden/>
    <w:rsid w:val="00A00568"/>
    <w:rPr>
      <w:szCs w:val="22"/>
      <w:lang w:val="en-GB"/>
    </w:rPr>
  </w:style>
  <w:style w:type="paragraph" w:customStyle="1" w:styleId="FinancialsH4">
    <w:name w:val="Financials H4"/>
    <w:basedOn w:val="Heading4"/>
    <w:uiPriority w:val="1"/>
    <w:semiHidden/>
    <w:rsid w:val="00A00568"/>
    <w:pPr>
      <w:spacing w:before="120"/>
    </w:pPr>
    <w:rPr>
      <w:rFonts w:ascii="Arial Bold" w:hAnsi="Arial Bold"/>
      <w:lang w:val="en-GB"/>
    </w:rPr>
  </w:style>
  <w:style w:type="paragraph" w:customStyle="1" w:styleId="FinancialsH5">
    <w:name w:val="Financials H5"/>
    <w:basedOn w:val="Heading5"/>
    <w:uiPriority w:val="1"/>
    <w:semiHidden/>
    <w:rsid w:val="00A00568"/>
    <w:pPr>
      <w:spacing w:before="120"/>
    </w:pPr>
    <w:rPr>
      <w:bCs/>
      <w:lang w:val="en-GB"/>
    </w:rPr>
  </w:style>
  <w:style w:type="paragraph" w:customStyle="1" w:styleId="FinancialsTableH2">
    <w:name w:val="Financials Table H2"/>
    <w:basedOn w:val="TableText"/>
    <w:uiPriority w:val="1"/>
    <w:semiHidden/>
    <w:rsid w:val="00660951"/>
    <w:pPr>
      <w:spacing w:before="120" w:after="40" w:line="240" w:lineRule="auto"/>
    </w:pPr>
    <w:rPr>
      <w:b/>
      <w:color w:val="008A00" w:themeColor="accent2"/>
    </w:rPr>
  </w:style>
  <w:style w:type="paragraph" w:customStyle="1" w:styleId="FinancialsTableText">
    <w:name w:val="Financials Table Text"/>
    <w:basedOn w:val="TableText"/>
    <w:uiPriority w:val="1"/>
    <w:semiHidden/>
    <w:rsid w:val="00660951"/>
    <w:pPr>
      <w:spacing w:before="40" w:after="40" w:line="240" w:lineRule="auto"/>
    </w:pPr>
  </w:style>
  <w:style w:type="paragraph" w:customStyle="1" w:styleId="FinancialsTableTextIndented">
    <w:name w:val="Financials Table Text Indented"/>
    <w:basedOn w:val="TableText"/>
    <w:uiPriority w:val="1"/>
    <w:semiHidden/>
    <w:rsid w:val="00F3495A"/>
    <w:pPr>
      <w:spacing w:before="40" w:after="40" w:line="240" w:lineRule="auto"/>
      <w:ind w:left="170"/>
    </w:pPr>
    <w:rPr>
      <w:i/>
    </w:rPr>
  </w:style>
  <w:style w:type="paragraph" w:customStyle="1" w:styleId="FinancialsTableH1">
    <w:name w:val="Financials Table H1"/>
    <w:basedOn w:val="TableText"/>
    <w:uiPriority w:val="1"/>
    <w:semiHidden/>
    <w:rsid w:val="007A7D19"/>
    <w:pPr>
      <w:spacing w:before="160" w:after="40" w:line="240" w:lineRule="auto"/>
    </w:pPr>
    <w:rPr>
      <w:rFonts w:ascii="Arial Bold" w:hAnsi="Arial Bold"/>
      <w:b/>
      <w:caps/>
    </w:rPr>
  </w:style>
  <w:style w:type="paragraph" w:customStyle="1" w:styleId="NoParagraphStyle">
    <w:name w:val="[No Paragraph Style]"/>
    <w:rsid w:val="00536880"/>
    <w:pPr>
      <w:autoSpaceDE w:val="0"/>
      <w:autoSpaceDN w:val="0"/>
      <w:adjustRightInd w:val="0"/>
      <w:spacing w:line="288" w:lineRule="auto"/>
      <w:textAlignment w:val="center"/>
    </w:pPr>
    <w:rPr>
      <w:color w:val="000000"/>
      <w:sz w:val="24"/>
      <w:szCs w:val="24"/>
      <w:lang w:val="en-US"/>
    </w:rPr>
  </w:style>
  <w:style w:type="paragraph" w:customStyle="1" w:styleId="AppendixH1">
    <w:name w:val="Appendix H1"/>
    <w:basedOn w:val="FinancialsH1"/>
    <w:uiPriority w:val="1"/>
    <w:semiHidden/>
    <w:rsid w:val="00FC6134"/>
  </w:style>
  <w:style w:type="paragraph" w:customStyle="1" w:styleId="AppendixH2">
    <w:name w:val="Appendix H2"/>
    <w:basedOn w:val="FinancialsH2"/>
    <w:uiPriority w:val="1"/>
    <w:semiHidden/>
    <w:rsid w:val="00FC6134"/>
  </w:style>
  <w:style w:type="character" w:styleId="PageNumber">
    <w:name w:val="page number"/>
    <w:basedOn w:val="DefaultParagraphFont"/>
    <w:semiHidden/>
    <w:unhideWhenUsed/>
    <w:rsid w:val="005F219D"/>
    <w:rPr>
      <w:rFonts w:asciiTheme="minorHAnsi" w:hAnsiTheme="minorHAnsi"/>
      <w:b/>
      <w:color w:val="008A00" w:themeColor="accent2"/>
      <w:sz w:val="16"/>
    </w:rPr>
  </w:style>
  <w:style w:type="paragraph" w:customStyle="1" w:styleId="p1">
    <w:name w:val="p1"/>
    <w:basedOn w:val="Normal"/>
    <w:rsid w:val="00C303D7"/>
    <w:pPr>
      <w:spacing w:after="86"/>
    </w:pPr>
    <w:rPr>
      <w:sz w:val="12"/>
      <w:szCs w:val="12"/>
      <w:lang w:val="en-US" w:eastAsia="en-US"/>
    </w:rPr>
  </w:style>
  <w:style w:type="paragraph" w:customStyle="1" w:styleId="p2">
    <w:name w:val="p2"/>
    <w:basedOn w:val="Normal"/>
    <w:rsid w:val="00C303D7"/>
    <w:rPr>
      <w:color w:val="005100"/>
      <w:sz w:val="12"/>
      <w:szCs w:val="12"/>
      <w:lang w:val="en-US" w:eastAsia="en-US"/>
    </w:rPr>
  </w:style>
  <w:style w:type="paragraph" w:customStyle="1" w:styleId="p3">
    <w:name w:val="p3"/>
    <w:basedOn w:val="Normal"/>
    <w:rsid w:val="00C303D7"/>
    <w:pPr>
      <w:spacing w:after="86"/>
    </w:pPr>
    <w:rPr>
      <w:color w:val="005100"/>
      <w:sz w:val="12"/>
      <w:szCs w:val="12"/>
      <w:lang w:val="en-US" w:eastAsia="en-US"/>
    </w:rPr>
  </w:style>
  <w:style w:type="paragraph" w:customStyle="1" w:styleId="p4">
    <w:name w:val="p4"/>
    <w:basedOn w:val="Normal"/>
    <w:rsid w:val="00C303D7"/>
    <w:rPr>
      <w:sz w:val="12"/>
      <w:szCs w:val="12"/>
      <w:lang w:val="en-US" w:eastAsia="en-US"/>
    </w:rPr>
  </w:style>
  <w:style w:type="character" w:customStyle="1" w:styleId="s2">
    <w:name w:val="s2"/>
    <w:basedOn w:val="DefaultParagraphFont"/>
    <w:rsid w:val="00C303D7"/>
    <w:rPr>
      <w:color w:val="000000"/>
    </w:rPr>
  </w:style>
  <w:style w:type="character" w:customStyle="1" w:styleId="s1">
    <w:name w:val="s1"/>
    <w:basedOn w:val="DefaultParagraphFont"/>
    <w:rsid w:val="00C303D7"/>
  </w:style>
  <w:style w:type="character" w:customStyle="1" w:styleId="apple-converted-space">
    <w:name w:val="apple-converted-space"/>
    <w:basedOn w:val="DefaultParagraphFont"/>
    <w:rsid w:val="00C303D7"/>
  </w:style>
  <w:style w:type="paragraph" w:customStyle="1" w:styleId="Address">
    <w:name w:val="Address"/>
    <w:basedOn w:val="Normal"/>
    <w:uiPriority w:val="1"/>
    <w:qFormat/>
    <w:rsid w:val="00C303D7"/>
    <w:pPr>
      <w:spacing w:line="192" w:lineRule="exact"/>
    </w:pPr>
    <w:rPr>
      <w:b/>
      <w:bCs/>
      <w:color w:val="FFFFFF" w:themeColor="background1"/>
      <w:sz w:val="16"/>
      <w:szCs w:val="16"/>
    </w:rPr>
  </w:style>
  <w:style w:type="paragraph" w:customStyle="1" w:styleId="Act">
    <w:name w:val="Act"/>
    <w:basedOn w:val="Normal"/>
    <w:uiPriority w:val="1"/>
    <w:qFormat/>
    <w:rsid w:val="00E15D40"/>
    <w:rPr>
      <w:i/>
    </w:rPr>
  </w:style>
  <w:style w:type="paragraph" w:customStyle="1" w:styleId="Disclaimer">
    <w:name w:val="Disclaimer"/>
    <w:basedOn w:val="Normal"/>
    <w:uiPriority w:val="1"/>
    <w:qFormat/>
    <w:rsid w:val="00E15D40"/>
    <w:rPr>
      <w:i/>
    </w:rPr>
  </w:style>
  <w:style w:type="paragraph" w:customStyle="1" w:styleId="Organisationname">
    <w:name w:val="Organisation name"/>
    <w:basedOn w:val="CommentSubject"/>
    <w:autoRedefine/>
    <w:uiPriority w:val="1"/>
    <w:qFormat/>
    <w:rsid w:val="00600F10"/>
    <w:pPr>
      <w:spacing w:after="1320" w:line="260" w:lineRule="atLeast"/>
    </w:pPr>
    <w:rPr>
      <w:noProof/>
      <w:color w:val="FFFFFF" w:themeColor="background1"/>
    </w:rPr>
  </w:style>
  <w:style w:type="paragraph" w:styleId="CommentText">
    <w:name w:val="annotation text"/>
    <w:basedOn w:val="Normal"/>
    <w:link w:val="CommentTextChar"/>
    <w:semiHidden/>
    <w:unhideWhenUsed/>
    <w:rsid w:val="00E15D40"/>
    <w:rPr>
      <w:sz w:val="20"/>
    </w:rPr>
  </w:style>
  <w:style w:type="character" w:customStyle="1" w:styleId="CommentTextChar">
    <w:name w:val="Comment Text Char"/>
    <w:basedOn w:val="DefaultParagraphFont"/>
    <w:link w:val="CommentText"/>
    <w:semiHidden/>
    <w:rsid w:val="00E15D40"/>
    <w:rPr>
      <w:rFonts w:ascii="Arial" w:hAnsi="Arial"/>
    </w:rPr>
  </w:style>
  <w:style w:type="paragraph" w:styleId="CommentSubject">
    <w:name w:val="annotation subject"/>
    <w:basedOn w:val="CommentText"/>
    <w:next w:val="CommentText"/>
    <w:link w:val="CommentSubjectChar"/>
    <w:unhideWhenUsed/>
    <w:rsid w:val="00E15D40"/>
    <w:rPr>
      <w:b/>
      <w:bCs/>
    </w:rPr>
  </w:style>
  <w:style w:type="character" w:customStyle="1" w:styleId="CommentSubjectChar">
    <w:name w:val="Comment Subject Char"/>
    <w:basedOn w:val="CommentTextChar"/>
    <w:link w:val="CommentSubject"/>
    <w:rsid w:val="00E15D40"/>
    <w:rPr>
      <w:rFonts w:ascii="Arial" w:hAnsi="Arial"/>
      <w:b/>
      <w:bCs/>
    </w:rPr>
  </w:style>
  <w:style w:type="paragraph" w:customStyle="1" w:styleId="Versionanddate">
    <w:name w:val="Version and date"/>
    <w:basedOn w:val="Subtitle"/>
    <w:uiPriority w:val="1"/>
    <w:qFormat/>
    <w:rsid w:val="00E15D40"/>
    <w:rPr>
      <w:color w:val="7EC352" w:themeColor="accent3"/>
      <w:sz w:val="28"/>
      <w:szCs w:val="28"/>
    </w:rPr>
  </w:style>
  <w:style w:type="paragraph" w:customStyle="1" w:styleId="Report">
    <w:name w:val="Report"/>
    <w:basedOn w:val="Normal"/>
    <w:next w:val="Normal"/>
    <w:uiPriority w:val="1"/>
    <w:qFormat/>
    <w:rsid w:val="002A4C1B"/>
    <w:pPr>
      <w:spacing w:before="4000" w:after="200" w:line="276" w:lineRule="auto"/>
    </w:pPr>
    <w:rPr>
      <w:b/>
    </w:rPr>
  </w:style>
  <w:style w:type="paragraph" w:styleId="NormalIndent">
    <w:name w:val="Normal Indent"/>
    <w:basedOn w:val="Normal"/>
    <w:unhideWhenUsed/>
    <w:rsid w:val="002A4C1B"/>
    <w:pPr>
      <w:ind w:left="720"/>
    </w:pPr>
  </w:style>
  <w:style w:type="paragraph" w:styleId="TOC3">
    <w:name w:val="toc 3"/>
    <w:basedOn w:val="Normal"/>
    <w:next w:val="Normal"/>
    <w:autoRedefine/>
    <w:uiPriority w:val="39"/>
    <w:unhideWhenUsed/>
    <w:rsid w:val="00600F10"/>
    <w:pPr>
      <w:spacing w:after="100"/>
      <w:ind w:left="440"/>
    </w:pPr>
  </w:style>
  <w:style w:type="paragraph" w:customStyle="1" w:styleId="PwCNormal">
    <w:name w:val="PwC Normal"/>
    <w:basedOn w:val="Normal"/>
    <w:link w:val="PwCNormalChar"/>
    <w:rsid w:val="00CD0927"/>
    <w:pPr>
      <w:numPr>
        <w:numId w:val="3"/>
      </w:numPr>
      <w:snapToGrid w:val="0"/>
      <w:spacing w:after="240"/>
    </w:pPr>
    <w:rPr>
      <w:rFonts w:ascii="Georgia" w:hAnsi="Georgia"/>
      <w:sz w:val="20"/>
      <w:lang w:eastAsia="en-US"/>
    </w:rPr>
  </w:style>
  <w:style w:type="paragraph" w:customStyle="1" w:styleId="Indent1">
    <w:name w:val="Indent 1"/>
    <w:basedOn w:val="Normal"/>
    <w:rsid w:val="00CD0927"/>
    <w:pPr>
      <w:numPr>
        <w:ilvl w:val="1"/>
        <w:numId w:val="3"/>
      </w:numPr>
      <w:snapToGrid w:val="0"/>
      <w:spacing w:before="100" w:after="100"/>
    </w:pPr>
    <w:rPr>
      <w:rFonts w:ascii="Georgia" w:hAnsi="Georgia"/>
      <w:sz w:val="20"/>
      <w:lang w:eastAsia="en-US"/>
    </w:rPr>
  </w:style>
  <w:style w:type="paragraph" w:customStyle="1" w:styleId="Indent2">
    <w:name w:val="Indent 2"/>
    <w:basedOn w:val="Indent1"/>
    <w:rsid w:val="00CD0927"/>
    <w:pPr>
      <w:numPr>
        <w:ilvl w:val="2"/>
      </w:numPr>
    </w:pPr>
  </w:style>
  <w:style w:type="paragraph" w:customStyle="1" w:styleId="Indent3">
    <w:name w:val="Indent 3"/>
    <w:basedOn w:val="Indent2"/>
    <w:rsid w:val="00CD0927"/>
    <w:pPr>
      <w:numPr>
        <w:ilvl w:val="3"/>
      </w:numPr>
    </w:pPr>
  </w:style>
  <w:style w:type="paragraph" w:customStyle="1" w:styleId="Indent4">
    <w:name w:val="Indent 4"/>
    <w:basedOn w:val="Indent3"/>
    <w:rsid w:val="00CD0927"/>
    <w:pPr>
      <w:numPr>
        <w:ilvl w:val="4"/>
      </w:numPr>
    </w:pPr>
  </w:style>
  <w:style w:type="character" w:customStyle="1" w:styleId="PwCNormalChar">
    <w:name w:val="PwC Normal Char"/>
    <w:basedOn w:val="DefaultParagraphFont"/>
    <w:link w:val="PwCNormal"/>
    <w:locked/>
    <w:rsid w:val="00CD0927"/>
    <w:rPr>
      <w:rFonts w:ascii="Georgia" w:hAnsi="Georgia" w:cs="Arial"/>
      <w:lang w:eastAsia="en-US"/>
    </w:rPr>
  </w:style>
  <w:style w:type="character" w:customStyle="1" w:styleId="TablesheadingsChar">
    <w:name w:val="Tables headings Char"/>
    <w:basedOn w:val="DefaultParagraphFont"/>
    <w:link w:val="Tablesheadings"/>
    <w:locked/>
    <w:rsid w:val="00CD0927"/>
    <w:rPr>
      <w:rFonts w:asciiTheme="majorHAnsi" w:hAnsiTheme="majorHAnsi" w:cs="Arial"/>
      <w:b/>
      <w:bCs/>
      <w:color w:val="333132" w:themeColor="text2"/>
      <w:lang w:val="en-GB" w:eastAsia="en-US"/>
    </w:rPr>
  </w:style>
  <w:style w:type="paragraph" w:customStyle="1" w:styleId="Tablesheadings">
    <w:name w:val="Tables headings"/>
    <w:basedOn w:val="ListBullet"/>
    <w:link w:val="TablesheadingsChar"/>
    <w:qFormat/>
    <w:rsid w:val="00CD0927"/>
    <w:pPr>
      <w:numPr>
        <w:numId w:val="0"/>
      </w:numPr>
      <w:tabs>
        <w:tab w:val="left" w:pos="1418"/>
      </w:tabs>
      <w:snapToGrid w:val="0"/>
      <w:spacing w:before="0" w:after="0"/>
    </w:pPr>
    <w:rPr>
      <w:rFonts w:asciiTheme="majorHAnsi" w:hAnsiTheme="majorHAnsi"/>
      <w:b/>
      <w:bCs/>
      <w:color w:val="333132" w:themeColor="text2"/>
      <w:sz w:val="20"/>
      <w:lang w:val="en-GB" w:eastAsia="en-US"/>
    </w:rPr>
  </w:style>
  <w:style w:type="paragraph" w:customStyle="1" w:styleId="Indent5">
    <w:name w:val="Indent 5"/>
    <w:basedOn w:val="Indent4"/>
    <w:rsid w:val="00CD0927"/>
    <w:pPr>
      <w:numPr>
        <w:ilvl w:val="5"/>
      </w:numPr>
    </w:pPr>
  </w:style>
  <w:style w:type="paragraph" w:customStyle="1" w:styleId="Indent6">
    <w:name w:val="Indent 6"/>
    <w:basedOn w:val="Indent5"/>
    <w:rsid w:val="00CD0927"/>
    <w:pPr>
      <w:numPr>
        <w:ilvl w:val="6"/>
      </w:numPr>
    </w:pPr>
  </w:style>
  <w:style w:type="paragraph" w:customStyle="1" w:styleId="Indent7">
    <w:name w:val="Indent 7"/>
    <w:basedOn w:val="Indent6"/>
    <w:rsid w:val="00CD0927"/>
    <w:pPr>
      <w:numPr>
        <w:ilvl w:val="7"/>
      </w:numPr>
    </w:pPr>
  </w:style>
  <w:style w:type="paragraph" w:customStyle="1" w:styleId="Indent8">
    <w:name w:val="Indent 8"/>
    <w:basedOn w:val="Indent7"/>
    <w:rsid w:val="00CD0927"/>
    <w:pPr>
      <w:numPr>
        <w:ilvl w:val="8"/>
      </w:numPr>
    </w:pPr>
  </w:style>
  <w:style w:type="character" w:styleId="CommentReference">
    <w:name w:val="annotation reference"/>
    <w:basedOn w:val="DefaultParagraphFont"/>
    <w:semiHidden/>
    <w:unhideWhenUsed/>
    <w:rsid w:val="00CD0927"/>
    <w:rPr>
      <w:rFonts w:ascii="Georgia" w:hAnsi="Georgia" w:hint="default"/>
      <w:sz w:val="16"/>
      <w:szCs w:val="16"/>
    </w:rPr>
  </w:style>
  <w:style w:type="paragraph" w:customStyle="1" w:styleId="PrefaceTitle">
    <w:name w:val="Preface Title"/>
    <w:basedOn w:val="Heading2"/>
    <w:next w:val="PwCNormal"/>
    <w:rsid w:val="009C58FD"/>
    <w:pPr>
      <w:snapToGrid w:val="0"/>
      <w:spacing w:before="240" w:after="40"/>
      <w:contextualSpacing w:val="0"/>
    </w:pPr>
    <w:rPr>
      <w:bCs/>
      <w:i/>
      <w:iCs/>
      <w:color w:val="333132" w:themeColor="text2"/>
      <w:sz w:val="32"/>
      <w:szCs w:val="36"/>
      <w:lang w:eastAsia="en-US"/>
    </w:rPr>
  </w:style>
  <w:style w:type="table" w:customStyle="1" w:styleId="Tables-APBase">
    <w:name w:val="Tables - AP Base"/>
    <w:basedOn w:val="TableNormal"/>
    <w:rsid w:val="009C58FD"/>
    <w:rPr>
      <w:rFonts w:ascii="Georgia" w:hAnsi="Georgia"/>
    </w:rPr>
    <w:tblPr>
      <w:tblStyleRowBandSize w:val="1"/>
      <w:tblStyleColBandSize w:val="1"/>
      <w:tblInd w:w="0" w:type="nil"/>
      <w:tblBorders>
        <w:top w:val="single" w:sz="4" w:space="0" w:color="FFFFFF"/>
        <w:left w:val="single" w:sz="4" w:space="0" w:color="FFFFFF"/>
        <w:bottom w:val="single" w:sz="6" w:space="0" w:color="333132" w:themeColor="text2"/>
        <w:right w:val="single" w:sz="4" w:space="0" w:color="FFFFFF"/>
        <w:insideH w:val="dotted" w:sz="8" w:space="0" w:color="333132" w:themeColor="text2"/>
        <w:insideV w:val="single" w:sz="4" w:space="0" w:color="FFFFFF"/>
      </w:tblBorders>
    </w:tblPr>
    <w:tblStylePr w:type="firstRow">
      <w:pPr>
        <w:jc w:val="center"/>
      </w:pPr>
      <w:rPr>
        <w:rFonts w:ascii="Georgia" w:hAnsi="Georgia" w:hint="default"/>
        <w:b w:val="0"/>
        <w:color w:val="auto"/>
      </w:rPr>
      <w:tblPr/>
      <w:tcPr>
        <w:tcBorders>
          <w:top w:val="single" w:sz="4" w:space="0" w:color="333132" w:themeColor="text2"/>
          <w:bottom w:val="single" w:sz="4" w:space="0" w:color="333132" w:themeColor="text2"/>
        </w:tcBorders>
      </w:tcPr>
    </w:tblStylePr>
    <w:tblStylePr w:type="lastRow">
      <w:rPr>
        <w:color w:val="auto"/>
      </w:rPr>
      <w:tblPr/>
      <w:tcPr>
        <w:tcBorders>
          <w:top w:val="single" w:sz="4" w:space="0" w:color="333132" w:themeColor="text2"/>
        </w:tcBorders>
      </w:tcPr>
    </w:tblStylePr>
    <w:tblStylePr w:type="nwCell">
      <w:pPr>
        <w:jc w:val="left"/>
      </w:pPr>
      <w:tblPr/>
      <w:tcPr>
        <w:vAlign w:val="bottom"/>
      </w:tcPr>
    </w:tblStylePr>
  </w:style>
  <w:style w:type="paragraph" w:styleId="BodyText">
    <w:name w:val="Body Text"/>
    <w:basedOn w:val="Normal"/>
    <w:link w:val="BodyTextChar"/>
    <w:semiHidden/>
    <w:unhideWhenUsed/>
    <w:rsid w:val="00162AE0"/>
    <w:pPr>
      <w:snapToGrid w:val="0"/>
      <w:spacing w:after="240"/>
    </w:pPr>
    <w:rPr>
      <w:rFonts w:ascii="Georgia" w:hAnsi="Georgia"/>
      <w:sz w:val="20"/>
      <w:lang w:eastAsia="en-US"/>
    </w:rPr>
  </w:style>
  <w:style w:type="character" w:customStyle="1" w:styleId="BodyTextChar">
    <w:name w:val="Body Text Char"/>
    <w:basedOn w:val="DefaultParagraphFont"/>
    <w:link w:val="BodyText"/>
    <w:semiHidden/>
    <w:rsid w:val="00162AE0"/>
    <w:rPr>
      <w:rFonts w:ascii="Georgia" w:hAnsi="Georgia" w:cs="Arial"/>
      <w:lang w:eastAsia="en-US"/>
    </w:rPr>
  </w:style>
  <w:style w:type="character" w:customStyle="1" w:styleId="ListBulletChar">
    <w:name w:val="List Bullet Char"/>
    <w:basedOn w:val="DefaultParagraphFont"/>
    <w:link w:val="ListBullet"/>
    <w:locked/>
    <w:rsid w:val="00162AE0"/>
    <w:rPr>
      <w:rFonts w:ascii="Arial" w:hAnsi="Arial"/>
      <w:sz w:val="22"/>
      <w:szCs w:val="24"/>
    </w:rPr>
  </w:style>
  <w:style w:type="paragraph" w:styleId="ListBullet2">
    <w:name w:val="List Bullet 2"/>
    <w:basedOn w:val="Normal"/>
    <w:semiHidden/>
    <w:unhideWhenUsed/>
    <w:qFormat/>
    <w:rsid w:val="00162AE0"/>
    <w:pPr>
      <w:tabs>
        <w:tab w:val="num" w:pos="1134"/>
      </w:tabs>
      <w:snapToGrid w:val="0"/>
      <w:spacing w:after="240"/>
      <w:ind w:left="1134" w:hanging="567"/>
    </w:pPr>
    <w:rPr>
      <w:rFonts w:ascii="Georgia" w:hAnsi="Georgia"/>
      <w:sz w:val="20"/>
      <w:lang w:eastAsia="en-US"/>
    </w:rPr>
  </w:style>
  <w:style w:type="paragraph" w:styleId="ListBullet3">
    <w:name w:val="List Bullet 3"/>
    <w:basedOn w:val="ListBullet2"/>
    <w:semiHidden/>
    <w:unhideWhenUsed/>
    <w:qFormat/>
    <w:rsid w:val="00162AE0"/>
    <w:pPr>
      <w:tabs>
        <w:tab w:val="clear" w:pos="1134"/>
        <w:tab w:val="num" w:pos="1701"/>
      </w:tabs>
      <w:ind w:left="1701"/>
    </w:pPr>
  </w:style>
  <w:style w:type="paragraph" w:styleId="ListBullet4">
    <w:name w:val="List Bullet 4"/>
    <w:basedOn w:val="ListBullet3"/>
    <w:semiHidden/>
    <w:unhideWhenUsed/>
    <w:rsid w:val="00162AE0"/>
    <w:pPr>
      <w:tabs>
        <w:tab w:val="clear" w:pos="1701"/>
        <w:tab w:val="num" w:pos="2268"/>
      </w:tabs>
      <w:ind w:left="2268"/>
    </w:pPr>
  </w:style>
  <w:style w:type="paragraph" w:styleId="ListBullet5">
    <w:name w:val="List Bullet 5"/>
    <w:basedOn w:val="ListBullet4"/>
    <w:semiHidden/>
    <w:unhideWhenUsed/>
    <w:rsid w:val="00162AE0"/>
    <w:pPr>
      <w:tabs>
        <w:tab w:val="clear" w:pos="2268"/>
        <w:tab w:val="num" w:pos="2835"/>
      </w:tabs>
      <w:ind w:left="2835"/>
      <w:contextualSpacing/>
    </w:pPr>
  </w:style>
  <w:style w:type="paragraph" w:customStyle="1" w:styleId="AppendixNumberLong">
    <w:name w:val="Appendix Number (Long)"/>
    <w:basedOn w:val="Heading3"/>
    <w:next w:val="Heading3"/>
    <w:rsid w:val="00162AE0"/>
    <w:pPr>
      <w:numPr>
        <w:ilvl w:val="5"/>
        <w:numId w:val="4"/>
      </w:numPr>
      <w:snapToGrid w:val="0"/>
      <w:spacing w:before="0"/>
      <w:contextualSpacing w:val="0"/>
    </w:pPr>
    <w:rPr>
      <w:rFonts w:ascii="Georgia" w:hAnsi="Georgia"/>
      <w:bCs/>
      <w:color w:val="333132" w:themeColor="text2"/>
      <w:sz w:val="20"/>
      <w:szCs w:val="20"/>
      <w:lang w:eastAsia="en-US"/>
    </w:rPr>
  </w:style>
  <w:style w:type="paragraph" w:customStyle="1" w:styleId="ChapterNumberedList1">
    <w:name w:val="Chapter Numbered List 1"/>
    <w:basedOn w:val="PwCNormal"/>
    <w:rsid w:val="00162AE0"/>
    <w:pPr>
      <w:numPr>
        <w:ilvl w:val="7"/>
        <w:numId w:val="4"/>
      </w:numPr>
      <w:tabs>
        <w:tab w:val="num" w:pos="360"/>
      </w:tabs>
      <w:ind w:left="3969" w:firstLine="0"/>
    </w:pPr>
  </w:style>
  <w:style w:type="paragraph" w:customStyle="1" w:styleId="ChapterNumberedList2">
    <w:name w:val="Chapter Numbered List 2"/>
    <w:basedOn w:val="ChapterNumberedList1"/>
    <w:rsid w:val="00162AE0"/>
    <w:pPr>
      <w:numPr>
        <w:ilvl w:val="8"/>
      </w:numPr>
      <w:tabs>
        <w:tab w:val="num" w:pos="360"/>
        <w:tab w:val="num" w:pos="567"/>
      </w:tabs>
    </w:pPr>
  </w:style>
  <w:style w:type="character" w:customStyle="1" w:styleId="FigureheadingsChar">
    <w:name w:val="Figure headings Char"/>
    <w:basedOn w:val="TablesheadingsChar"/>
    <w:link w:val="Figureheadings"/>
    <w:locked/>
    <w:rsid w:val="00162AE0"/>
    <w:rPr>
      <w:rFonts w:asciiTheme="majorHAnsi" w:hAnsiTheme="majorHAnsi" w:cs="Arial"/>
      <w:b/>
      <w:bCs/>
      <w:color w:val="333132" w:themeColor="text2"/>
      <w:lang w:val="en-GB" w:eastAsia="en-US"/>
    </w:rPr>
  </w:style>
  <w:style w:type="paragraph" w:customStyle="1" w:styleId="Figureheadings">
    <w:name w:val="Figure headings"/>
    <w:basedOn w:val="Tablesheadings"/>
    <w:link w:val="FigureheadingsChar"/>
    <w:qFormat/>
    <w:rsid w:val="00162AE0"/>
  </w:style>
  <w:style w:type="character" w:customStyle="1" w:styleId="FooterChar">
    <w:name w:val="Footer Char"/>
    <w:basedOn w:val="DefaultParagraphFont"/>
    <w:link w:val="Footer"/>
    <w:uiPriority w:val="99"/>
    <w:rsid w:val="00900B6D"/>
    <w:rPr>
      <w:rFonts w:ascii="Arial" w:hAnsi="Arial"/>
      <w:b/>
      <w:sz w:val="16"/>
      <w:szCs w:val="24"/>
    </w:rPr>
  </w:style>
  <w:style w:type="paragraph" w:styleId="ListNumber">
    <w:name w:val="List Number"/>
    <w:basedOn w:val="Normal"/>
    <w:uiPriority w:val="13"/>
    <w:unhideWhenUsed/>
    <w:qFormat/>
    <w:rsid w:val="00EE275B"/>
    <w:pPr>
      <w:numPr>
        <w:numId w:val="8"/>
      </w:numPr>
      <w:snapToGrid w:val="0"/>
      <w:contextualSpacing/>
    </w:pPr>
    <w:rPr>
      <w:rFonts w:ascii="Georgia" w:hAnsi="Georgia"/>
      <w:sz w:val="20"/>
      <w:lang w:eastAsia="en-US"/>
    </w:rPr>
  </w:style>
  <w:style w:type="paragraph" w:styleId="ListNumber2">
    <w:name w:val="List Number 2"/>
    <w:basedOn w:val="ListNumber"/>
    <w:uiPriority w:val="13"/>
    <w:semiHidden/>
    <w:unhideWhenUsed/>
    <w:qFormat/>
    <w:rsid w:val="00EE275B"/>
    <w:pPr>
      <w:numPr>
        <w:ilvl w:val="1"/>
      </w:numPr>
    </w:pPr>
  </w:style>
  <w:style w:type="paragraph" w:styleId="ListNumber3">
    <w:name w:val="List Number 3"/>
    <w:basedOn w:val="ListNumber2"/>
    <w:uiPriority w:val="13"/>
    <w:semiHidden/>
    <w:unhideWhenUsed/>
    <w:qFormat/>
    <w:rsid w:val="00EE275B"/>
    <w:pPr>
      <w:numPr>
        <w:ilvl w:val="2"/>
      </w:numPr>
    </w:pPr>
  </w:style>
  <w:style w:type="paragraph" w:styleId="ListNumber4">
    <w:name w:val="List Number 4"/>
    <w:basedOn w:val="ListNumber3"/>
    <w:uiPriority w:val="13"/>
    <w:semiHidden/>
    <w:unhideWhenUsed/>
    <w:rsid w:val="00EE275B"/>
    <w:pPr>
      <w:numPr>
        <w:ilvl w:val="3"/>
      </w:numPr>
    </w:pPr>
  </w:style>
  <w:style w:type="paragraph" w:styleId="ListNumber5">
    <w:name w:val="List Number 5"/>
    <w:basedOn w:val="ListNumber4"/>
    <w:uiPriority w:val="13"/>
    <w:semiHidden/>
    <w:unhideWhenUsed/>
    <w:rsid w:val="00EE275B"/>
    <w:pPr>
      <w:numPr>
        <w:ilvl w:val="4"/>
      </w:numPr>
    </w:pPr>
  </w:style>
  <w:style w:type="paragraph" w:customStyle="1" w:styleId="Minorheading2">
    <w:name w:val="Minor heading 2"/>
    <w:basedOn w:val="Normal"/>
    <w:next w:val="PwCNormal"/>
    <w:rsid w:val="00EE275B"/>
    <w:pPr>
      <w:keepNext/>
      <w:keepLines/>
      <w:snapToGrid w:val="0"/>
      <w:spacing w:before="240" w:after="40" w:line="240" w:lineRule="atLeast"/>
    </w:pPr>
    <w:rPr>
      <w:rFonts w:asciiTheme="majorHAnsi" w:hAnsiTheme="majorHAnsi"/>
      <w:b/>
      <w:color w:val="333132" w:themeColor="text2"/>
      <w:sz w:val="20"/>
      <w:lang w:eastAsia="en-US"/>
    </w:rPr>
  </w:style>
  <w:style w:type="table" w:styleId="LightShading-Accent1">
    <w:name w:val="Light Shading Accent 1"/>
    <w:basedOn w:val="TableNormal"/>
    <w:uiPriority w:val="60"/>
    <w:semiHidden/>
    <w:unhideWhenUsed/>
    <w:rsid w:val="00E42C18"/>
    <w:rPr>
      <w:color w:val="003100" w:themeColor="accent1" w:themeShade="BF"/>
    </w:rPr>
    <w:tblPr>
      <w:tblStyleRowBandSize w:val="1"/>
      <w:tblStyleColBandSize w:val="1"/>
      <w:tblInd w:w="0" w:type="nil"/>
      <w:tblBorders>
        <w:top w:val="single" w:sz="8" w:space="0" w:color="004200" w:themeColor="accent1"/>
        <w:bottom w:val="single" w:sz="8" w:space="0" w:color="004200" w:themeColor="accent1"/>
      </w:tblBorders>
    </w:tblPr>
    <w:tblStylePr w:type="firstRow">
      <w:pPr>
        <w:spacing w:beforeLines="0" w:before="0" w:beforeAutospacing="0" w:afterLines="0" w:after="0" w:afterAutospacing="0" w:line="240" w:lineRule="auto"/>
      </w:pPr>
      <w:rPr>
        <w:b/>
        <w:bCs/>
      </w:rPr>
      <w:tblPr/>
      <w:tcPr>
        <w:tcBorders>
          <w:top w:val="single" w:sz="8" w:space="0" w:color="004200" w:themeColor="accent1"/>
          <w:left w:val="nil"/>
          <w:bottom w:val="single" w:sz="8" w:space="0" w:color="004200"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4200" w:themeColor="accent1"/>
          <w:left w:val="nil"/>
          <w:bottom w:val="single" w:sz="8" w:space="0" w:color="0042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FF91" w:themeFill="accent1" w:themeFillTint="3F"/>
      </w:tcPr>
    </w:tblStylePr>
    <w:tblStylePr w:type="band1Horz">
      <w:tblPr/>
      <w:tcPr>
        <w:tcBorders>
          <w:left w:val="nil"/>
          <w:right w:val="nil"/>
          <w:insideH w:val="nil"/>
          <w:insideV w:val="nil"/>
        </w:tcBorders>
        <w:shd w:val="clear" w:color="auto" w:fill="91FF91" w:themeFill="accent1" w:themeFillTint="3F"/>
      </w:tcPr>
    </w:tblStylePr>
  </w:style>
  <w:style w:type="character" w:customStyle="1" w:styleId="HeaderChar">
    <w:name w:val="Header Char"/>
    <w:basedOn w:val="DefaultParagraphFont"/>
    <w:link w:val="Header"/>
    <w:uiPriority w:val="99"/>
    <w:rsid w:val="00DD516D"/>
    <w:rPr>
      <w:rFonts w:ascii="Arial" w:hAnsi="Arial"/>
      <w:b/>
      <w:sz w:val="16"/>
      <w:szCs w:val="24"/>
    </w:rPr>
  </w:style>
  <w:style w:type="table" w:customStyle="1" w:styleId="GridTable4-Accent21">
    <w:name w:val="Grid Table 4 - Accent 21"/>
    <w:basedOn w:val="TableNormal"/>
    <w:uiPriority w:val="49"/>
    <w:rsid w:val="00E944A2"/>
    <w:tblPr>
      <w:tblStyleRowBandSize w:val="1"/>
      <w:tblStyleColBandSize w:val="1"/>
      <w:tblBorders>
        <w:top w:val="single" w:sz="4" w:space="0" w:color="1FFF1F" w:themeColor="accent2" w:themeTint="99"/>
        <w:left w:val="single" w:sz="4" w:space="0" w:color="1FFF1F" w:themeColor="accent2" w:themeTint="99"/>
        <w:bottom w:val="single" w:sz="4" w:space="0" w:color="1FFF1F" w:themeColor="accent2" w:themeTint="99"/>
        <w:right w:val="single" w:sz="4" w:space="0" w:color="1FFF1F" w:themeColor="accent2" w:themeTint="99"/>
        <w:insideH w:val="single" w:sz="4" w:space="0" w:color="1FFF1F" w:themeColor="accent2" w:themeTint="99"/>
        <w:insideV w:val="single" w:sz="4" w:space="0" w:color="1FFF1F" w:themeColor="accent2" w:themeTint="99"/>
      </w:tblBorders>
    </w:tblPr>
    <w:tblStylePr w:type="firstRow">
      <w:rPr>
        <w:b/>
        <w:bCs/>
        <w:color w:val="FFFFFF" w:themeColor="background1"/>
      </w:rPr>
      <w:tblPr/>
      <w:tcPr>
        <w:tcBorders>
          <w:top w:val="single" w:sz="4" w:space="0" w:color="008A00" w:themeColor="accent2"/>
          <w:left w:val="single" w:sz="4" w:space="0" w:color="008A00" w:themeColor="accent2"/>
          <w:bottom w:val="single" w:sz="4" w:space="0" w:color="008A00" w:themeColor="accent2"/>
          <w:right w:val="single" w:sz="4" w:space="0" w:color="008A00" w:themeColor="accent2"/>
          <w:insideH w:val="nil"/>
          <w:insideV w:val="nil"/>
        </w:tcBorders>
        <w:shd w:val="clear" w:color="auto" w:fill="008A00" w:themeFill="accent2"/>
      </w:tcPr>
    </w:tblStylePr>
    <w:tblStylePr w:type="lastRow">
      <w:rPr>
        <w:b/>
        <w:bCs/>
      </w:rPr>
      <w:tblPr/>
      <w:tcPr>
        <w:tcBorders>
          <w:top w:val="double" w:sz="4" w:space="0" w:color="008A00" w:themeColor="accent2"/>
        </w:tcBorders>
      </w:tcPr>
    </w:tblStylePr>
    <w:tblStylePr w:type="firstCol">
      <w:rPr>
        <w:b/>
        <w:bCs/>
      </w:rPr>
    </w:tblStylePr>
    <w:tblStylePr w:type="lastCol">
      <w:rPr>
        <w:b/>
        <w:bCs/>
      </w:rPr>
    </w:tblStylePr>
    <w:tblStylePr w:type="band1Vert">
      <w:tblPr/>
      <w:tcPr>
        <w:shd w:val="clear" w:color="auto" w:fill="B4FFB4" w:themeFill="accent2" w:themeFillTint="33"/>
      </w:tcPr>
    </w:tblStylePr>
    <w:tblStylePr w:type="band1Horz">
      <w:tblPr/>
      <w:tcPr>
        <w:shd w:val="clear" w:color="auto" w:fill="B4FFB4" w:themeFill="accent2" w:themeFillTint="33"/>
      </w:tcPr>
    </w:tblStylePr>
  </w:style>
  <w:style w:type="character" w:styleId="LineNumber">
    <w:name w:val="line number"/>
    <w:basedOn w:val="DefaultParagraphFont"/>
    <w:semiHidden/>
    <w:unhideWhenUsed/>
    <w:rsid w:val="009C4441"/>
  </w:style>
  <w:style w:type="paragraph" w:styleId="TableofFigures">
    <w:name w:val="table of figures"/>
    <w:basedOn w:val="Normal"/>
    <w:next w:val="Normal"/>
    <w:uiPriority w:val="99"/>
    <w:unhideWhenUsed/>
    <w:rsid w:val="006F21D0"/>
    <w:pPr>
      <w:snapToGrid w:val="0"/>
    </w:pPr>
    <w:rPr>
      <w:rFonts w:asciiTheme="majorHAnsi" w:hAnsiTheme="majorHAnsi"/>
      <w:sz w:val="20"/>
      <w:lang w:eastAsia="en-US"/>
    </w:rPr>
  </w:style>
  <w:style w:type="character" w:styleId="PlaceholderText">
    <w:name w:val="Placeholder Text"/>
    <w:basedOn w:val="DefaultParagraphFont"/>
    <w:uiPriority w:val="99"/>
    <w:semiHidden/>
    <w:rsid w:val="00D57F91"/>
    <w:rPr>
      <w:color w:val="808080"/>
    </w:rPr>
  </w:style>
  <w:style w:type="numbering" w:customStyle="1" w:styleId="TableNumberdListNormal">
    <w:name w:val="Table Numberd List Normal"/>
    <w:uiPriority w:val="99"/>
    <w:rsid w:val="003D7C5F"/>
    <w:pPr>
      <w:numPr>
        <w:numId w:val="15"/>
      </w:numPr>
    </w:pPr>
  </w:style>
  <w:style w:type="table" w:customStyle="1" w:styleId="PlainTable31">
    <w:name w:val="Plain Table 31"/>
    <w:basedOn w:val="TableNormal"/>
    <w:uiPriority w:val="43"/>
    <w:rsid w:val="00DF57B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7Char">
    <w:name w:val="Heading 7 Char"/>
    <w:basedOn w:val="DefaultParagraphFont"/>
    <w:link w:val="Heading7"/>
    <w:semiHidden/>
    <w:rsid w:val="006E4F88"/>
    <w:rPr>
      <w:rFonts w:asciiTheme="majorHAnsi" w:eastAsiaTheme="majorEastAsia" w:hAnsiTheme="majorHAnsi" w:cstheme="majorBidi"/>
      <w:i/>
      <w:iCs/>
      <w:color w:val="002000" w:themeColor="accent1" w:themeShade="7F"/>
      <w:sz w:val="22"/>
      <w:szCs w:val="24"/>
    </w:rPr>
  </w:style>
  <w:style w:type="character" w:customStyle="1" w:styleId="Heading8Char">
    <w:name w:val="Heading 8 Char"/>
    <w:basedOn w:val="DefaultParagraphFont"/>
    <w:link w:val="Heading8"/>
    <w:semiHidden/>
    <w:rsid w:val="006E4F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E4F88"/>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DF5AA8"/>
    <w:rPr>
      <w:szCs w:val="24"/>
    </w:rPr>
  </w:style>
  <w:style w:type="paragraph" w:styleId="Caption">
    <w:name w:val="caption"/>
    <w:basedOn w:val="Normal"/>
    <w:next w:val="Normal"/>
    <w:unhideWhenUsed/>
    <w:qFormat/>
    <w:rsid w:val="00A56D5D"/>
    <w:pPr>
      <w:spacing w:after="200"/>
    </w:pPr>
    <w:rPr>
      <w:i/>
      <w:iCs/>
      <w:color w:val="333132" w:themeColor="text2"/>
      <w:sz w:val="18"/>
      <w:szCs w:val="18"/>
    </w:rPr>
  </w:style>
  <w:style w:type="paragraph" w:customStyle="1" w:styleId="Heading2-nonumbers">
    <w:name w:val="Heading 2 - no numbers"/>
    <w:basedOn w:val="Heading2"/>
    <w:link w:val="Heading2-nonumbersChar"/>
    <w:uiPriority w:val="1"/>
    <w:qFormat/>
    <w:rsid w:val="00683C93"/>
    <w:pPr>
      <w:numPr>
        <w:ilvl w:val="0"/>
        <w:numId w:val="0"/>
      </w:numPr>
      <w:ind w:left="576" w:hanging="576"/>
    </w:pPr>
  </w:style>
  <w:style w:type="character" w:customStyle="1" w:styleId="Heading2-nonumbersChar">
    <w:name w:val="Heading 2 - no numbers Char"/>
    <w:basedOn w:val="Heading2Char"/>
    <w:link w:val="Heading2-nonumbers"/>
    <w:uiPriority w:val="1"/>
    <w:rsid w:val="00683C93"/>
    <w:rPr>
      <w:rFonts w:asciiTheme="majorHAnsi" w:hAnsiTheme="majorHAnsi"/>
      <w:b/>
      <w:sz w:val="28"/>
      <w:szCs w:val="44"/>
    </w:rPr>
  </w:style>
  <w:style w:type="character" w:styleId="IntenseReference">
    <w:name w:val="Intense Reference"/>
    <w:basedOn w:val="DefaultParagraphFont"/>
    <w:uiPriority w:val="32"/>
    <w:qFormat/>
    <w:rsid w:val="00296E3C"/>
    <w:rPr>
      <w:b/>
      <w:bCs/>
      <w:i/>
      <w:smallCaps/>
      <w:color w:val="008A00" w:themeColor="accent2"/>
      <w:spacing w:val="5"/>
      <w:u w:val="none"/>
    </w:rPr>
  </w:style>
  <w:style w:type="paragraph" w:customStyle="1" w:styleId="TableHeadings3">
    <w:name w:val="Table Headings 3"/>
    <w:basedOn w:val="Tablesheadings"/>
    <w:link w:val="TableHeadings3Char"/>
    <w:uiPriority w:val="1"/>
    <w:qFormat/>
    <w:rsid w:val="006F21D0"/>
  </w:style>
  <w:style w:type="paragraph" w:customStyle="1" w:styleId="Tableoffigures3">
    <w:name w:val="Table of figures 3"/>
    <w:basedOn w:val="Figureheadings"/>
    <w:link w:val="Tableoffigures3Char"/>
    <w:uiPriority w:val="1"/>
    <w:qFormat/>
    <w:rsid w:val="00FD56F8"/>
    <w:pPr>
      <w:keepNext/>
      <w:keepLines/>
    </w:pPr>
  </w:style>
  <w:style w:type="character" w:customStyle="1" w:styleId="TableHeadings3Char">
    <w:name w:val="Table Headings 3 Char"/>
    <w:basedOn w:val="TablesheadingsChar"/>
    <w:link w:val="TableHeadings3"/>
    <w:uiPriority w:val="1"/>
    <w:rsid w:val="006F21D0"/>
    <w:rPr>
      <w:rFonts w:asciiTheme="majorHAnsi" w:hAnsiTheme="majorHAnsi" w:cs="Arial"/>
      <w:b/>
      <w:bCs/>
      <w:color w:val="333132" w:themeColor="text2"/>
      <w:sz w:val="20"/>
      <w:lang w:val="en-GB" w:eastAsia="en-US"/>
    </w:rPr>
  </w:style>
  <w:style w:type="character" w:customStyle="1" w:styleId="Tableoffigures3Char">
    <w:name w:val="Table of figures 3 Char"/>
    <w:basedOn w:val="FigureheadingsChar"/>
    <w:link w:val="Tableoffigures3"/>
    <w:uiPriority w:val="1"/>
    <w:rsid w:val="00FD56F8"/>
    <w:rPr>
      <w:rFonts w:asciiTheme="majorHAnsi" w:hAnsiTheme="majorHAnsi" w:cs="Arial"/>
      <w:b/>
      <w:bCs/>
      <w:color w:val="333132" w:themeColor="text2"/>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iPriority="2" w:unhideWhenUsed="0"/>
    <w:lsdException w:name="heading 5" w:semiHidden="0" w:unhideWhenUsed="0"/>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table of figures" w:uiPriority="99"/>
    <w:lsdException w:name="List Bullet" w:qFormat="1"/>
    <w:lsdException w:name="List Number" w:semiHidden="0" w:uiPriority="13" w:unhideWhenUsed="0" w:qFormat="1"/>
    <w:lsdException w:name="List 4" w:unhideWhenUsed="0"/>
    <w:lsdException w:name="List 5" w:unhideWhenUsed="0"/>
    <w:lsdException w:name="List Bullet 2" w:qFormat="1"/>
    <w:lsdException w:name="List Bullet 3" w:qFormat="1"/>
    <w:lsdException w:name="List Number 2" w:uiPriority="13" w:qFormat="1"/>
    <w:lsdException w:name="List Number 3" w:uiPriority="13" w:qFormat="1"/>
    <w:lsdException w:name="List Number 4" w:uiPriority="13"/>
    <w:lsdException w:name="List Number 5" w:uiPriority="13"/>
    <w:lsdException w:name="Title" w:semiHidden="0" w:unhideWhenUsed="0"/>
    <w:lsdException w:name="Subtitle" w:semiHidden="0" w:unhideWhenUsed="0"/>
    <w:lsdException w:name="Salutation" w:unhideWhenUsed="0"/>
    <w:lsdException w:name="Date" w:unhideWhenUsed="0"/>
    <w:lsdException w:name="Body Text First Indent"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6870AF"/>
    <w:pPr>
      <w:spacing w:after="120"/>
    </w:pPr>
  </w:style>
  <w:style w:type="paragraph" w:styleId="Heading1">
    <w:name w:val="heading 1"/>
    <w:basedOn w:val="Normal"/>
    <w:next w:val="Normal"/>
    <w:uiPriority w:val="2"/>
    <w:qFormat/>
    <w:rsid w:val="00F40C87"/>
    <w:pPr>
      <w:keepNext/>
      <w:keepLines/>
      <w:numPr>
        <w:numId w:val="17"/>
      </w:numPr>
      <w:spacing w:after="1080"/>
      <w:ind w:left="851" w:hanging="851"/>
      <w:contextualSpacing/>
      <w:outlineLvl w:val="0"/>
    </w:pPr>
    <w:rPr>
      <w:rFonts w:asciiTheme="majorHAnsi" w:hAnsiTheme="majorHAnsi"/>
      <w:b/>
      <w:sz w:val="64"/>
      <w:szCs w:val="44"/>
    </w:rPr>
  </w:style>
  <w:style w:type="paragraph" w:styleId="Heading2">
    <w:name w:val="heading 2"/>
    <w:basedOn w:val="Normal"/>
    <w:next w:val="Normal"/>
    <w:link w:val="Heading2Char"/>
    <w:uiPriority w:val="2"/>
    <w:qFormat/>
    <w:rsid w:val="00994E3D"/>
    <w:pPr>
      <w:keepNext/>
      <w:keepLines/>
      <w:numPr>
        <w:ilvl w:val="1"/>
        <w:numId w:val="17"/>
      </w:numPr>
      <w:spacing w:before="360"/>
      <w:contextualSpacing/>
      <w:outlineLvl w:val="1"/>
    </w:pPr>
    <w:rPr>
      <w:rFonts w:asciiTheme="majorHAnsi" w:hAnsiTheme="majorHAnsi"/>
      <w:b/>
      <w:sz w:val="28"/>
      <w:szCs w:val="44"/>
    </w:rPr>
  </w:style>
  <w:style w:type="paragraph" w:styleId="Heading3">
    <w:name w:val="heading 3"/>
    <w:basedOn w:val="Normal"/>
    <w:next w:val="Normal"/>
    <w:uiPriority w:val="2"/>
    <w:qFormat/>
    <w:rsid w:val="00350852"/>
    <w:pPr>
      <w:keepNext/>
      <w:keepLines/>
      <w:numPr>
        <w:ilvl w:val="2"/>
        <w:numId w:val="17"/>
      </w:numPr>
      <w:spacing w:before="240"/>
      <w:contextualSpacing/>
      <w:outlineLvl w:val="2"/>
    </w:pPr>
    <w:rPr>
      <w:rFonts w:asciiTheme="majorHAnsi" w:hAnsiTheme="majorHAnsi"/>
      <w:b/>
      <w:color w:val="004200" w:themeColor="accent1"/>
      <w:sz w:val="24"/>
      <w:szCs w:val="28"/>
    </w:rPr>
  </w:style>
  <w:style w:type="paragraph" w:styleId="Heading4">
    <w:name w:val="heading 4"/>
    <w:basedOn w:val="Normal"/>
    <w:next w:val="Normal"/>
    <w:uiPriority w:val="2"/>
    <w:rsid w:val="00EB13A7"/>
    <w:pPr>
      <w:keepNext/>
      <w:keepLines/>
      <w:numPr>
        <w:ilvl w:val="3"/>
        <w:numId w:val="17"/>
      </w:numPr>
      <w:spacing w:before="240"/>
      <w:contextualSpacing/>
      <w:outlineLvl w:val="3"/>
    </w:pPr>
    <w:rPr>
      <w:color w:val="636466" w:themeColor="accent4"/>
    </w:rPr>
  </w:style>
  <w:style w:type="paragraph" w:styleId="Heading5">
    <w:name w:val="heading 5"/>
    <w:basedOn w:val="Normal"/>
    <w:next w:val="Normal"/>
    <w:link w:val="Heading5Char"/>
    <w:semiHidden/>
    <w:rsid w:val="002672F1"/>
    <w:pPr>
      <w:keepNext/>
      <w:numPr>
        <w:ilvl w:val="4"/>
        <w:numId w:val="17"/>
      </w:numPr>
      <w:spacing w:before="240"/>
      <w:contextualSpacing/>
      <w:outlineLvl w:val="4"/>
    </w:pPr>
    <w:rPr>
      <w:b/>
      <w:szCs w:val="22"/>
    </w:rPr>
  </w:style>
  <w:style w:type="paragraph" w:styleId="Heading6">
    <w:name w:val="heading 6"/>
    <w:basedOn w:val="Normal"/>
    <w:next w:val="Normal"/>
    <w:link w:val="Heading6Char"/>
    <w:semiHidden/>
    <w:rsid w:val="002672F1"/>
    <w:pPr>
      <w:keepNext/>
      <w:numPr>
        <w:ilvl w:val="5"/>
        <w:numId w:val="17"/>
      </w:numPr>
      <w:spacing w:before="240"/>
      <w:ind w:left="1152"/>
      <w:contextualSpacing/>
      <w:outlineLvl w:val="5"/>
    </w:pPr>
    <w:rPr>
      <w:b/>
      <w:sz w:val="20"/>
      <w:szCs w:val="22"/>
    </w:rPr>
  </w:style>
  <w:style w:type="paragraph" w:styleId="Heading7">
    <w:name w:val="heading 7"/>
    <w:basedOn w:val="Normal"/>
    <w:next w:val="Normal"/>
    <w:link w:val="Heading7Char"/>
    <w:semiHidden/>
    <w:unhideWhenUsed/>
    <w:qFormat/>
    <w:rsid w:val="006E4F88"/>
    <w:pPr>
      <w:keepNext/>
      <w:keepLines/>
      <w:numPr>
        <w:ilvl w:val="6"/>
        <w:numId w:val="17"/>
      </w:numPr>
      <w:spacing w:before="40"/>
      <w:outlineLvl w:val="6"/>
    </w:pPr>
    <w:rPr>
      <w:rFonts w:asciiTheme="majorHAnsi" w:eastAsiaTheme="majorEastAsia" w:hAnsiTheme="majorHAnsi" w:cstheme="majorBidi"/>
      <w:i/>
      <w:iCs/>
      <w:color w:val="002000" w:themeColor="accent1" w:themeShade="7F"/>
    </w:rPr>
  </w:style>
  <w:style w:type="paragraph" w:styleId="Heading8">
    <w:name w:val="heading 8"/>
    <w:basedOn w:val="Normal"/>
    <w:next w:val="Normal"/>
    <w:link w:val="Heading8Char"/>
    <w:semiHidden/>
    <w:unhideWhenUsed/>
    <w:qFormat/>
    <w:rsid w:val="006E4F88"/>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E4F88"/>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219D"/>
    <w:pPr>
      <w:tabs>
        <w:tab w:val="right" w:pos="10319"/>
      </w:tabs>
    </w:pPr>
    <w:rPr>
      <w:b/>
      <w:sz w:val="16"/>
    </w:rPr>
  </w:style>
  <w:style w:type="paragraph" w:styleId="Title">
    <w:name w:val="Title"/>
    <w:basedOn w:val="Normal"/>
    <w:next w:val="Subtitle"/>
    <w:rsid w:val="001D6F9E"/>
    <w:pPr>
      <w:spacing w:before="480" w:after="360" w:line="204" w:lineRule="auto"/>
      <w:contextualSpacing/>
      <w:outlineLvl w:val="0"/>
    </w:pPr>
    <w:rPr>
      <w:rFonts w:ascii="Arial Bold" w:hAnsi="Arial Bold"/>
      <w:b/>
      <w:bCs/>
      <w:color w:val="FFFFFF" w:themeColor="background1"/>
      <w:kern w:val="28"/>
      <w:sz w:val="84"/>
      <w:szCs w:val="32"/>
    </w:rPr>
  </w:style>
  <w:style w:type="paragraph" w:styleId="ListBullet">
    <w:name w:val="List Bullet"/>
    <w:basedOn w:val="Normal"/>
    <w:link w:val="ListBulletChar"/>
    <w:qFormat/>
    <w:rsid w:val="00D91466"/>
    <w:pPr>
      <w:numPr>
        <w:numId w:val="1"/>
      </w:numPr>
      <w:spacing w:before="60" w:after="60"/>
    </w:pPr>
  </w:style>
  <w:style w:type="paragraph" w:styleId="Footer">
    <w:name w:val="footer"/>
    <w:basedOn w:val="Header"/>
    <w:link w:val="FooterChar"/>
    <w:uiPriority w:val="99"/>
    <w:rsid w:val="00733251"/>
    <w:pPr>
      <w:tabs>
        <w:tab w:val="right" w:pos="9639"/>
      </w:tabs>
    </w:pPr>
  </w:style>
  <w:style w:type="character" w:styleId="Hyperlink">
    <w:name w:val="Hyperlink"/>
    <w:basedOn w:val="DefaultParagraphFont"/>
    <w:uiPriority w:val="99"/>
    <w:rsid w:val="002A4C1B"/>
    <w:rPr>
      <w:color w:val="0000FF"/>
      <w:u w:val="single"/>
    </w:r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97C88"/>
    <w:pPr>
      <w:ind w:left="142" w:hanging="142"/>
    </w:p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rsid w:val="00843390"/>
    <w:rPr>
      <w:vertAlign w:val="superscript"/>
    </w:rPr>
  </w:style>
  <w:style w:type="paragraph" w:styleId="ListParagraph">
    <w:name w:val="List Paragraph"/>
    <w:basedOn w:val="Normal"/>
    <w:uiPriority w:val="34"/>
    <w:qFormat/>
    <w:rsid w:val="00010D84"/>
    <w:pPr>
      <w:ind w:left="720"/>
    </w:pPr>
  </w:style>
  <w:style w:type="character" w:customStyle="1" w:styleId="Heading2Char">
    <w:name w:val="Heading 2 Char"/>
    <w:basedOn w:val="DefaultParagraphFont"/>
    <w:link w:val="Heading2"/>
    <w:uiPriority w:val="2"/>
    <w:rsid w:val="00994E3D"/>
    <w:rPr>
      <w:rFonts w:asciiTheme="majorHAnsi" w:hAnsiTheme="majorHAnsi"/>
      <w:b/>
      <w:sz w:val="28"/>
      <w:szCs w:val="44"/>
    </w:rPr>
  </w:style>
  <w:style w:type="paragraph" w:styleId="TOC1">
    <w:name w:val="toc 1"/>
    <w:basedOn w:val="Normal"/>
    <w:next w:val="Normal"/>
    <w:autoRedefine/>
    <w:uiPriority w:val="39"/>
    <w:rsid w:val="004A249A"/>
    <w:pPr>
      <w:tabs>
        <w:tab w:val="right" w:leader="dot" w:pos="9356"/>
      </w:tabs>
      <w:spacing w:before="240" w:after="60"/>
    </w:pPr>
    <w:rPr>
      <w:noProof/>
    </w:rPr>
  </w:style>
  <w:style w:type="paragraph" w:styleId="TOC2">
    <w:name w:val="toc 2"/>
    <w:basedOn w:val="Normal"/>
    <w:next w:val="Normal"/>
    <w:autoRedefine/>
    <w:uiPriority w:val="39"/>
    <w:rsid w:val="00D94A84"/>
    <w:pPr>
      <w:tabs>
        <w:tab w:val="left" w:pos="660"/>
        <w:tab w:val="right" w:leader="dot" w:pos="9356"/>
      </w:tabs>
      <w:spacing w:before="60" w:after="60"/>
      <w:ind w:right="90"/>
    </w:pPr>
    <w:rPr>
      <w:noProof/>
    </w:rPr>
  </w:style>
  <w:style w:type="paragraph" w:customStyle="1" w:styleId="TableText">
    <w:name w:val="Table Text"/>
    <w:basedOn w:val="Normal"/>
    <w:uiPriority w:val="99"/>
    <w:qFormat/>
    <w:rsid w:val="009005A6"/>
    <w:pPr>
      <w:spacing w:before="80" w:after="80" w:line="240" w:lineRule="atLeast"/>
    </w:pPr>
    <w:rPr>
      <w:sz w:val="20"/>
    </w:rPr>
  </w:style>
  <w:style w:type="character" w:styleId="Emphasis">
    <w:name w:val="Emphasis"/>
    <w:basedOn w:val="DefaultParagraphFont"/>
    <w:uiPriority w:val="20"/>
    <w:qForma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A00"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uiPriority w:val="39"/>
    <w:qFormat/>
    <w:rsid w:val="002256A8"/>
    <w:pPr>
      <w:outlineLvl w:val="9"/>
    </w:pPr>
    <w:rPr>
      <w:rFonts w:eastAsiaTheme="majorEastAsia" w:cstheme="majorBidi"/>
      <w:bCs/>
      <w:szCs w:val="28"/>
    </w:rPr>
  </w:style>
  <w:style w:type="paragraph" w:customStyle="1" w:styleId="SourceNotesText">
    <w:name w:val="Source/Notes Text"/>
    <w:basedOn w:val="Normal"/>
    <w:uiPriority w:val="9"/>
    <w:qFormat/>
    <w:rsid w:val="007802BE"/>
    <w:rPr>
      <w:sz w:val="18"/>
      <w:szCs w:val="16"/>
    </w:rPr>
  </w:style>
  <w:style w:type="character" w:styleId="Strong">
    <w:name w:val="Strong"/>
    <w:basedOn w:val="DefaultParagraphFont"/>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uiPriority w:val="1"/>
    <w:qFormat/>
    <w:rsid w:val="00406578"/>
    <w:rPr>
      <w:szCs w:val="24"/>
    </w:rPr>
  </w:style>
  <w:style w:type="paragraph" w:styleId="EndnoteText">
    <w:name w:val="endnote text"/>
    <w:basedOn w:val="Normal"/>
    <w:link w:val="EndnoteTextChar"/>
    <w:semiHidden/>
    <w:rsid w:val="00EE265C"/>
    <w:rPr>
      <w:sz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Versionanddate"/>
    <w:link w:val="SubtitleChar"/>
    <w:rsid w:val="00E15D40"/>
    <w:pPr>
      <w:numPr>
        <w:ilvl w:val="1"/>
      </w:numPr>
      <w:spacing w:before="480" w:after="360"/>
    </w:pPr>
    <w:rPr>
      <w:rFonts w:asciiTheme="majorHAnsi" w:eastAsiaTheme="majorEastAsia" w:hAnsiTheme="majorHAnsi" w:cstheme="majorBidi"/>
      <w:b/>
      <w:iCs/>
      <w:color w:val="FFFFFF" w:themeColor="background1"/>
      <w:sz w:val="40"/>
    </w:rPr>
  </w:style>
  <w:style w:type="character" w:customStyle="1" w:styleId="SubtitleChar">
    <w:name w:val="Subtitle Char"/>
    <w:basedOn w:val="DefaultParagraphFont"/>
    <w:link w:val="Subtitle"/>
    <w:rsid w:val="00E15D40"/>
    <w:rPr>
      <w:rFonts w:asciiTheme="majorHAnsi" w:eastAsiaTheme="majorEastAsia" w:hAnsiTheme="majorHAnsi" w:cstheme="majorBidi"/>
      <w:b/>
      <w:iCs/>
      <w:color w:val="FFFFFF" w:themeColor="background1"/>
      <w:sz w:val="40"/>
      <w:szCs w:val="24"/>
    </w:rPr>
  </w:style>
  <w:style w:type="paragraph" w:customStyle="1" w:styleId="TableHeading">
    <w:name w:val="Table Heading"/>
    <w:basedOn w:val="Normal"/>
    <w:next w:val="TableText"/>
    <w:uiPriority w:val="99"/>
    <w:rsid w:val="00835FC9"/>
    <w:pPr>
      <w:keepNext/>
      <w:keepLines/>
      <w:spacing w:before="360"/>
      <w:contextualSpacing/>
    </w:pPr>
    <w:rPr>
      <w:b/>
    </w:rPr>
  </w:style>
  <w:style w:type="paragraph" w:customStyle="1" w:styleId="FigureHeading">
    <w:name w:val="Figure Heading"/>
    <w:basedOn w:val="Normal"/>
    <w:next w:val="Normal"/>
    <w:uiPriority w:val="99"/>
    <w:qFormat/>
    <w:rsid w:val="00E74A73"/>
    <w:pPr>
      <w:keepNext/>
      <w:keepLines/>
      <w:numPr>
        <w:numId w:val="2"/>
      </w:numPr>
      <w:tabs>
        <w:tab w:val="left" w:pos="907"/>
      </w:tabs>
      <w:contextualSpacing/>
    </w:pPr>
  </w:style>
  <w:style w:type="paragraph" w:customStyle="1" w:styleId="FinancialsH1">
    <w:name w:val="Financials H1"/>
    <w:basedOn w:val="Heading1"/>
    <w:next w:val="Normal"/>
    <w:uiPriority w:val="1"/>
    <w:semiHidden/>
    <w:rsid w:val="00010D84"/>
    <w:pPr>
      <w:spacing w:after="360"/>
    </w:pPr>
    <w:rPr>
      <w:color w:val="008A00" w:themeColor="accent2"/>
      <w:sz w:val="44"/>
    </w:rPr>
  </w:style>
  <w:style w:type="paragraph" w:customStyle="1" w:styleId="FinancialsH2">
    <w:name w:val="Financials H2"/>
    <w:basedOn w:val="Heading2"/>
    <w:next w:val="Normal"/>
    <w:uiPriority w:val="1"/>
    <w:semiHidden/>
    <w:rsid w:val="00FC654D"/>
    <w:rPr>
      <w:rFonts w:ascii="Arial Bold" w:hAnsi="Arial Bold"/>
      <w:caps/>
      <w:sz w:val="24"/>
      <w:szCs w:val="24"/>
    </w:rPr>
  </w:style>
  <w:style w:type="paragraph" w:customStyle="1" w:styleId="FinancialsH3">
    <w:name w:val="Financials H3"/>
    <w:basedOn w:val="Heading3"/>
    <w:uiPriority w:val="1"/>
    <w:semiHidden/>
    <w:rsid w:val="00A00568"/>
    <w:rPr>
      <w:szCs w:val="22"/>
      <w:lang w:val="en-GB"/>
    </w:rPr>
  </w:style>
  <w:style w:type="paragraph" w:customStyle="1" w:styleId="FinancialsH4">
    <w:name w:val="Financials H4"/>
    <w:basedOn w:val="Heading4"/>
    <w:uiPriority w:val="1"/>
    <w:semiHidden/>
    <w:rsid w:val="00A00568"/>
    <w:pPr>
      <w:spacing w:before="120"/>
    </w:pPr>
    <w:rPr>
      <w:rFonts w:ascii="Arial Bold" w:hAnsi="Arial Bold"/>
      <w:lang w:val="en-GB"/>
    </w:rPr>
  </w:style>
  <w:style w:type="paragraph" w:customStyle="1" w:styleId="FinancialsH5">
    <w:name w:val="Financials H5"/>
    <w:basedOn w:val="Heading5"/>
    <w:uiPriority w:val="1"/>
    <w:semiHidden/>
    <w:rsid w:val="00A00568"/>
    <w:pPr>
      <w:spacing w:before="120"/>
    </w:pPr>
    <w:rPr>
      <w:bCs/>
      <w:lang w:val="en-GB"/>
    </w:rPr>
  </w:style>
  <w:style w:type="paragraph" w:customStyle="1" w:styleId="FinancialsTableH2">
    <w:name w:val="Financials Table H2"/>
    <w:basedOn w:val="TableText"/>
    <w:uiPriority w:val="1"/>
    <w:semiHidden/>
    <w:rsid w:val="00660951"/>
    <w:pPr>
      <w:spacing w:before="120" w:after="40" w:line="240" w:lineRule="auto"/>
    </w:pPr>
    <w:rPr>
      <w:b/>
      <w:color w:val="008A00" w:themeColor="accent2"/>
    </w:rPr>
  </w:style>
  <w:style w:type="paragraph" w:customStyle="1" w:styleId="FinancialsTableText">
    <w:name w:val="Financials Table Text"/>
    <w:basedOn w:val="TableText"/>
    <w:uiPriority w:val="1"/>
    <w:semiHidden/>
    <w:rsid w:val="00660951"/>
    <w:pPr>
      <w:spacing w:before="40" w:after="40" w:line="240" w:lineRule="auto"/>
    </w:pPr>
  </w:style>
  <w:style w:type="paragraph" w:customStyle="1" w:styleId="FinancialsTableTextIndented">
    <w:name w:val="Financials Table Text Indented"/>
    <w:basedOn w:val="TableText"/>
    <w:uiPriority w:val="1"/>
    <w:semiHidden/>
    <w:rsid w:val="00F3495A"/>
    <w:pPr>
      <w:spacing w:before="40" w:after="40" w:line="240" w:lineRule="auto"/>
      <w:ind w:left="170"/>
    </w:pPr>
    <w:rPr>
      <w:i/>
    </w:rPr>
  </w:style>
  <w:style w:type="paragraph" w:customStyle="1" w:styleId="FinancialsTableH1">
    <w:name w:val="Financials Table H1"/>
    <w:basedOn w:val="TableText"/>
    <w:uiPriority w:val="1"/>
    <w:semiHidden/>
    <w:rsid w:val="007A7D19"/>
    <w:pPr>
      <w:spacing w:before="160" w:after="40" w:line="240" w:lineRule="auto"/>
    </w:pPr>
    <w:rPr>
      <w:rFonts w:ascii="Arial Bold" w:hAnsi="Arial Bold"/>
      <w:b/>
      <w:caps/>
    </w:rPr>
  </w:style>
  <w:style w:type="paragraph" w:customStyle="1" w:styleId="NoParagraphStyle">
    <w:name w:val="[No Paragraph Style]"/>
    <w:rsid w:val="00536880"/>
    <w:pPr>
      <w:autoSpaceDE w:val="0"/>
      <w:autoSpaceDN w:val="0"/>
      <w:adjustRightInd w:val="0"/>
      <w:spacing w:line="288" w:lineRule="auto"/>
      <w:textAlignment w:val="center"/>
    </w:pPr>
    <w:rPr>
      <w:color w:val="000000"/>
      <w:sz w:val="24"/>
      <w:szCs w:val="24"/>
      <w:lang w:val="en-US"/>
    </w:rPr>
  </w:style>
  <w:style w:type="paragraph" w:customStyle="1" w:styleId="AppendixH1">
    <w:name w:val="Appendix H1"/>
    <w:basedOn w:val="FinancialsH1"/>
    <w:uiPriority w:val="1"/>
    <w:semiHidden/>
    <w:rsid w:val="00FC6134"/>
  </w:style>
  <w:style w:type="paragraph" w:customStyle="1" w:styleId="AppendixH2">
    <w:name w:val="Appendix H2"/>
    <w:basedOn w:val="FinancialsH2"/>
    <w:uiPriority w:val="1"/>
    <w:semiHidden/>
    <w:rsid w:val="00FC6134"/>
  </w:style>
  <w:style w:type="character" w:styleId="PageNumber">
    <w:name w:val="page number"/>
    <w:basedOn w:val="DefaultParagraphFont"/>
    <w:semiHidden/>
    <w:unhideWhenUsed/>
    <w:rsid w:val="005F219D"/>
    <w:rPr>
      <w:rFonts w:asciiTheme="minorHAnsi" w:hAnsiTheme="minorHAnsi"/>
      <w:b/>
      <w:color w:val="008A00" w:themeColor="accent2"/>
      <w:sz w:val="16"/>
    </w:rPr>
  </w:style>
  <w:style w:type="paragraph" w:customStyle="1" w:styleId="p1">
    <w:name w:val="p1"/>
    <w:basedOn w:val="Normal"/>
    <w:rsid w:val="00C303D7"/>
    <w:pPr>
      <w:spacing w:after="86"/>
    </w:pPr>
    <w:rPr>
      <w:sz w:val="12"/>
      <w:szCs w:val="12"/>
      <w:lang w:val="en-US" w:eastAsia="en-US"/>
    </w:rPr>
  </w:style>
  <w:style w:type="paragraph" w:customStyle="1" w:styleId="p2">
    <w:name w:val="p2"/>
    <w:basedOn w:val="Normal"/>
    <w:rsid w:val="00C303D7"/>
    <w:rPr>
      <w:color w:val="005100"/>
      <w:sz w:val="12"/>
      <w:szCs w:val="12"/>
      <w:lang w:val="en-US" w:eastAsia="en-US"/>
    </w:rPr>
  </w:style>
  <w:style w:type="paragraph" w:customStyle="1" w:styleId="p3">
    <w:name w:val="p3"/>
    <w:basedOn w:val="Normal"/>
    <w:rsid w:val="00C303D7"/>
    <w:pPr>
      <w:spacing w:after="86"/>
    </w:pPr>
    <w:rPr>
      <w:color w:val="005100"/>
      <w:sz w:val="12"/>
      <w:szCs w:val="12"/>
      <w:lang w:val="en-US" w:eastAsia="en-US"/>
    </w:rPr>
  </w:style>
  <w:style w:type="paragraph" w:customStyle="1" w:styleId="p4">
    <w:name w:val="p4"/>
    <w:basedOn w:val="Normal"/>
    <w:rsid w:val="00C303D7"/>
    <w:rPr>
      <w:sz w:val="12"/>
      <w:szCs w:val="12"/>
      <w:lang w:val="en-US" w:eastAsia="en-US"/>
    </w:rPr>
  </w:style>
  <w:style w:type="character" w:customStyle="1" w:styleId="s2">
    <w:name w:val="s2"/>
    <w:basedOn w:val="DefaultParagraphFont"/>
    <w:rsid w:val="00C303D7"/>
    <w:rPr>
      <w:color w:val="000000"/>
    </w:rPr>
  </w:style>
  <w:style w:type="character" w:customStyle="1" w:styleId="s1">
    <w:name w:val="s1"/>
    <w:basedOn w:val="DefaultParagraphFont"/>
    <w:rsid w:val="00C303D7"/>
  </w:style>
  <w:style w:type="character" w:customStyle="1" w:styleId="apple-converted-space">
    <w:name w:val="apple-converted-space"/>
    <w:basedOn w:val="DefaultParagraphFont"/>
    <w:rsid w:val="00C303D7"/>
  </w:style>
  <w:style w:type="paragraph" w:customStyle="1" w:styleId="Address">
    <w:name w:val="Address"/>
    <w:basedOn w:val="Normal"/>
    <w:uiPriority w:val="1"/>
    <w:qFormat/>
    <w:rsid w:val="00C303D7"/>
    <w:pPr>
      <w:spacing w:line="192" w:lineRule="exact"/>
    </w:pPr>
    <w:rPr>
      <w:b/>
      <w:bCs/>
      <w:color w:val="FFFFFF" w:themeColor="background1"/>
      <w:sz w:val="16"/>
      <w:szCs w:val="16"/>
    </w:rPr>
  </w:style>
  <w:style w:type="paragraph" w:customStyle="1" w:styleId="Act">
    <w:name w:val="Act"/>
    <w:basedOn w:val="Normal"/>
    <w:uiPriority w:val="1"/>
    <w:qFormat/>
    <w:rsid w:val="00E15D40"/>
    <w:rPr>
      <w:i/>
    </w:rPr>
  </w:style>
  <w:style w:type="paragraph" w:customStyle="1" w:styleId="Disclaimer">
    <w:name w:val="Disclaimer"/>
    <w:basedOn w:val="Normal"/>
    <w:uiPriority w:val="1"/>
    <w:qFormat/>
    <w:rsid w:val="00E15D40"/>
    <w:rPr>
      <w:i/>
    </w:rPr>
  </w:style>
  <w:style w:type="paragraph" w:customStyle="1" w:styleId="Organisationname">
    <w:name w:val="Organisation name"/>
    <w:basedOn w:val="CommentSubject"/>
    <w:autoRedefine/>
    <w:uiPriority w:val="1"/>
    <w:qFormat/>
    <w:rsid w:val="00600F10"/>
    <w:pPr>
      <w:spacing w:after="1320" w:line="260" w:lineRule="atLeast"/>
    </w:pPr>
    <w:rPr>
      <w:noProof/>
      <w:color w:val="FFFFFF" w:themeColor="background1"/>
    </w:rPr>
  </w:style>
  <w:style w:type="paragraph" w:styleId="CommentText">
    <w:name w:val="annotation text"/>
    <w:basedOn w:val="Normal"/>
    <w:link w:val="CommentTextChar"/>
    <w:semiHidden/>
    <w:unhideWhenUsed/>
    <w:rsid w:val="00E15D40"/>
    <w:rPr>
      <w:sz w:val="20"/>
    </w:rPr>
  </w:style>
  <w:style w:type="character" w:customStyle="1" w:styleId="CommentTextChar">
    <w:name w:val="Comment Text Char"/>
    <w:basedOn w:val="DefaultParagraphFont"/>
    <w:link w:val="CommentText"/>
    <w:semiHidden/>
    <w:rsid w:val="00E15D40"/>
    <w:rPr>
      <w:rFonts w:ascii="Arial" w:hAnsi="Arial"/>
    </w:rPr>
  </w:style>
  <w:style w:type="paragraph" w:styleId="CommentSubject">
    <w:name w:val="annotation subject"/>
    <w:basedOn w:val="CommentText"/>
    <w:next w:val="CommentText"/>
    <w:link w:val="CommentSubjectChar"/>
    <w:unhideWhenUsed/>
    <w:rsid w:val="00E15D40"/>
    <w:rPr>
      <w:b/>
      <w:bCs/>
    </w:rPr>
  </w:style>
  <w:style w:type="character" w:customStyle="1" w:styleId="CommentSubjectChar">
    <w:name w:val="Comment Subject Char"/>
    <w:basedOn w:val="CommentTextChar"/>
    <w:link w:val="CommentSubject"/>
    <w:rsid w:val="00E15D40"/>
    <w:rPr>
      <w:rFonts w:ascii="Arial" w:hAnsi="Arial"/>
      <w:b/>
      <w:bCs/>
    </w:rPr>
  </w:style>
  <w:style w:type="paragraph" w:customStyle="1" w:styleId="Versionanddate">
    <w:name w:val="Version and date"/>
    <w:basedOn w:val="Subtitle"/>
    <w:uiPriority w:val="1"/>
    <w:qFormat/>
    <w:rsid w:val="00E15D40"/>
    <w:rPr>
      <w:color w:val="7EC352" w:themeColor="accent3"/>
      <w:sz w:val="28"/>
      <w:szCs w:val="28"/>
    </w:rPr>
  </w:style>
  <w:style w:type="paragraph" w:customStyle="1" w:styleId="Report">
    <w:name w:val="Report"/>
    <w:basedOn w:val="Normal"/>
    <w:next w:val="Normal"/>
    <w:uiPriority w:val="1"/>
    <w:qFormat/>
    <w:rsid w:val="002A4C1B"/>
    <w:pPr>
      <w:spacing w:before="4000" w:after="200" w:line="276" w:lineRule="auto"/>
    </w:pPr>
    <w:rPr>
      <w:b/>
    </w:rPr>
  </w:style>
  <w:style w:type="paragraph" w:styleId="NormalIndent">
    <w:name w:val="Normal Indent"/>
    <w:basedOn w:val="Normal"/>
    <w:unhideWhenUsed/>
    <w:rsid w:val="002A4C1B"/>
    <w:pPr>
      <w:ind w:left="720"/>
    </w:pPr>
  </w:style>
  <w:style w:type="paragraph" w:styleId="TOC3">
    <w:name w:val="toc 3"/>
    <w:basedOn w:val="Normal"/>
    <w:next w:val="Normal"/>
    <w:autoRedefine/>
    <w:uiPriority w:val="39"/>
    <w:unhideWhenUsed/>
    <w:rsid w:val="00600F10"/>
    <w:pPr>
      <w:spacing w:after="100"/>
      <w:ind w:left="440"/>
    </w:pPr>
  </w:style>
  <w:style w:type="paragraph" w:customStyle="1" w:styleId="PwCNormal">
    <w:name w:val="PwC Normal"/>
    <w:basedOn w:val="Normal"/>
    <w:link w:val="PwCNormalChar"/>
    <w:rsid w:val="00CD0927"/>
    <w:pPr>
      <w:numPr>
        <w:numId w:val="3"/>
      </w:numPr>
      <w:snapToGrid w:val="0"/>
      <w:spacing w:after="240"/>
    </w:pPr>
    <w:rPr>
      <w:rFonts w:ascii="Georgia" w:hAnsi="Georgia"/>
      <w:sz w:val="20"/>
      <w:lang w:eastAsia="en-US"/>
    </w:rPr>
  </w:style>
  <w:style w:type="paragraph" w:customStyle="1" w:styleId="Indent1">
    <w:name w:val="Indent 1"/>
    <w:basedOn w:val="Normal"/>
    <w:rsid w:val="00CD0927"/>
    <w:pPr>
      <w:numPr>
        <w:ilvl w:val="1"/>
        <w:numId w:val="3"/>
      </w:numPr>
      <w:snapToGrid w:val="0"/>
      <w:spacing w:before="100" w:after="100"/>
    </w:pPr>
    <w:rPr>
      <w:rFonts w:ascii="Georgia" w:hAnsi="Georgia"/>
      <w:sz w:val="20"/>
      <w:lang w:eastAsia="en-US"/>
    </w:rPr>
  </w:style>
  <w:style w:type="paragraph" w:customStyle="1" w:styleId="Indent2">
    <w:name w:val="Indent 2"/>
    <w:basedOn w:val="Indent1"/>
    <w:rsid w:val="00CD0927"/>
    <w:pPr>
      <w:numPr>
        <w:ilvl w:val="2"/>
      </w:numPr>
    </w:pPr>
  </w:style>
  <w:style w:type="paragraph" w:customStyle="1" w:styleId="Indent3">
    <w:name w:val="Indent 3"/>
    <w:basedOn w:val="Indent2"/>
    <w:rsid w:val="00CD0927"/>
    <w:pPr>
      <w:numPr>
        <w:ilvl w:val="3"/>
      </w:numPr>
    </w:pPr>
  </w:style>
  <w:style w:type="paragraph" w:customStyle="1" w:styleId="Indent4">
    <w:name w:val="Indent 4"/>
    <w:basedOn w:val="Indent3"/>
    <w:rsid w:val="00CD0927"/>
    <w:pPr>
      <w:numPr>
        <w:ilvl w:val="4"/>
      </w:numPr>
    </w:pPr>
  </w:style>
  <w:style w:type="character" w:customStyle="1" w:styleId="PwCNormalChar">
    <w:name w:val="PwC Normal Char"/>
    <w:basedOn w:val="DefaultParagraphFont"/>
    <w:link w:val="PwCNormal"/>
    <w:locked/>
    <w:rsid w:val="00CD0927"/>
    <w:rPr>
      <w:rFonts w:ascii="Georgia" w:hAnsi="Georgia" w:cs="Arial"/>
      <w:lang w:eastAsia="en-US"/>
    </w:rPr>
  </w:style>
  <w:style w:type="character" w:customStyle="1" w:styleId="TablesheadingsChar">
    <w:name w:val="Tables headings Char"/>
    <w:basedOn w:val="DefaultParagraphFont"/>
    <w:link w:val="Tablesheadings"/>
    <w:locked/>
    <w:rsid w:val="00CD0927"/>
    <w:rPr>
      <w:rFonts w:asciiTheme="majorHAnsi" w:hAnsiTheme="majorHAnsi" w:cs="Arial"/>
      <w:b/>
      <w:bCs/>
      <w:color w:val="333132" w:themeColor="text2"/>
      <w:lang w:val="en-GB" w:eastAsia="en-US"/>
    </w:rPr>
  </w:style>
  <w:style w:type="paragraph" w:customStyle="1" w:styleId="Tablesheadings">
    <w:name w:val="Tables headings"/>
    <w:basedOn w:val="ListBullet"/>
    <w:link w:val="TablesheadingsChar"/>
    <w:qFormat/>
    <w:rsid w:val="00CD0927"/>
    <w:pPr>
      <w:numPr>
        <w:numId w:val="0"/>
      </w:numPr>
      <w:tabs>
        <w:tab w:val="left" w:pos="1418"/>
      </w:tabs>
      <w:snapToGrid w:val="0"/>
      <w:spacing w:before="0" w:after="0"/>
    </w:pPr>
    <w:rPr>
      <w:rFonts w:asciiTheme="majorHAnsi" w:hAnsiTheme="majorHAnsi"/>
      <w:b/>
      <w:bCs/>
      <w:color w:val="333132" w:themeColor="text2"/>
      <w:sz w:val="20"/>
      <w:lang w:val="en-GB" w:eastAsia="en-US"/>
    </w:rPr>
  </w:style>
  <w:style w:type="paragraph" w:customStyle="1" w:styleId="Indent5">
    <w:name w:val="Indent 5"/>
    <w:basedOn w:val="Indent4"/>
    <w:rsid w:val="00CD0927"/>
    <w:pPr>
      <w:numPr>
        <w:ilvl w:val="5"/>
      </w:numPr>
    </w:pPr>
  </w:style>
  <w:style w:type="paragraph" w:customStyle="1" w:styleId="Indent6">
    <w:name w:val="Indent 6"/>
    <w:basedOn w:val="Indent5"/>
    <w:rsid w:val="00CD0927"/>
    <w:pPr>
      <w:numPr>
        <w:ilvl w:val="6"/>
      </w:numPr>
    </w:pPr>
  </w:style>
  <w:style w:type="paragraph" w:customStyle="1" w:styleId="Indent7">
    <w:name w:val="Indent 7"/>
    <w:basedOn w:val="Indent6"/>
    <w:rsid w:val="00CD0927"/>
    <w:pPr>
      <w:numPr>
        <w:ilvl w:val="7"/>
      </w:numPr>
    </w:pPr>
  </w:style>
  <w:style w:type="paragraph" w:customStyle="1" w:styleId="Indent8">
    <w:name w:val="Indent 8"/>
    <w:basedOn w:val="Indent7"/>
    <w:rsid w:val="00CD0927"/>
    <w:pPr>
      <w:numPr>
        <w:ilvl w:val="8"/>
      </w:numPr>
    </w:pPr>
  </w:style>
  <w:style w:type="character" w:styleId="CommentReference">
    <w:name w:val="annotation reference"/>
    <w:basedOn w:val="DefaultParagraphFont"/>
    <w:semiHidden/>
    <w:unhideWhenUsed/>
    <w:rsid w:val="00CD0927"/>
    <w:rPr>
      <w:rFonts w:ascii="Georgia" w:hAnsi="Georgia" w:hint="default"/>
      <w:sz w:val="16"/>
      <w:szCs w:val="16"/>
    </w:rPr>
  </w:style>
  <w:style w:type="paragraph" w:customStyle="1" w:styleId="PrefaceTitle">
    <w:name w:val="Preface Title"/>
    <w:basedOn w:val="Heading2"/>
    <w:next w:val="PwCNormal"/>
    <w:rsid w:val="009C58FD"/>
    <w:pPr>
      <w:snapToGrid w:val="0"/>
      <w:spacing w:before="240" w:after="40"/>
      <w:contextualSpacing w:val="0"/>
    </w:pPr>
    <w:rPr>
      <w:bCs/>
      <w:i/>
      <w:iCs/>
      <w:color w:val="333132" w:themeColor="text2"/>
      <w:sz w:val="32"/>
      <w:szCs w:val="36"/>
      <w:lang w:eastAsia="en-US"/>
    </w:rPr>
  </w:style>
  <w:style w:type="table" w:customStyle="1" w:styleId="Tables-APBase">
    <w:name w:val="Tables - AP Base"/>
    <w:basedOn w:val="TableNormal"/>
    <w:rsid w:val="009C58FD"/>
    <w:rPr>
      <w:rFonts w:ascii="Georgia" w:hAnsi="Georgia"/>
    </w:rPr>
    <w:tblPr>
      <w:tblStyleRowBandSize w:val="1"/>
      <w:tblStyleColBandSize w:val="1"/>
      <w:tblInd w:w="0" w:type="nil"/>
      <w:tblBorders>
        <w:top w:val="single" w:sz="4" w:space="0" w:color="FFFFFF"/>
        <w:left w:val="single" w:sz="4" w:space="0" w:color="FFFFFF"/>
        <w:bottom w:val="single" w:sz="6" w:space="0" w:color="333132" w:themeColor="text2"/>
        <w:right w:val="single" w:sz="4" w:space="0" w:color="FFFFFF"/>
        <w:insideH w:val="dotted" w:sz="8" w:space="0" w:color="333132" w:themeColor="text2"/>
        <w:insideV w:val="single" w:sz="4" w:space="0" w:color="FFFFFF"/>
      </w:tblBorders>
    </w:tblPr>
    <w:tblStylePr w:type="firstRow">
      <w:pPr>
        <w:jc w:val="center"/>
      </w:pPr>
      <w:rPr>
        <w:rFonts w:ascii="Georgia" w:hAnsi="Georgia" w:hint="default"/>
        <w:b w:val="0"/>
        <w:color w:val="auto"/>
      </w:rPr>
      <w:tblPr/>
      <w:tcPr>
        <w:tcBorders>
          <w:top w:val="single" w:sz="4" w:space="0" w:color="333132" w:themeColor="text2"/>
          <w:bottom w:val="single" w:sz="4" w:space="0" w:color="333132" w:themeColor="text2"/>
        </w:tcBorders>
      </w:tcPr>
    </w:tblStylePr>
    <w:tblStylePr w:type="lastRow">
      <w:rPr>
        <w:color w:val="auto"/>
      </w:rPr>
      <w:tblPr/>
      <w:tcPr>
        <w:tcBorders>
          <w:top w:val="single" w:sz="4" w:space="0" w:color="333132" w:themeColor="text2"/>
        </w:tcBorders>
      </w:tcPr>
    </w:tblStylePr>
    <w:tblStylePr w:type="nwCell">
      <w:pPr>
        <w:jc w:val="left"/>
      </w:pPr>
      <w:tblPr/>
      <w:tcPr>
        <w:vAlign w:val="bottom"/>
      </w:tcPr>
    </w:tblStylePr>
  </w:style>
  <w:style w:type="paragraph" w:styleId="BodyText">
    <w:name w:val="Body Text"/>
    <w:basedOn w:val="Normal"/>
    <w:link w:val="BodyTextChar"/>
    <w:semiHidden/>
    <w:unhideWhenUsed/>
    <w:rsid w:val="00162AE0"/>
    <w:pPr>
      <w:snapToGrid w:val="0"/>
      <w:spacing w:after="240"/>
    </w:pPr>
    <w:rPr>
      <w:rFonts w:ascii="Georgia" w:hAnsi="Georgia"/>
      <w:sz w:val="20"/>
      <w:lang w:eastAsia="en-US"/>
    </w:rPr>
  </w:style>
  <w:style w:type="character" w:customStyle="1" w:styleId="BodyTextChar">
    <w:name w:val="Body Text Char"/>
    <w:basedOn w:val="DefaultParagraphFont"/>
    <w:link w:val="BodyText"/>
    <w:semiHidden/>
    <w:rsid w:val="00162AE0"/>
    <w:rPr>
      <w:rFonts w:ascii="Georgia" w:hAnsi="Georgia" w:cs="Arial"/>
      <w:lang w:eastAsia="en-US"/>
    </w:rPr>
  </w:style>
  <w:style w:type="character" w:customStyle="1" w:styleId="ListBulletChar">
    <w:name w:val="List Bullet Char"/>
    <w:basedOn w:val="DefaultParagraphFont"/>
    <w:link w:val="ListBullet"/>
    <w:locked/>
    <w:rsid w:val="00162AE0"/>
    <w:rPr>
      <w:rFonts w:ascii="Arial" w:hAnsi="Arial"/>
      <w:sz w:val="22"/>
      <w:szCs w:val="24"/>
    </w:rPr>
  </w:style>
  <w:style w:type="paragraph" w:styleId="ListBullet2">
    <w:name w:val="List Bullet 2"/>
    <w:basedOn w:val="Normal"/>
    <w:semiHidden/>
    <w:unhideWhenUsed/>
    <w:qFormat/>
    <w:rsid w:val="00162AE0"/>
    <w:pPr>
      <w:tabs>
        <w:tab w:val="num" w:pos="1134"/>
      </w:tabs>
      <w:snapToGrid w:val="0"/>
      <w:spacing w:after="240"/>
      <w:ind w:left="1134" w:hanging="567"/>
    </w:pPr>
    <w:rPr>
      <w:rFonts w:ascii="Georgia" w:hAnsi="Georgia"/>
      <w:sz w:val="20"/>
      <w:lang w:eastAsia="en-US"/>
    </w:rPr>
  </w:style>
  <w:style w:type="paragraph" w:styleId="ListBullet3">
    <w:name w:val="List Bullet 3"/>
    <w:basedOn w:val="ListBullet2"/>
    <w:semiHidden/>
    <w:unhideWhenUsed/>
    <w:qFormat/>
    <w:rsid w:val="00162AE0"/>
    <w:pPr>
      <w:tabs>
        <w:tab w:val="clear" w:pos="1134"/>
        <w:tab w:val="num" w:pos="1701"/>
      </w:tabs>
      <w:ind w:left="1701"/>
    </w:pPr>
  </w:style>
  <w:style w:type="paragraph" w:styleId="ListBullet4">
    <w:name w:val="List Bullet 4"/>
    <w:basedOn w:val="ListBullet3"/>
    <w:semiHidden/>
    <w:unhideWhenUsed/>
    <w:rsid w:val="00162AE0"/>
    <w:pPr>
      <w:tabs>
        <w:tab w:val="clear" w:pos="1701"/>
        <w:tab w:val="num" w:pos="2268"/>
      </w:tabs>
      <w:ind w:left="2268"/>
    </w:pPr>
  </w:style>
  <w:style w:type="paragraph" w:styleId="ListBullet5">
    <w:name w:val="List Bullet 5"/>
    <w:basedOn w:val="ListBullet4"/>
    <w:semiHidden/>
    <w:unhideWhenUsed/>
    <w:rsid w:val="00162AE0"/>
    <w:pPr>
      <w:tabs>
        <w:tab w:val="clear" w:pos="2268"/>
        <w:tab w:val="num" w:pos="2835"/>
      </w:tabs>
      <w:ind w:left="2835"/>
      <w:contextualSpacing/>
    </w:pPr>
  </w:style>
  <w:style w:type="paragraph" w:customStyle="1" w:styleId="AppendixNumberLong">
    <w:name w:val="Appendix Number (Long)"/>
    <w:basedOn w:val="Heading3"/>
    <w:next w:val="Heading3"/>
    <w:rsid w:val="00162AE0"/>
    <w:pPr>
      <w:numPr>
        <w:ilvl w:val="5"/>
        <w:numId w:val="4"/>
      </w:numPr>
      <w:snapToGrid w:val="0"/>
      <w:spacing w:before="0"/>
      <w:contextualSpacing w:val="0"/>
    </w:pPr>
    <w:rPr>
      <w:rFonts w:ascii="Georgia" w:hAnsi="Georgia"/>
      <w:bCs/>
      <w:color w:val="333132" w:themeColor="text2"/>
      <w:sz w:val="20"/>
      <w:szCs w:val="20"/>
      <w:lang w:eastAsia="en-US"/>
    </w:rPr>
  </w:style>
  <w:style w:type="paragraph" w:customStyle="1" w:styleId="ChapterNumberedList1">
    <w:name w:val="Chapter Numbered List 1"/>
    <w:basedOn w:val="PwCNormal"/>
    <w:rsid w:val="00162AE0"/>
    <w:pPr>
      <w:numPr>
        <w:ilvl w:val="7"/>
        <w:numId w:val="4"/>
      </w:numPr>
      <w:tabs>
        <w:tab w:val="num" w:pos="360"/>
      </w:tabs>
      <w:ind w:left="3969" w:firstLine="0"/>
    </w:pPr>
  </w:style>
  <w:style w:type="paragraph" w:customStyle="1" w:styleId="ChapterNumberedList2">
    <w:name w:val="Chapter Numbered List 2"/>
    <w:basedOn w:val="ChapterNumberedList1"/>
    <w:rsid w:val="00162AE0"/>
    <w:pPr>
      <w:numPr>
        <w:ilvl w:val="8"/>
      </w:numPr>
      <w:tabs>
        <w:tab w:val="num" w:pos="360"/>
        <w:tab w:val="num" w:pos="567"/>
      </w:tabs>
    </w:pPr>
  </w:style>
  <w:style w:type="character" w:customStyle="1" w:styleId="FigureheadingsChar">
    <w:name w:val="Figure headings Char"/>
    <w:basedOn w:val="TablesheadingsChar"/>
    <w:link w:val="Figureheadings"/>
    <w:locked/>
    <w:rsid w:val="00162AE0"/>
    <w:rPr>
      <w:rFonts w:asciiTheme="majorHAnsi" w:hAnsiTheme="majorHAnsi" w:cs="Arial"/>
      <w:b/>
      <w:bCs/>
      <w:color w:val="333132" w:themeColor="text2"/>
      <w:lang w:val="en-GB" w:eastAsia="en-US"/>
    </w:rPr>
  </w:style>
  <w:style w:type="paragraph" w:customStyle="1" w:styleId="Figureheadings">
    <w:name w:val="Figure headings"/>
    <w:basedOn w:val="Tablesheadings"/>
    <w:link w:val="FigureheadingsChar"/>
    <w:qFormat/>
    <w:rsid w:val="00162AE0"/>
  </w:style>
  <w:style w:type="character" w:customStyle="1" w:styleId="FooterChar">
    <w:name w:val="Footer Char"/>
    <w:basedOn w:val="DefaultParagraphFont"/>
    <w:link w:val="Footer"/>
    <w:uiPriority w:val="99"/>
    <w:rsid w:val="00900B6D"/>
    <w:rPr>
      <w:rFonts w:ascii="Arial" w:hAnsi="Arial"/>
      <w:b/>
      <w:sz w:val="16"/>
      <w:szCs w:val="24"/>
    </w:rPr>
  </w:style>
  <w:style w:type="paragraph" w:styleId="ListNumber">
    <w:name w:val="List Number"/>
    <w:basedOn w:val="Normal"/>
    <w:uiPriority w:val="13"/>
    <w:unhideWhenUsed/>
    <w:qFormat/>
    <w:rsid w:val="00EE275B"/>
    <w:pPr>
      <w:numPr>
        <w:numId w:val="8"/>
      </w:numPr>
      <w:snapToGrid w:val="0"/>
      <w:contextualSpacing/>
    </w:pPr>
    <w:rPr>
      <w:rFonts w:ascii="Georgia" w:hAnsi="Georgia"/>
      <w:sz w:val="20"/>
      <w:lang w:eastAsia="en-US"/>
    </w:rPr>
  </w:style>
  <w:style w:type="paragraph" w:styleId="ListNumber2">
    <w:name w:val="List Number 2"/>
    <w:basedOn w:val="ListNumber"/>
    <w:uiPriority w:val="13"/>
    <w:semiHidden/>
    <w:unhideWhenUsed/>
    <w:qFormat/>
    <w:rsid w:val="00EE275B"/>
    <w:pPr>
      <w:numPr>
        <w:ilvl w:val="1"/>
      </w:numPr>
    </w:pPr>
  </w:style>
  <w:style w:type="paragraph" w:styleId="ListNumber3">
    <w:name w:val="List Number 3"/>
    <w:basedOn w:val="ListNumber2"/>
    <w:uiPriority w:val="13"/>
    <w:semiHidden/>
    <w:unhideWhenUsed/>
    <w:qFormat/>
    <w:rsid w:val="00EE275B"/>
    <w:pPr>
      <w:numPr>
        <w:ilvl w:val="2"/>
      </w:numPr>
    </w:pPr>
  </w:style>
  <w:style w:type="paragraph" w:styleId="ListNumber4">
    <w:name w:val="List Number 4"/>
    <w:basedOn w:val="ListNumber3"/>
    <w:uiPriority w:val="13"/>
    <w:semiHidden/>
    <w:unhideWhenUsed/>
    <w:rsid w:val="00EE275B"/>
    <w:pPr>
      <w:numPr>
        <w:ilvl w:val="3"/>
      </w:numPr>
    </w:pPr>
  </w:style>
  <w:style w:type="paragraph" w:styleId="ListNumber5">
    <w:name w:val="List Number 5"/>
    <w:basedOn w:val="ListNumber4"/>
    <w:uiPriority w:val="13"/>
    <w:semiHidden/>
    <w:unhideWhenUsed/>
    <w:rsid w:val="00EE275B"/>
    <w:pPr>
      <w:numPr>
        <w:ilvl w:val="4"/>
      </w:numPr>
    </w:pPr>
  </w:style>
  <w:style w:type="paragraph" w:customStyle="1" w:styleId="Minorheading2">
    <w:name w:val="Minor heading 2"/>
    <w:basedOn w:val="Normal"/>
    <w:next w:val="PwCNormal"/>
    <w:rsid w:val="00EE275B"/>
    <w:pPr>
      <w:keepNext/>
      <w:keepLines/>
      <w:snapToGrid w:val="0"/>
      <w:spacing w:before="240" w:after="40" w:line="240" w:lineRule="atLeast"/>
    </w:pPr>
    <w:rPr>
      <w:rFonts w:asciiTheme="majorHAnsi" w:hAnsiTheme="majorHAnsi"/>
      <w:b/>
      <w:color w:val="333132" w:themeColor="text2"/>
      <w:sz w:val="20"/>
      <w:lang w:eastAsia="en-US"/>
    </w:rPr>
  </w:style>
  <w:style w:type="table" w:styleId="LightShading-Accent1">
    <w:name w:val="Light Shading Accent 1"/>
    <w:basedOn w:val="TableNormal"/>
    <w:uiPriority w:val="60"/>
    <w:semiHidden/>
    <w:unhideWhenUsed/>
    <w:rsid w:val="00E42C18"/>
    <w:rPr>
      <w:color w:val="003100" w:themeColor="accent1" w:themeShade="BF"/>
    </w:rPr>
    <w:tblPr>
      <w:tblStyleRowBandSize w:val="1"/>
      <w:tblStyleColBandSize w:val="1"/>
      <w:tblInd w:w="0" w:type="nil"/>
      <w:tblBorders>
        <w:top w:val="single" w:sz="8" w:space="0" w:color="004200" w:themeColor="accent1"/>
        <w:bottom w:val="single" w:sz="8" w:space="0" w:color="004200" w:themeColor="accent1"/>
      </w:tblBorders>
    </w:tblPr>
    <w:tblStylePr w:type="firstRow">
      <w:pPr>
        <w:spacing w:beforeLines="0" w:before="0" w:beforeAutospacing="0" w:afterLines="0" w:after="0" w:afterAutospacing="0" w:line="240" w:lineRule="auto"/>
      </w:pPr>
      <w:rPr>
        <w:b/>
        <w:bCs/>
      </w:rPr>
      <w:tblPr/>
      <w:tcPr>
        <w:tcBorders>
          <w:top w:val="single" w:sz="8" w:space="0" w:color="004200" w:themeColor="accent1"/>
          <w:left w:val="nil"/>
          <w:bottom w:val="single" w:sz="8" w:space="0" w:color="004200"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4200" w:themeColor="accent1"/>
          <w:left w:val="nil"/>
          <w:bottom w:val="single" w:sz="8" w:space="0" w:color="0042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FF91" w:themeFill="accent1" w:themeFillTint="3F"/>
      </w:tcPr>
    </w:tblStylePr>
    <w:tblStylePr w:type="band1Horz">
      <w:tblPr/>
      <w:tcPr>
        <w:tcBorders>
          <w:left w:val="nil"/>
          <w:right w:val="nil"/>
          <w:insideH w:val="nil"/>
          <w:insideV w:val="nil"/>
        </w:tcBorders>
        <w:shd w:val="clear" w:color="auto" w:fill="91FF91" w:themeFill="accent1" w:themeFillTint="3F"/>
      </w:tcPr>
    </w:tblStylePr>
  </w:style>
  <w:style w:type="character" w:customStyle="1" w:styleId="HeaderChar">
    <w:name w:val="Header Char"/>
    <w:basedOn w:val="DefaultParagraphFont"/>
    <w:link w:val="Header"/>
    <w:uiPriority w:val="99"/>
    <w:rsid w:val="00DD516D"/>
    <w:rPr>
      <w:rFonts w:ascii="Arial" w:hAnsi="Arial"/>
      <w:b/>
      <w:sz w:val="16"/>
      <w:szCs w:val="24"/>
    </w:rPr>
  </w:style>
  <w:style w:type="table" w:customStyle="1" w:styleId="GridTable4-Accent21">
    <w:name w:val="Grid Table 4 - Accent 21"/>
    <w:basedOn w:val="TableNormal"/>
    <w:uiPriority w:val="49"/>
    <w:rsid w:val="00E944A2"/>
    <w:tblPr>
      <w:tblStyleRowBandSize w:val="1"/>
      <w:tblStyleColBandSize w:val="1"/>
      <w:tblBorders>
        <w:top w:val="single" w:sz="4" w:space="0" w:color="1FFF1F" w:themeColor="accent2" w:themeTint="99"/>
        <w:left w:val="single" w:sz="4" w:space="0" w:color="1FFF1F" w:themeColor="accent2" w:themeTint="99"/>
        <w:bottom w:val="single" w:sz="4" w:space="0" w:color="1FFF1F" w:themeColor="accent2" w:themeTint="99"/>
        <w:right w:val="single" w:sz="4" w:space="0" w:color="1FFF1F" w:themeColor="accent2" w:themeTint="99"/>
        <w:insideH w:val="single" w:sz="4" w:space="0" w:color="1FFF1F" w:themeColor="accent2" w:themeTint="99"/>
        <w:insideV w:val="single" w:sz="4" w:space="0" w:color="1FFF1F" w:themeColor="accent2" w:themeTint="99"/>
      </w:tblBorders>
    </w:tblPr>
    <w:tblStylePr w:type="firstRow">
      <w:rPr>
        <w:b/>
        <w:bCs/>
        <w:color w:val="FFFFFF" w:themeColor="background1"/>
      </w:rPr>
      <w:tblPr/>
      <w:tcPr>
        <w:tcBorders>
          <w:top w:val="single" w:sz="4" w:space="0" w:color="008A00" w:themeColor="accent2"/>
          <w:left w:val="single" w:sz="4" w:space="0" w:color="008A00" w:themeColor="accent2"/>
          <w:bottom w:val="single" w:sz="4" w:space="0" w:color="008A00" w:themeColor="accent2"/>
          <w:right w:val="single" w:sz="4" w:space="0" w:color="008A00" w:themeColor="accent2"/>
          <w:insideH w:val="nil"/>
          <w:insideV w:val="nil"/>
        </w:tcBorders>
        <w:shd w:val="clear" w:color="auto" w:fill="008A00" w:themeFill="accent2"/>
      </w:tcPr>
    </w:tblStylePr>
    <w:tblStylePr w:type="lastRow">
      <w:rPr>
        <w:b/>
        <w:bCs/>
      </w:rPr>
      <w:tblPr/>
      <w:tcPr>
        <w:tcBorders>
          <w:top w:val="double" w:sz="4" w:space="0" w:color="008A00" w:themeColor="accent2"/>
        </w:tcBorders>
      </w:tcPr>
    </w:tblStylePr>
    <w:tblStylePr w:type="firstCol">
      <w:rPr>
        <w:b/>
        <w:bCs/>
      </w:rPr>
    </w:tblStylePr>
    <w:tblStylePr w:type="lastCol">
      <w:rPr>
        <w:b/>
        <w:bCs/>
      </w:rPr>
    </w:tblStylePr>
    <w:tblStylePr w:type="band1Vert">
      <w:tblPr/>
      <w:tcPr>
        <w:shd w:val="clear" w:color="auto" w:fill="B4FFB4" w:themeFill="accent2" w:themeFillTint="33"/>
      </w:tcPr>
    </w:tblStylePr>
    <w:tblStylePr w:type="band1Horz">
      <w:tblPr/>
      <w:tcPr>
        <w:shd w:val="clear" w:color="auto" w:fill="B4FFB4" w:themeFill="accent2" w:themeFillTint="33"/>
      </w:tcPr>
    </w:tblStylePr>
  </w:style>
  <w:style w:type="character" w:styleId="LineNumber">
    <w:name w:val="line number"/>
    <w:basedOn w:val="DefaultParagraphFont"/>
    <w:semiHidden/>
    <w:unhideWhenUsed/>
    <w:rsid w:val="009C4441"/>
  </w:style>
  <w:style w:type="paragraph" w:styleId="TableofFigures">
    <w:name w:val="table of figures"/>
    <w:basedOn w:val="Normal"/>
    <w:next w:val="Normal"/>
    <w:uiPriority w:val="99"/>
    <w:unhideWhenUsed/>
    <w:rsid w:val="006F21D0"/>
    <w:pPr>
      <w:snapToGrid w:val="0"/>
    </w:pPr>
    <w:rPr>
      <w:rFonts w:asciiTheme="majorHAnsi" w:hAnsiTheme="majorHAnsi"/>
      <w:sz w:val="20"/>
      <w:lang w:eastAsia="en-US"/>
    </w:rPr>
  </w:style>
  <w:style w:type="character" w:styleId="PlaceholderText">
    <w:name w:val="Placeholder Text"/>
    <w:basedOn w:val="DefaultParagraphFont"/>
    <w:uiPriority w:val="99"/>
    <w:semiHidden/>
    <w:rsid w:val="00D57F91"/>
    <w:rPr>
      <w:color w:val="808080"/>
    </w:rPr>
  </w:style>
  <w:style w:type="numbering" w:customStyle="1" w:styleId="TableNumberdListNormal">
    <w:name w:val="Table Numberd List Normal"/>
    <w:uiPriority w:val="99"/>
    <w:rsid w:val="003D7C5F"/>
    <w:pPr>
      <w:numPr>
        <w:numId w:val="15"/>
      </w:numPr>
    </w:pPr>
  </w:style>
  <w:style w:type="table" w:customStyle="1" w:styleId="PlainTable31">
    <w:name w:val="Plain Table 31"/>
    <w:basedOn w:val="TableNormal"/>
    <w:uiPriority w:val="43"/>
    <w:rsid w:val="00DF57B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7Char">
    <w:name w:val="Heading 7 Char"/>
    <w:basedOn w:val="DefaultParagraphFont"/>
    <w:link w:val="Heading7"/>
    <w:semiHidden/>
    <w:rsid w:val="006E4F88"/>
    <w:rPr>
      <w:rFonts w:asciiTheme="majorHAnsi" w:eastAsiaTheme="majorEastAsia" w:hAnsiTheme="majorHAnsi" w:cstheme="majorBidi"/>
      <w:i/>
      <w:iCs/>
      <w:color w:val="002000" w:themeColor="accent1" w:themeShade="7F"/>
      <w:sz w:val="22"/>
      <w:szCs w:val="24"/>
    </w:rPr>
  </w:style>
  <w:style w:type="character" w:customStyle="1" w:styleId="Heading8Char">
    <w:name w:val="Heading 8 Char"/>
    <w:basedOn w:val="DefaultParagraphFont"/>
    <w:link w:val="Heading8"/>
    <w:semiHidden/>
    <w:rsid w:val="006E4F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E4F88"/>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DF5AA8"/>
    <w:rPr>
      <w:szCs w:val="24"/>
    </w:rPr>
  </w:style>
  <w:style w:type="paragraph" w:styleId="Caption">
    <w:name w:val="caption"/>
    <w:basedOn w:val="Normal"/>
    <w:next w:val="Normal"/>
    <w:unhideWhenUsed/>
    <w:qFormat/>
    <w:rsid w:val="00A56D5D"/>
    <w:pPr>
      <w:spacing w:after="200"/>
    </w:pPr>
    <w:rPr>
      <w:i/>
      <w:iCs/>
      <w:color w:val="333132" w:themeColor="text2"/>
      <w:sz w:val="18"/>
      <w:szCs w:val="18"/>
    </w:rPr>
  </w:style>
  <w:style w:type="paragraph" w:customStyle="1" w:styleId="Heading2-nonumbers">
    <w:name w:val="Heading 2 - no numbers"/>
    <w:basedOn w:val="Heading2"/>
    <w:link w:val="Heading2-nonumbersChar"/>
    <w:uiPriority w:val="1"/>
    <w:qFormat/>
    <w:rsid w:val="00683C93"/>
    <w:pPr>
      <w:numPr>
        <w:ilvl w:val="0"/>
        <w:numId w:val="0"/>
      </w:numPr>
      <w:ind w:left="576" w:hanging="576"/>
    </w:pPr>
  </w:style>
  <w:style w:type="character" w:customStyle="1" w:styleId="Heading2-nonumbersChar">
    <w:name w:val="Heading 2 - no numbers Char"/>
    <w:basedOn w:val="Heading2Char"/>
    <w:link w:val="Heading2-nonumbers"/>
    <w:uiPriority w:val="1"/>
    <w:rsid w:val="00683C93"/>
    <w:rPr>
      <w:rFonts w:asciiTheme="majorHAnsi" w:hAnsiTheme="majorHAnsi"/>
      <w:b/>
      <w:sz w:val="28"/>
      <w:szCs w:val="44"/>
    </w:rPr>
  </w:style>
  <w:style w:type="character" w:styleId="IntenseReference">
    <w:name w:val="Intense Reference"/>
    <w:basedOn w:val="DefaultParagraphFont"/>
    <w:uiPriority w:val="32"/>
    <w:qFormat/>
    <w:rsid w:val="00296E3C"/>
    <w:rPr>
      <w:b/>
      <w:bCs/>
      <w:i/>
      <w:smallCaps/>
      <w:color w:val="008A00" w:themeColor="accent2"/>
      <w:spacing w:val="5"/>
      <w:u w:val="none"/>
    </w:rPr>
  </w:style>
  <w:style w:type="paragraph" w:customStyle="1" w:styleId="TableHeadings3">
    <w:name w:val="Table Headings 3"/>
    <w:basedOn w:val="Tablesheadings"/>
    <w:link w:val="TableHeadings3Char"/>
    <w:uiPriority w:val="1"/>
    <w:qFormat/>
    <w:rsid w:val="006F21D0"/>
  </w:style>
  <w:style w:type="paragraph" w:customStyle="1" w:styleId="Tableoffigures3">
    <w:name w:val="Table of figures 3"/>
    <w:basedOn w:val="Figureheadings"/>
    <w:link w:val="Tableoffigures3Char"/>
    <w:uiPriority w:val="1"/>
    <w:qFormat/>
    <w:rsid w:val="00FD56F8"/>
    <w:pPr>
      <w:keepNext/>
      <w:keepLines/>
    </w:pPr>
  </w:style>
  <w:style w:type="character" w:customStyle="1" w:styleId="TableHeadings3Char">
    <w:name w:val="Table Headings 3 Char"/>
    <w:basedOn w:val="TablesheadingsChar"/>
    <w:link w:val="TableHeadings3"/>
    <w:uiPriority w:val="1"/>
    <w:rsid w:val="006F21D0"/>
    <w:rPr>
      <w:rFonts w:asciiTheme="majorHAnsi" w:hAnsiTheme="majorHAnsi" w:cs="Arial"/>
      <w:b/>
      <w:bCs/>
      <w:color w:val="333132" w:themeColor="text2"/>
      <w:sz w:val="20"/>
      <w:lang w:val="en-GB" w:eastAsia="en-US"/>
    </w:rPr>
  </w:style>
  <w:style w:type="character" w:customStyle="1" w:styleId="Tableoffigures3Char">
    <w:name w:val="Table of figures 3 Char"/>
    <w:basedOn w:val="FigureheadingsChar"/>
    <w:link w:val="Tableoffigures3"/>
    <w:uiPriority w:val="1"/>
    <w:rsid w:val="00FD56F8"/>
    <w:rPr>
      <w:rFonts w:asciiTheme="majorHAnsi" w:hAnsiTheme="majorHAnsi" w:cs="Arial"/>
      <w:b/>
      <w:bCs/>
      <w:color w:val="333132" w:themeColor="text2"/>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7172">
      <w:bodyDiv w:val="1"/>
      <w:marLeft w:val="0"/>
      <w:marRight w:val="0"/>
      <w:marTop w:val="0"/>
      <w:marBottom w:val="0"/>
      <w:divBdr>
        <w:top w:val="none" w:sz="0" w:space="0" w:color="auto"/>
        <w:left w:val="none" w:sz="0" w:space="0" w:color="auto"/>
        <w:bottom w:val="none" w:sz="0" w:space="0" w:color="auto"/>
        <w:right w:val="none" w:sz="0" w:space="0" w:color="auto"/>
      </w:divBdr>
    </w:div>
    <w:div w:id="98069901">
      <w:bodyDiv w:val="1"/>
      <w:marLeft w:val="0"/>
      <w:marRight w:val="0"/>
      <w:marTop w:val="0"/>
      <w:marBottom w:val="0"/>
      <w:divBdr>
        <w:top w:val="none" w:sz="0" w:space="0" w:color="auto"/>
        <w:left w:val="none" w:sz="0" w:space="0" w:color="auto"/>
        <w:bottom w:val="none" w:sz="0" w:space="0" w:color="auto"/>
        <w:right w:val="none" w:sz="0" w:space="0" w:color="auto"/>
      </w:divBdr>
    </w:div>
    <w:div w:id="140116982">
      <w:bodyDiv w:val="1"/>
      <w:marLeft w:val="0"/>
      <w:marRight w:val="0"/>
      <w:marTop w:val="0"/>
      <w:marBottom w:val="0"/>
      <w:divBdr>
        <w:top w:val="none" w:sz="0" w:space="0" w:color="auto"/>
        <w:left w:val="none" w:sz="0" w:space="0" w:color="auto"/>
        <w:bottom w:val="none" w:sz="0" w:space="0" w:color="auto"/>
        <w:right w:val="none" w:sz="0" w:space="0" w:color="auto"/>
      </w:divBdr>
    </w:div>
    <w:div w:id="140464687">
      <w:bodyDiv w:val="1"/>
      <w:marLeft w:val="0"/>
      <w:marRight w:val="0"/>
      <w:marTop w:val="0"/>
      <w:marBottom w:val="0"/>
      <w:divBdr>
        <w:top w:val="none" w:sz="0" w:space="0" w:color="auto"/>
        <w:left w:val="none" w:sz="0" w:space="0" w:color="auto"/>
        <w:bottom w:val="none" w:sz="0" w:space="0" w:color="auto"/>
        <w:right w:val="none" w:sz="0" w:space="0" w:color="auto"/>
      </w:divBdr>
    </w:div>
    <w:div w:id="156117978">
      <w:bodyDiv w:val="1"/>
      <w:marLeft w:val="0"/>
      <w:marRight w:val="0"/>
      <w:marTop w:val="0"/>
      <w:marBottom w:val="0"/>
      <w:divBdr>
        <w:top w:val="none" w:sz="0" w:space="0" w:color="auto"/>
        <w:left w:val="none" w:sz="0" w:space="0" w:color="auto"/>
        <w:bottom w:val="none" w:sz="0" w:space="0" w:color="auto"/>
        <w:right w:val="none" w:sz="0" w:space="0" w:color="auto"/>
      </w:divBdr>
    </w:div>
    <w:div w:id="159392924">
      <w:bodyDiv w:val="1"/>
      <w:marLeft w:val="0"/>
      <w:marRight w:val="0"/>
      <w:marTop w:val="0"/>
      <w:marBottom w:val="0"/>
      <w:divBdr>
        <w:top w:val="none" w:sz="0" w:space="0" w:color="auto"/>
        <w:left w:val="none" w:sz="0" w:space="0" w:color="auto"/>
        <w:bottom w:val="none" w:sz="0" w:space="0" w:color="auto"/>
        <w:right w:val="none" w:sz="0" w:space="0" w:color="auto"/>
      </w:divBdr>
    </w:div>
    <w:div w:id="174422857">
      <w:bodyDiv w:val="1"/>
      <w:marLeft w:val="0"/>
      <w:marRight w:val="0"/>
      <w:marTop w:val="0"/>
      <w:marBottom w:val="0"/>
      <w:divBdr>
        <w:top w:val="none" w:sz="0" w:space="0" w:color="auto"/>
        <w:left w:val="none" w:sz="0" w:space="0" w:color="auto"/>
        <w:bottom w:val="none" w:sz="0" w:space="0" w:color="auto"/>
        <w:right w:val="none" w:sz="0" w:space="0" w:color="auto"/>
      </w:divBdr>
    </w:div>
    <w:div w:id="185098231">
      <w:bodyDiv w:val="1"/>
      <w:marLeft w:val="0"/>
      <w:marRight w:val="0"/>
      <w:marTop w:val="0"/>
      <w:marBottom w:val="0"/>
      <w:divBdr>
        <w:top w:val="none" w:sz="0" w:space="0" w:color="auto"/>
        <w:left w:val="none" w:sz="0" w:space="0" w:color="auto"/>
        <w:bottom w:val="none" w:sz="0" w:space="0" w:color="auto"/>
        <w:right w:val="none" w:sz="0" w:space="0" w:color="auto"/>
      </w:divBdr>
      <w:divsChild>
        <w:div w:id="1142969310">
          <w:marLeft w:val="0"/>
          <w:marRight w:val="0"/>
          <w:marTop w:val="0"/>
          <w:marBottom w:val="0"/>
          <w:divBdr>
            <w:top w:val="none" w:sz="0" w:space="0" w:color="auto"/>
            <w:left w:val="none" w:sz="0" w:space="0" w:color="auto"/>
            <w:bottom w:val="none" w:sz="0" w:space="0" w:color="auto"/>
            <w:right w:val="none" w:sz="0" w:space="0" w:color="auto"/>
          </w:divBdr>
          <w:divsChild>
            <w:div w:id="17947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710">
      <w:bodyDiv w:val="1"/>
      <w:marLeft w:val="0"/>
      <w:marRight w:val="0"/>
      <w:marTop w:val="0"/>
      <w:marBottom w:val="0"/>
      <w:divBdr>
        <w:top w:val="none" w:sz="0" w:space="0" w:color="auto"/>
        <w:left w:val="none" w:sz="0" w:space="0" w:color="auto"/>
        <w:bottom w:val="none" w:sz="0" w:space="0" w:color="auto"/>
        <w:right w:val="none" w:sz="0" w:space="0" w:color="auto"/>
      </w:divBdr>
    </w:div>
    <w:div w:id="209465336">
      <w:bodyDiv w:val="1"/>
      <w:marLeft w:val="0"/>
      <w:marRight w:val="0"/>
      <w:marTop w:val="0"/>
      <w:marBottom w:val="0"/>
      <w:divBdr>
        <w:top w:val="none" w:sz="0" w:space="0" w:color="auto"/>
        <w:left w:val="none" w:sz="0" w:space="0" w:color="auto"/>
        <w:bottom w:val="none" w:sz="0" w:space="0" w:color="auto"/>
        <w:right w:val="none" w:sz="0" w:space="0" w:color="auto"/>
      </w:divBdr>
    </w:div>
    <w:div w:id="308095776">
      <w:bodyDiv w:val="1"/>
      <w:marLeft w:val="0"/>
      <w:marRight w:val="0"/>
      <w:marTop w:val="0"/>
      <w:marBottom w:val="0"/>
      <w:divBdr>
        <w:top w:val="none" w:sz="0" w:space="0" w:color="auto"/>
        <w:left w:val="none" w:sz="0" w:space="0" w:color="auto"/>
        <w:bottom w:val="none" w:sz="0" w:space="0" w:color="auto"/>
        <w:right w:val="none" w:sz="0" w:space="0" w:color="auto"/>
      </w:divBdr>
    </w:div>
    <w:div w:id="358894949">
      <w:bodyDiv w:val="1"/>
      <w:marLeft w:val="0"/>
      <w:marRight w:val="0"/>
      <w:marTop w:val="0"/>
      <w:marBottom w:val="0"/>
      <w:divBdr>
        <w:top w:val="none" w:sz="0" w:space="0" w:color="auto"/>
        <w:left w:val="none" w:sz="0" w:space="0" w:color="auto"/>
        <w:bottom w:val="none" w:sz="0" w:space="0" w:color="auto"/>
        <w:right w:val="none" w:sz="0" w:space="0" w:color="auto"/>
      </w:divBdr>
    </w:div>
    <w:div w:id="359015617">
      <w:bodyDiv w:val="1"/>
      <w:marLeft w:val="0"/>
      <w:marRight w:val="0"/>
      <w:marTop w:val="0"/>
      <w:marBottom w:val="0"/>
      <w:divBdr>
        <w:top w:val="none" w:sz="0" w:space="0" w:color="auto"/>
        <w:left w:val="none" w:sz="0" w:space="0" w:color="auto"/>
        <w:bottom w:val="none" w:sz="0" w:space="0" w:color="auto"/>
        <w:right w:val="none" w:sz="0" w:space="0" w:color="auto"/>
      </w:divBdr>
    </w:div>
    <w:div w:id="433212029">
      <w:bodyDiv w:val="1"/>
      <w:marLeft w:val="0"/>
      <w:marRight w:val="0"/>
      <w:marTop w:val="0"/>
      <w:marBottom w:val="0"/>
      <w:divBdr>
        <w:top w:val="none" w:sz="0" w:space="0" w:color="auto"/>
        <w:left w:val="none" w:sz="0" w:space="0" w:color="auto"/>
        <w:bottom w:val="none" w:sz="0" w:space="0" w:color="auto"/>
        <w:right w:val="none" w:sz="0" w:space="0" w:color="auto"/>
      </w:divBdr>
    </w:div>
    <w:div w:id="450713967">
      <w:bodyDiv w:val="1"/>
      <w:marLeft w:val="0"/>
      <w:marRight w:val="0"/>
      <w:marTop w:val="0"/>
      <w:marBottom w:val="0"/>
      <w:divBdr>
        <w:top w:val="none" w:sz="0" w:space="0" w:color="auto"/>
        <w:left w:val="none" w:sz="0" w:space="0" w:color="auto"/>
        <w:bottom w:val="none" w:sz="0" w:space="0" w:color="auto"/>
        <w:right w:val="none" w:sz="0" w:space="0" w:color="auto"/>
      </w:divBdr>
    </w:div>
    <w:div w:id="470442725">
      <w:bodyDiv w:val="1"/>
      <w:marLeft w:val="0"/>
      <w:marRight w:val="0"/>
      <w:marTop w:val="0"/>
      <w:marBottom w:val="0"/>
      <w:divBdr>
        <w:top w:val="none" w:sz="0" w:space="0" w:color="auto"/>
        <w:left w:val="none" w:sz="0" w:space="0" w:color="auto"/>
        <w:bottom w:val="none" w:sz="0" w:space="0" w:color="auto"/>
        <w:right w:val="none" w:sz="0" w:space="0" w:color="auto"/>
      </w:divBdr>
    </w:div>
    <w:div w:id="603071125">
      <w:bodyDiv w:val="1"/>
      <w:marLeft w:val="0"/>
      <w:marRight w:val="0"/>
      <w:marTop w:val="0"/>
      <w:marBottom w:val="0"/>
      <w:divBdr>
        <w:top w:val="none" w:sz="0" w:space="0" w:color="auto"/>
        <w:left w:val="none" w:sz="0" w:space="0" w:color="auto"/>
        <w:bottom w:val="none" w:sz="0" w:space="0" w:color="auto"/>
        <w:right w:val="none" w:sz="0" w:space="0" w:color="auto"/>
      </w:divBdr>
    </w:div>
    <w:div w:id="626592193">
      <w:bodyDiv w:val="1"/>
      <w:marLeft w:val="0"/>
      <w:marRight w:val="0"/>
      <w:marTop w:val="0"/>
      <w:marBottom w:val="0"/>
      <w:divBdr>
        <w:top w:val="none" w:sz="0" w:space="0" w:color="auto"/>
        <w:left w:val="none" w:sz="0" w:space="0" w:color="auto"/>
        <w:bottom w:val="none" w:sz="0" w:space="0" w:color="auto"/>
        <w:right w:val="none" w:sz="0" w:space="0" w:color="auto"/>
      </w:divBdr>
      <w:divsChild>
        <w:div w:id="1473711179">
          <w:marLeft w:val="0"/>
          <w:marRight w:val="0"/>
          <w:marTop w:val="0"/>
          <w:marBottom w:val="0"/>
          <w:divBdr>
            <w:top w:val="none" w:sz="0" w:space="0" w:color="auto"/>
            <w:left w:val="none" w:sz="0" w:space="0" w:color="auto"/>
            <w:bottom w:val="none" w:sz="0" w:space="0" w:color="auto"/>
            <w:right w:val="none" w:sz="0" w:space="0" w:color="auto"/>
          </w:divBdr>
          <w:divsChild>
            <w:div w:id="12674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4850">
      <w:bodyDiv w:val="1"/>
      <w:marLeft w:val="0"/>
      <w:marRight w:val="0"/>
      <w:marTop w:val="0"/>
      <w:marBottom w:val="0"/>
      <w:divBdr>
        <w:top w:val="none" w:sz="0" w:space="0" w:color="auto"/>
        <w:left w:val="none" w:sz="0" w:space="0" w:color="auto"/>
        <w:bottom w:val="none" w:sz="0" w:space="0" w:color="auto"/>
        <w:right w:val="none" w:sz="0" w:space="0" w:color="auto"/>
      </w:divBdr>
    </w:div>
    <w:div w:id="715087955">
      <w:bodyDiv w:val="1"/>
      <w:marLeft w:val="0"/>
      <w:marRight w:val="0"/>
      <w:marTop w:val="0"/>
      <w:marBottom w:val="0"/>
      <w:divBdr>
        <w:top w:val="none" w:sz="0" w:space="0" w:color="auto"/>
        <w:left w:val="none" w:sz="0" w:space="0" w:color="auto"/>
        <w:bottom w:val="none" w:sz="0" w:space="0" w:color="auto"/>
        <w:right w:val="none" w:sz="0" w:space="0" w:color="auto"/>
      </w:divBdr>
    </w:div>
    <w:div w:id="719018134">
      <w:bodyDiv w:val="1"/>
      <w:marLeft w:val="0"/>
      <w:marRight w:val="0"/>
      <w:marTop w:val="0"/>
      <w:marBottom w:val="0"/>
      <w:divBdr>
        <w:top w:val="none" w:sz="0" w:space="0" w:color="auto"/>
        <w:left w:val="none" w:sz="0" w:space="0" w:color="auto"/>
        <w:bottom w:val="none" w:sz="0" w:space="0" w:color="auto"/>
        <w:right w:val="none" w:sz="0" w:space="0" w:color="auto"/>
      </w:divBdr>
    </w:div>
    <w:div w:id="733165628">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54089854">
      <w:bodyDiv w:val="1"/>
      <w:marLeft w:val="0"/>
      <w:marRight w:val="0"/>
      <w:marTop w:val="0"/>
      <w:marBottom w:val="0"/>
      <w:divBdr>
        <w:top w:val="none" w:sz="0" w:space="0" w:color="auto"/>
        <w:left w:val="none" w:sz="0" w:space="0" w:color="auto"/>
        <w:bottom w:val="none" w:sz="0" w:space="0" w:color="auto"/>
        <w:right w:val="none" w:sz="0" w:space="0" w:color="auto"/>
      </w:divBdr>
    </w:div>
    <w:div w:id="778178764">
      <w:bodyDiv w:val="1"/>
      <w:marLeft w:val="0"/>
      <w:marRight w:val="0"/>
      <w:marTop w:val="0"/>
      <w:marBottom w:val="0"/>
      <w:divBdr>
        <w:top w:val="none" w:sz="0" w:space="0" w:color="auto"/>
        <w:left w:val="none" w:sz="0" w:space="0" w:color="auto"/>
        <w:bottom w:val="none" w:sz="0" w:space="0" w:color="auto"/>
        <w:right w:val="none" w:sz="0" w:space="0" w:color="auto"/>
      </w:divBdr>
    </w:div>
    <w:div w:id="781538570">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42816179">
      <w:bodyDiv w:val="1"/>
      <w:marLeft w:val="0"/>
      <w:marRight w:val="0"/>
      <w:marTop w:val="0"/>
      <w:marBottom w:val="0"/>
      <w:divBdr>
        <w:top w:val="none" w:sz="0" w:space="0" w:color="auto"/>
        <w:left w:val="none" w:sz="0" w:space="0" w:color="auto"/>
        <w:bottom w:val="none" w:sz="0" w:space="0" w:color="auto"/>
        <w:right w:val="none" w:sz="0" w:space="0" w:color="auto"/>
      </w:divBdr>
    </w:div>
    <w:div w:id="848329628">
      <w:bodyDiv w:val="1"/>
      <w:marLeft w:val="0"/>
      <w:marRight w:val="0"/>
      <w:marTop w:val="0"/>
      <w:marBottom w:val="0"/>
      <w:divBdr>
        <w:top w:val="none" w:sz="0" w:space="0" w:color="auto"/>
        <w:left w:val="none" w:sz="0" w:space="0" w:color="auto"/>
        <w:bottom w:val="none" w:sz="0" w:space="0" w:color="auto"/>
        <w:right w:val="none" w:sz="0" w:space="0" w:color="auto"/>
      </w:divBdr>
    </w:div>
    <w:div w:id="872956346">
      <w:bodyDiv w:val="1"/>
      <w:marLeft w:val="0"/>
      <w:marRight w:val="0"/>
      <w:marTop w:val="0"/>
      <w:marBottom w:val="0"/>
      <w:divBdr>
        <w:top w:val="none" w:sz="0" w:space="0" w:color="auto"/>
        <w:left w:val="none" w:sz="0" w:space="0" w:color="auto"/>
        <w:bottom w:val="none" w:sz="0" w:space="0" w:color="auto"/>
        <w:right w:val="none" w:sz="0" w:space="0" w:color="auto"/>
      </w:divBdr>
    </w:div>
    <w:div w:id="897399280">
      <w:bodyDiv w:val="1"/>
      <w:marLeft w:val="0"/>
      <w:marRight w:val="0"/>
      <w:marTop w:val="0"/>
      <w:marBottom w:val="0"/>
      <w:divBdr>
        <w:top w:val="none" w:sz="0" w:space="0" w:color="auto"/>
        <w:left w:val="none" w:sz="0" w:space="0" w:color="auto"/>
        <w:bottom w:val="none" w:sz="0" w:space="0" w:color="auto"/>
        <w:right w:val="none" w:sz="0" w:space="0" w:color="auto"/>
      </w:divBdr>
    </w:div>
    <w:div w:id="900943555">
      <w:bodyDiv w:val="1"/>
      <w:marLeft w:val="0"/>
      <w:marRight w:val="0"/>
      <w:marTop w:val="0"/>
      <w:marBottom w:val="0"/>
      <w:divBdr>
        <w:top w:val="none" w:sz="0" w:space="0" w:color="auto"/>
        <w:left w:val="none" w:sz="0" w:space="0" w:color="auto"/>
        <w:bottom w:val="none" w:sz="0" w:space="0" w:color="auto"/>
        <w:right w:val="none" w:sz="0" w:space="0" w:color="auto"/>
      </w:divBdr>
    </w:div>
    <w:div w:id="907157311">
      <w:bodyDiv w:val="1"/>
      <w:marLeft w:val="0"/>
      <w:marRight w:val="0"/>
      <w:marTop w:val="0"/>
      <w:marBottom w:val="0"/>
      <w:divBdr>
        <w:top w:val="none" w:sz="0" w:space="0" w:color="auto"/>
        <w:left w:val="none" w:sz="0" w:space="0" w:color="auto"/>
        <w:bottom w:val="none" w:sz="0" w:space="0" w:color="auto"/>
        <w:right w:val="none" w:sz="0" w:space="0" w:color="auto"/>
      </w:divBdr>
    </w:div>
    <w:div w:id="945818107">
      <w:bodyDiv w:val="1"/>
      <w:marLeft w:val="0"/>
      <w:marRight w:val="0"/>
      <w:marTop w:val="0"/>
      <w:marBottom w:val="0"/>
      <w:divBdr>
        <w:top w:val="none" w:sz="0" w:space="0" w:color="auto"/>
        <w:left w:val="none" w:sz="0" w:space="0" w:color="auto"/>
        <w:bottom w:val="none" w:sz="0" w:space="0" w:color="auto"/>
        <w:right w:val="none" w:sz="0" w:space="0" w:color="auto"/>
      </w:divBdr>
    </w:div>
    <w:div w:id="958292561">
      <w:bodyDiv w:val="1"/>
      <w:marLeft w:val="0"/>
      <w:marRight w:val="0"/>
      <w:marTop w:val="0"/>
      <w:marBottom w:val="0"/>
      <w:divBdr>
        <w:top w:val="none" w:sz="0" w:space="0" w:color="auto"/>
        <w:left w:val="none" w:sz="0" w:space="0" w:color="auto"/>
        <w:bottom w:val="none" w:sz="0" w:space="0" w:color="auto"/>
        <w:right w:val="none" w:sz="0" w:space="0" w:color="auto"/>
      </w:divBdr>
    </w:div>
    <w:div w:id="967709483">
      <w:bodyDiv w:val="1"/>
      <w:marLeft w:val="0"/>
      <w:marRight w:val="0"/>
      <w:marTop w:val="0"/>
      <w:marBottom w:val="0"/>
      <w:divBdr>
        <w:top w:val="none" w:sz="0" w:space="0" w:color="auto"/>
        <w:left w:val="none" w:sz="0" w:space="0" w:color="auto"/>
        <w:bottom w:val="none" w:sz="0" w:space="0" w:color="auto"/>
        <w:right w:val="none" w:sz="0" w:space="0" w:color="auto"/>
      </w:divBdr>
    </w:div>
    <w:div w:id="1016004918">
      <w:bodyDiv w:val="1"/>
      <w:marLeft w:val="0"/>
      <w:marRight w:val="0"/>
      <w:marTop w:val="0"/>
      <w:marBottom w:val="0"/>
      <w:divBdr>
        <w:top w:val="none" w:sz="0" w:space="0" w:color="auto"/>
        <w:left w:val="none" w:sz="0" w:space="0" w:color="auto"/>
        <w:bottom w:val="none" w:sz="0" w:space="0" w:color="auto"/>
        <w:right w:val="none" w:sz="0" w:space="0" w:color="auto"/>
      </w:divBdr>
    </w:div>
    <w:div w:id="1042481174">
      <w:bodyDiv w:val="1"/>
      <w:marLeft w:val="0"/>
      <w:marRight w:val="0"/>
      <w:marTop w:val="0"/>
      <w:marBottom w:val="0"/>
      <w:divBdr>
        <w:top w:val="none" w:sz="0" w:space="0" w:color="auto"/>
        <w:left w:val="none" w:sz="0" w:space="0" w:color="auto"/>
        <w:bottom w:val="none" w:sz="0" w:space="0" w:color="auto"/>
        <w:right w:val="none" w:sz="0" w:space="0" w:color="auto"/>
      </w:divBdr>
    </w:div>
    <w:div w:id="1074856765">
      <w:bodyDiv w:val="1"/>
      <w:marLeft w:val="0"/>
      <w:marRight w:val="0"/>
      <w:marTop w:val="0"/>
      <w:marBottom w:val="0"/>
      <w:divBdr>
        <w:top w:val="none" w:sz="0" w:space="0" w:color="auto"/>
        <w:left w:val="none" w:sz="0" w:space="0" w:color="auto"/>
        <w:bottom w:val="none" w:sz="0" w:space="0" w:color="auto"/>
        <w:right w:val="none" w:sz="0" w:space="0" w:color="auto"/>
      </w:divBdr>
    </w:div>
    <w:div w:id="1115717079">
      <w:bodyDiv w:val="1"/>
      <w:marLeft w:val="0"/>
      <w:marRight w:val="0"/>
      <w:marTop w:val="0"/>
      <w:marBottom w:val="0"/>
      <w:divBdr>
        <w:top w:val="none" w:sz="0" w:space="0" w:color="auto"/>
        <w:left w:val="none" w:sz="0" w:space="0" w:color="auto"/>
        <w:bottom w:val="none" w:sz="0" w:space="0" w:color="auto"/>
        <w:right w:val="none" w:sz="0" w:space="0" w:color="auto"/>
      </w:divBdr>
    </w:div>
    <w:div w:id="1122916133">
      <w:bodyDiv w:val="1"/>
      <w:marLeft w:val="0"/>
      <w:marRight w:val="0"/>
      <w:marTop w:val="0"/>
      <w:marBottom w:val="0"/>
      <w:divBdr>
        <w:top w:val="none" w:sz="0" w:space="0" w:color="auto"/>
        <w:left w:val="none" w:sz="0" w:space="0" w:color="auto"/>
        <w:bottom w:val="none" w:sz="0" w:space="0" w:color="auto"/>
        <w:right w:val="none" w:sz="0" w:space="0" w:color="auto"/>
      </w:divBdr>
    </w:div>
    <w:div w:id="1174877011">
      <w:bodyDiv w:val="1"/>
      <w:marLeft w:val="0"/>
      <w:marRight w:val="0"/>
      <w:marTop w:val="0"/>
      <w:marBottom w:val="0"/>
      <w:divBdr>
        <w:top w:val="none" w:sz="0" w:space="0" w:color="auto"/>
        <w:left w:val="none" w:sz="0" w:space="0" w:color="auto"/>
        <w:bottom w:val="none" w:sz="0" w:space="0" w:color="auto"/>
        <w:right w:val="none" w:sz="0" w:space="0" w:color="auto"/>
      </w:divBdr>
    </w:div>
    <w:div w:id="1178274753">
      <w:bodyDiv w:val="1"/>
      <w:marLeft w:val="0"/>
      <w:marRight w:val="0"/>
      <w:marTop w:val="0"/>
      <w:marBottom w:val="0"/>
      <w:divBdr>
        <w:top w:val="none" w:sz="0" w:space="0" w:color="auto"/>
        <w:left w:val="none" w:sz="0" w:space="0" w:color="auto"/>
        <w:bottom w:val="none" w:sz="0" w:space="0" w:color="auto"/>
        <w:right w:val="none" w:sz="0" w:space="0" w:color="auto"/>
      </w:divBdr>
    </w:div>
    <w:div w:id="1179077196">
      <w:bodyDiv w:val="1"/>
      <w:marLeft w:val="0"/>
      <w:marRight w:val="0"/>
      <w:marTop w:val="0"/>
      <w:marBottom w:val="0"/>
      <w:divBdr>
        <w:top w:val="none" w:sz="0" w:space="0" w:color="auto"/>
        <w:left w:val="none" w:sz="0" w:space="0" w:color="auto"/>
        <w:bottom w:val="none" w:sz="0" w:space="0" w:color="auto"/>
        <w:right w:val="none" w:sz="0" w:space="0" w:color="auto"/>
      </w:divBdr>
    </w:div>
    <w:div w:id="1227843155">
      <w:bodyDiv w:val="1"/>
      <w:marLeft w:val="0"/>
      <w:marRight w:val="0"/>
      <w:marTop w:val="0"/>
      <w:marBottom w:val="0"/>
      <w:divBdr>
        <w:top w:val="none" w:sz="0" w:space="0" w:color="auto"/>
        <w:left w:val="none" w:sz="0" w:space="0" w:color="auto"/>
        <w:bottom w:val="none" w:sz="0" w:space="0" w:color="auto"/>
        <w:right w:val="none" w:sz="0" w:space="0" w:color="auto"/>
      </w:divBdr>
      <w:divsChild>
        <w:div w:id="1494758078">
          <w:marLeft w:val="0"/>
          <w:marRight w:val="0"/>
          <w:marTop w:val="0"/>
          <w:marBottom w:val="0"/>
          <w:divBdr>
            <w:top w:val="none" w:sz="0" w:space="0" w:color="auto"/>
            <w:left w:val="none" w:sz="0" w:space="0" w:color="auto"/>
            <w:bottom w:val="none" w:sz="0" w:space="0" w:color="auto"/>
            <w:right w:val="none" w:sz="0" w:space="0" w:color="auto"/>
          </w:divBdr>
          <w:divsChild>
            <w:div w:id="8809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3919">
      <w:bodyDiv w:val="1"/>
      <w:marLeft w:val="0"/>
      <w:marRight w:val="0"/>
      <w:marTop w:val="0"/>
      <w:marBottom w:val="0"/>
      <w:divBdr>
        <w:top w:val="none" w:sz="0" w:space="0" w:color="auto"/>
        <w:left w:val="none" w:sz="0" w:space="0" w:color="auto"/>
        <w:bottom w:val="none" w:sz="0" w:space="0" w:color="auto"/>
        <w:right w:val="none" w:sz="0" w:space="0" w:color="auto"/>
      </w:divBdr>
    </w:div>
    <w:div w:id="1245140513">
      <w:bodyDiv w:val="1"/>
      <w:marLeft w:val="0"/>
      <w:marRight w:val="0"/>
      <w:marTop w:val="0"/>
      <w:marBottom w:val="0"/>
      <w:divBdr>
        <w:top w:val="none" w:sz="0" w:space="0" w:color="auto"/>
        <w:left w:val="none" w:sz="0" w:space="0" w:color="auto"/>
        <w:bottom w:val="none" w:sz="0" w:space="0" w:color="auto"/>
        <w:right w:val="none" w:sz="0" w:space="0" w:color="auto"/>
      </w:divBdr>
    </w:div>
    <w:div w:id="1273048829">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77786671">
      <w:bodyDiv w:val="1"/>
      <w:marLeft w:val="0"/>
      <w:marRight w:val="0"/>
      <w:marTop w:val="0"/>
      <w:marBottom w:val="0"/>
      <w:divBdr>
        <w:top w:val="none" w:sz="0" w:space="0" w:color="auto"/>
        <w:left w:val="none" w:sz="0" w:space="0" w:color="auto"/>
        <w:bottom w:val="none" w:sz="0" w:space="0" w:color="auto"/>
        <w:right w:val="none" w:sz="0" w:space="0" w:color="auto"/>
      </w:divBdr>
    </w:div>
    <w:div w:id="1326517193">
      <w:bodyDiv w:val="1"/>
      <w:marLeft w:val="0"/>
      <w:marRight w:val="0"/>
      <w:marTop w:val="0"/>
      <w:marBottom w:val="0"/>
      <w:divBdr>
        <w:top w:val="none" w:sz="0" w:space="0" w:color="auto"/>
        <w:left w:val="none" w:sz="0" w:space="0" w:color="auto"/>
        <w:bottom w:val="none" w:sz="0" w:space="0" w:color="auto"/>
        <w:right w:val="none" w:sz="0" w:space="0" w:color="auto"/>
      </w:divBdr>
    </w:div>
    <w:div w:id="1338577060">
      <w:bodyDiv w:val="1"/>
      <w:marLeft w:val="0"/>
      <w:marRight w:val="0"/>
      <w:marTop w:val="0"/>
      <w:marBottom w:val="0"/>
      <w:divBdr>
        <w:top w:val="none" w:sz="0" w:space="0" w:color="auto"/>
        <w:left w:val="none" w:sz="0" w:space="0" w:color="auto"/>
        <w:bottom w:val="none" w:sz="0" w:space="0" w:color="auto"/>
        <w:right w:val="none" w:sz="0" w:space="0" w:color="auto"/>
      </w:divBdr>
    </w:div>
    <w:div w:id="1352102550">
      <w:bodyDiv w:val="1"/>
      <w:marLeft w:val="0"/>
      <w:marRight w:val="0"/>
      <w:marTop w:val="0"/>
      <w:marBottom w:val="0"/>
      <w:divBdr>
        <w:top w:val="none" w:sz="0" w:space="0" w:color="auto"/>
        <w:left w:val="none" w:sz="0" w:space="0" w:color="auto"/>
        <w:bottom w:val="none" w:sz="0" w:space="0" w:color="auto"/>
        <w:right w:val="none" w:sz="0" w:space="0" w:color="auto"/>
      </w:divBdr>
    </w:div>
    <w:div w:id="1454056315">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22666978">
      <w:bodyDiv w:val="1"/>
      <w:marLeft w:val="0"/>
      <w:marRight w:val="0"/>
      <w:marTop w:val="0"/>
      <w:marBottom w:val="0"/>
      <w:divBdr>
        <w:top w:val="none" w:sz="0" w:space="0" w:color="auto"/>
        <w:left w:val="none" w:sz="0" w:space="0" w:color="auto"/>
        <w:bottom w:val="none" w:sz="0" w:space="0" w:color="auto"/>
        <w:right w:val="none" w:sz="0" w:space="0" w:color="auto"/>
      </w:divBdr>
    </w:div>
    <w:div w:id="1524052386">
      <w:bodyDiv w:val="1"/>
      <w:marLeft w:val="0"/>
      <w:marRight w:val="0"/>
      <w:marTop w:val="0"/>
      <w:marBottom w:val="0"/>
      <w:divBdr>
        <w:top w:val="none" w:sz="0" w:space="0" w:color="auto"/>
        <w:left w:val="none" w:sz="0" w:space="0" w:color="auto"/>
        <w:bottom w:val="none" w:sz="0" w:space="0" w:color="auto"/>
        <w:right w:val="none" w:sz="0" w:space="0" w:color="auto"/>
      </w:divBdr>
    </w:div>
    <w:div w:id="1535266150">
      <w:bodyDiv w:val="1"/>
      <w:marLeft w:val="0"/>
      <w:marRight w:val="0"/>
      <w:marTop w:val="0"/>
      <w:marBottom w:val="0"/>
      <w:divBdr>
        <w:top w:val="none" w:sz="0" w:space="0" w:color="auto"/>
        <w:left w:val="none" w:sz="0" w:space="0" w:color="auto"/>
        <w:bottom w:val="none" w:sz="0" w:space="0" w:color="auto"/>
        <w:right w:val="none" w:sz="0" w:space="0" w:color="auto"/>
      </w:divBdr>
    </w:div>
    <w:div w:id="1575092548">
      <w:bodyDiv w:val="1"/>
      <w:marLeft w:val="0"/>
      <w:marRight w:val="0"/>
      <w:marTop w:val="0"/>
      <w:marBottom w:val="0"/>
      <w:divBdr>
        <w:top w:val="none" w:sz="0" w:space="0" w:color="auto"/>
        <w:left w:val="none" w:sz="0" w:space="0" w:color="auto"/>
        <w:bottom w:val="none" w:sz="0" w:space="0" w:color="auto"/>
        <w:right w:val="none" w:sz="0" w:space="0" w:color="auto"/>
      </w:divBdr>
      <w:divsChild>
        <w:div w:id="320934695">
          <w:marLeft w:val="0"/>
          <w:marRight w:val="0"/>
          <w:marTop w:val="0"/>
          <w:marBottom w:val="0"/>
          <w:divBdr>
            <w:top w:val="none" w:sz="0" w:space="0" w:color="auto"/>
            <w:left w:val="none" w:sz="0" w:space="0" w:color="auto"/>
            <w:bottom w:val="none" w:sz="0" w:space="0" w:color="auto"/>
            <w:right w:val="none" w:sz="0" w:space="0" w:color="auto"/>
          </w:divBdr>
          <w:divsChild>
            <w:div w:id="123852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2356">
      <w:bodyDiv w:val="1"/>
      <w:marLeft w:val="0"/>
      <w:marRight w:val="0"/>
      <w:marTop w:val="0"/>
      <w:marBottom w:val="0"/>
      <w:divBdr>
        <w:top w:val="none" w:sz="0" w:space="0" w:color="auto"/>
        <w:left w:val="none" w:sz="0" w:space="0" w:color="auto"/>
        <w:bottom w:val="none" w:sz="0" w:space="0" w:color="auto"/>
        <w:right w:val="none" w:sz="0" w:space="0" w:color="auto"/>
      </w:divBdr>
    </w:div>
    <w:div w:id="1697657514">
      <w:bodyDiv w:val="1"/>
      <w:marLeft w:val="0"/>
      <w:marRight w:val="0"/>
      <w:marTop w:val="0"/>
      <w:marBottom w:val="0"/>
      <w:divBdr>
        <w:top w:val="none" w:sz="0" w:space="0" w:color="auto"/>
        <w:left w:val="none" w:sz="0" w:space="0" w:color="auto"/>
        <w:bottom w:val="none" w:sz="0" w:space="0" w:color="auto"/>
        <w:right w:val="none" w:sz="0" w:space="0" w:color="auto"/>
      </w:divBdr>
    </w:div>
    <w:div w:id="1703818719">
      <w:bodyDiv w:val="1"/>
      <w:marLeft w:val="0"/>
      <w:marRight w:val="0"/>
      <w:marTop w:val="0"/>
      <w:marBottom w:val="0"/>
      <w:divBdr>
        <w:top w:val="none" w:sz="0" w:space="0" w:color="auto"/>
        <w:left w:val="none" w:sz="0" w:space="0" w:color="auto"/>
        <w:bottom w:val="none" w:sz="0" w:space="0" w:color="auto"/>
        <w:right w:val="none" w:sz="0" w:space="0" w:color="auto"/>
      </w:divBdr>
    </w:div>
    <w:div w:id="1743331080">
      <w:bodyDiv w:val="1"/>
      <w:marLeft w:val="0"/>
      <w:marRight w:val="0"/>
      <w:marTop w:val="0"/>
      <w:marBottom w:val="0"/>
      <w:divBdr>
        <w:top w:val="none" w:sz="0" w:space="0" w:color="auto"/>
        <w:left w:val="none" w:sz="0" w:space="0" w:color="auto"/>
        <w:bottom w:val="none" w:sz="0" w:space="0" w:color="auto"/>
        <w:right w:val="none" w:sz="0" w:space="0" w:color="auto"/>
      </w:divBdr>
    </w:div>
    <w:div w:id="1758019231">
      <w:bodyDiv w:val="1"/>
      <w:marLeft w:val="0"/>
      <w:marRight w:val="0"/>
      <w:marTop w:val="0"/>
      <w:marBottom w:val="0"/>
      <w:divBdr>
        <w:top w:val="none" w:sz="0" w:space="0" w:color="auto"/>
        <w:left w:val="none" w:sz="0" w:space="0" w:color="auto"/>
        <w:bottom w:val="none" w:sz="0" w:space="0" w:color="auto"/>
        <w:right w:val="none" w:sz="0" w:space="0" w:color="auto"/>
      </w:divBdr>
    </w:div>
    <w:div w:id="1758598075">
      <w:bodyDiv w:val="1"/>
      <w:marLeft w:val="0"/>
      <w:marRight w:val="0"/>
      <w:marTop w:val="0"/>
      <w:marBottom w:val="0"/>
      <w:divBdr>
        <w:top w:val="none" w:sz="0" w:space="0" w:color="auto"/>
        <w:left w:val="none" w:sz="0" w:space="0" w:color="auto"/>
        <w:bottom w:val="none" w:sz="0" w:space="0" w:color="auto"/>
        <w:right w:val="none" w:sz="0" w:space="0" w:color="auto"/>
      </w:divBdr>
    </w:div>
    <w:div w:id="1791586475">
      <w:bodyDiv w:val="1"/>
      <w:marLeft w:val="0"/>
      <w:marRight w:val="0"/>
      <w:marTop w:val="0"/>
      <w:marBottom w:val="0"/>
      <w:divBdr>
        <w:top w:val="none" w:sz="0" w:space="0" w:color="auto"/>
        <w:left w:val="none" w:sz="0" w:space="0" w:color="auto"/>
        <w:bottom w:val="none" w:sz="0" w:space="0" w:color="auto"/>
        <w:right w:val="none" w:sz="0" w:space="0" w:color="auto"/>
      </w:divBdr>
    </w:div>
    <w:div w:id="1831943683">
      <w:bodyDiv w:val="1"/>
      <w:marLeft w:val="0"/>
      <w:marRight w:val="0"/>
      <w:marTop w:val="0"/>
      <w:marBottom w:val="0"/>
      <w:divBdr>
        <w:top w:val="none" w:sz="0" w:space="0" w:color="auto"/>
        <w:left w:val="none" w:sz="0" w:space="0" w:color="auto"/>
        <w:bottom w:val="none" w:sz="0" w:space="0" w:color="auto"/>
        <w:right w:val="none" w:sz="0" w:space="0" w:color="auto"/>
      </w:divBdr>
    </w:div>
    <w:div w:id="1894384063">
      <w:bodyDiv w:val="1"/>
      <w:marLeft w:val="0"/>
      <w:marRight w:val="0"/>
      <w:marTop w:val="0"/>
      <w:marBottom w:val="0"/>
      <w:divBdr>
        <w:top w:val="none" w:sz="0" w:space="0" w:color="auto"/>
        <w:left w:val="none" w:sz="0" w:space="0" w:color="auto"/>
        <w:bottom w:val="none" w:sz="0" w:space="0" w:color="auto"/>
        <w:right w:val="none" w:sz="0" w:space="0" w:color="auto"/>
      </w:divBdr>
    </w:div>
    <w:div w:id="1898474607">
      <w:bodyDiv w:val="1"/>
      <w:marLeft w:val="0"/>
      <w:marRight w:val="0"/>
      <w:marTop w:val="0"/>
      <w:marBottom w:val="0"/>
      <w:divBdr>
        <w:top w:val="none" w:sz="0" w:space="0" w:color="auto"/>
        <w:left w:val="none" w:sz="0" w:space="0" w:color="auto"/>
        <w:bottom w:val="none" w:sz="0" w:space="0" w:color="auto"/>
        <w:right w:val="none" w:sz="0" w:space="0" w:color="auto"/>
      </w:divBdr>
    </w:div>
    <w:div w:id="1900900234">
      <w:bodyDiv w:val="1"/>
      <w:marLeft w:val="0"/>
      <w:marRight w:val="0"/>
      <w:marTop w:val="0"/>
      <w:marBottom w:val="0"/>
      <w:divBdr>
        <w:top w:val="none" w:sz="0" w:space="0" w:color="auto"/>
        <w:left w:val="none" w:sz="0" w:space="0" w:color="auto"/>
        <w:bottom w:val="none" w:sz="0" w:space="0" w:color="auto"/>
        <w:right w:val="none" w:sz="0" w:space="0" w:color="auto"/>
      </w:divBdr>
    </w:div>
    <w:div w:id="1955209624">
      <w:bodyDiv w:val="1"/>
      <w:marLeft w:val="0"/>
      <w:marRight w:val="0"/>
      <w:marTop w:val="0"/>
      <w:marBottom w:val="0"/>
      <w:divBdr>
        <w:top w:val="none" w:sz="0" w:space="0" w:color="auto"/>
        <w:left w:val="none" w:sz="0" w:space="0" w:color="auto"/>
        <w:bottom w:val="none" w:sz="0" w:space="0" w:color="auto"/>
        <w:right w:val="none" w:sz="0" w:space="0" w:color="auto"/>
      </w:divBdr>
    </w:div>
    <w:div w:id="1996954421">
      <w:bodyDiv w:val="1"/>
      <w:marLeft w:val="0"/>
      <w:marRight w:val="0"/>
      <w:marTop w:val="0"/>
      <w:marBottom w:val="0"/>
      <w:divBdr>
        <w:top w:val="none" w:sz="0" w:space="0" w:color="auto"/>
        <w:left w:val="none" w:sz="0" w:space="0" w:color="auto"/>
        <w:bottom w:val="none" w:sz="0" w:space="0" w:color="auto"/>
        <w:right w:val="none" w:sz="0" w:space="0" w:color="auto"/>
      </w:divBdr>
    </w:div>
    <w:div w:id="2022773538">
      <w:bodyDiv w:val="1"/>
      <w:marLeft w:val="0"/>
      <w:marRight w:val="0"/>
      <w:marTop w:val="0"/>
      <w:marBottom w:val="0"/>
      <w:divBdr>
        <w:top w:val="none" w:sz="0" w:space="0" w:color="auto"/>
        <w:left w:val="none" w:sz="0" w:space="0" w:color="auto"/>
        <w:bottom w:val="none" w:sz="0" w:space="0" w:color="auto"/>
        <w:right w:val="none" w:sz="0" w:space="0" w:color="auto"/>
      </w:divBdr>
    </w:div>
    <w:div w:id="2030911730">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2684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au/legalcode" TargetMode="External"/><Relationship Id="rId18" Type="http://schemas.openxmlformats.org/officeDocument/2006/relationships/chart" Target="charts/chart2.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hyperlink" Target="http://creativecommons.org/licenses/by/3.0/au/deed.en" TargetMode="External"/><Relationship Id="rId17" Type="http://schemas.openxmlformats.org/officeDocument/2006/relationships/footer" Target="footer2.xml"/><Relationship Id="rId25"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8.xml"/><Relationship Id="rId5" Type="http://schemas.openxmlformats.org/officeDocument/2006/relationships/settings" Target="settings.xml"/><Relationship Id="rId15" Type="http://schemas.openxmlformats.org/officeDocument/2006/relationships/hyperlink" Target="http://creativecommons.org/licenses/by/3.0/au/deed.en" TargetMode="External"/><Relationship Id="rId23" Type="http://schemas.openxmlformats.org/officeDocument/2006/relationships/chart" Target="charts/chart7.xml"/><Relationship Id="rId28"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chart" Target="charts/chart3.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wmf"/><Relationship Id="rId22" Type="http://schemas.openxmlformats.org/officeDocument/2006/relationships/chart" Target="charts/chart6.xml"/><Relationship Id="rId27" Type="http://schemas.openxmlformats.org/officeDocument/2006/relationships/footer" Target="foot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ihpa.gov.au/internet/ihpa/publishing.nsf/Content/aust-costing-standards-2014-html" TargetMode="External"/><Relationship Id="rId3" Type="http://schemas.openxmlformats.org/officeDocument/2006/relationships/hyperlink" Target="http://www.abs.gov.au/ausstats/abs@.nsf/Lookup/by%20Subject/4390.0~2015-16~Main%20Features~All%20Private%20Hospitals%20-%20summary~2" TargetMode="External"/><Relationship Id="rId7" Type="http://schemas.openxmlformats.org/officeDocument/2006/relationships/hyperlink" Target="http://www.health.gov.au/internet/main/publishing.nsf/Content/38E5E5E23C0D4336CA257BF0001E8AC3/$File/Data%20Definitions%20Manual.pdf" TargetMode="External"/><Relationship Id="rId2" Type="http://schemas.openxmlformats.org/officeDocument/2006/relationships/hyperlink" Target="http://www.health.gov.au/internet/main/publishing.nsf/Content/38E5E5E23C0D4336CA257BF0001E8AC3/$File/Data%20Definitions%20Manual.pdf" TargetMode="External"/><Relationship Id="rId1" Type="http://schemas.openxmlformats.org/officeDocument/2006/relationships/hyperlink" Target="http://www.health.gov.au/internet/main/publishing.nsf/Content/38E5E5E23C0D4336CA257BF0001E8AC3/$File/Data%20Definitions%20Manual.pdf" TargetMode="External"/><Relationship Id="rId6" Type="http://schemas.openxmlformats.org/officeDocument/2006/relationships/hyperlink" Target="http://www.health.gov.au/internet/main/publishing.nsf/Content/38E5E5E23C0D4336CA257BF0001E8AC3/$File/Data%20Definitions%20Manual.pdf" TargetMode="External"/><Relationship Id="rId11" Type="http://schemas.openxmlformats.org/officeDocument/2006/relationships/hyperlink" Target="http://www.aihw.gov.au/WorkArea/DownloadAsset.aspx?id=60129550404" TargetMode="External"/><Relationship Id="rId5" Type="http://schemas.openxmlformats.org/officeDocument/2006/relationships/hyperlink" Target="http://www.health.gov.au/internet/main/publishing.nsf/Content/38E5E5E23C0D4336CA257BF0001E8AC3/$File/Data%20Definitions%20Manual.pdf" TargetMode="External"/><Relationship Id="rId10" Type="http://schemas.openxmlformats.org/officeDocument/2006/relationships/hyperlink" Target="http://www.health.gov.au/internet/main/publishing.nsf/Content/Round_13-cost-reports" TargetMode="External"/><Relationship Id="rId4" Type="http://schemas.openxmlformats.org/officeDocument/2006/relationships/hyperlink" Target="file:///\\au.aap.ad.pwcinternal.com\syd$\data\Advisory\Client%20N-R\NHCDC\Round%2018%20Collection\08.%20Public%20report\Data%20Dictionary,%20METeOR%20ID:%20270174" TargetMode="External"/><Relationship Id="rId9" Type="http://schemas.openxmlformats.org/officeDocument/2006/relationships/hyperlink" Target="http://www.ihpa.gov.au/internet/ihpa/publishing.nsf/Content/aust-costing-standards-201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IHPAPORTAL\thirdparty\PwC\Private%20Sector%20NHCDC%20-%20Round%2020\NHCDC1516\SASOutput\11%20Tables%20for%20Public%20Report_DRGv8.xlsb"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HPAPORTAL\thirdparty\PwC\Private%20Sector%20NHCDC%20-%20Round%2020\NHCDC1516\SASOutput\11%20Tables%20for%20Public%20Report_DRGv8.xlsb"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HPAPORTAL\thirdparty\PwC\Private%20Sector%20NHCDC%20-%20Round%2020\NHCDC1516\SASOutput\11%20Tables%20for%20Public%20Report_DRGv8.xlsb"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HPAPORTAL\thirdparty\PwC\Private%20Sector%20NHCDC%20-%20Round%2020\NHCDC1516\SASOutput\11%20Tables%20for%20Public%20Report_DRGv8.xlsb"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HPAPORTAL\thirdparty\PwC\Private%20Sector%20NHCDC%20-%20Round%2020\NHCDC1516\SASOutput\11%20Tables%20for%20Public%20Report_DRGv8.xlsb"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HPAPORTAL\thirdparty\PwC\Private%20Sector%20NHCDC%20-%20Round%2020\NHCDC1516\SASOutput\11%20Tables%20for%20Public%20Report_DRGv8.xlsb"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IHPAPORTAL\thirdparty\PwC\Private%20Sector%20NHCDC%20-%20Round%2020\NHCDC1516\SASOutput\11%20Tables%20for%20Public%20Report_DRGv8.xlsb"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IHPAPORTAL\thirdparty\PwC\Private%20Sector%20NHCDC%20-%20Round%2020\NHCDC1516\SASOutput\11%20Tables%20for%20Public%20Report_DRGv8.xlsb"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IHPAPORTAL\thirdparty\PwC\Private%20Sector%20NHCDC%20-%20Round%2020\NHCDC1516\SASOutput\11%20Tables%20for%20Public%20Report_DRGv8.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'00 README'!$D$16</c:f>
              <c:strCache>
                <c:ptCount val="1"/>
                <c:pt idx="0">
                  <c:v>Round 18</c:v>
                </c:pt>
              </c:strCache>
            </c:strRef>
          </c:tx>
          <c:spPr>
            <a:solidFill>
              <a:schemeClr val="accent2">
                <a:tint val="77000"/>
              </a:schemeClr>
            </a:solidFill>
            <a:ln>
              <a:noFill/>
            </a:ln>
            <a:effectLst/>
          </c:spPr>
          <c:invertIfNegative val="0"/>
          <c:cat>
            <c:strRef>
              <c:f>'TOP20 Tables'!$H$8:$H$27</c:f>
              <c:strCache>
                <c:ptCount val="20"/>
                <c:pt idx="0">
                  <c:v>A06A</c:v>
                </c:pt>
                <c:pt idx="1">
                  <c:v>A06B</c:v>
                </c:pt>
                <c:pt idx="2">
                  <c:v>F01A</c:v>
                </c:pt>
                <c:pt idx="3">
                  <c:v>I02A</c:v>
                </c:pt>
                <c:pt idx="4">
                  <c:v>F04A</c:v>
                </c:pt>
                <c:pt idx="5">
                  <c:v>F01B</c:v>
                </c:pt>
                <c:pt idx="6">
                  <c:v>A06C</c:v>
                </c:pt>
                <c:pt idx="7">
                  <c:v>P64A</c:v>
                </c:pt>
                <c:pt idx="8">
                  <c:v>B60A</c:v>
                </c:pt>
                <c:pt idx="9">
                  <c:v>I09A</c:v>
                </c:pt>
                <c:pt idx="10">
                  <c:v>P03B</c:v>
                </c:pt>
                <c:pt idx="11">
                  <c:v>I06Z</c:v>
                </c:pt>
                <c:pt idx="12">
                  <c:v>F03A</c:v>
                </c:pt>
                <c:pt idx="13">
                  <c:v>F07A</c:v>
                </c:pt>
                <c:pt idx="14">
                  <c:v>K01A</c:v>
                </c:pt>
                <c:pt idx="15">
                  <c:v>F05A</c:v>
                </c:pt>
                <c:pt idx="16">
                  <c:v>F08A</c:v>
                </c:pt>
                <c:pt idx="17">
                  <c:v>I31A</c:v>
                </c:pt>
                <c:pt idx="18">
                  <c:v>G01A</c:v>
                </c:pt>
                <c:pt idx="19">
                  <c:v>F06A</c:v>
                </c:pt>
              </c:strCache>
            </c:strRef>
          </c:cat>
          <c:val>
            <c:numRef>
              <c:f>'TOP20 Tables'!$A$8:$A$27</c:f>
              <c:numCache>
                <c:formatCode>#,##0.00_);\(#,##0.00\)</c:formatCode>
                <c:ptCount val="20"/>
                <c:pt idx="0">
                  <c:v>44.410400000000003</c:v>
                </c:pt>
                <c:pt idx="1">
                  <c:v>27.484100000000002</c:v>
                </c:pt>
                <c:pt idx="2">
                  <c:v>28.9346</c:v>
                </c:pt>
                <c:pt idx="3">
                  <c:v>14.384</c:v>
                </c:pt>
                <c:pt idx="4">
                  <c:v>19.470800000000001</c:v>
                </c:pt>
                <c:pt idx="5">
                  <c:v>22.337199999999999</c:v>
                </c:pt>
                <c:pt idx="6">
                  <c:v>17.367699999999999</c:v>
                </c:pt>
                <c:pt idx="7">
                  <c:v>5.8861999999999997</c:v>
                </c:pt>
                <c:pt idx="8">
                  <c:v>18.972999999999999</c:v>
                </c:pt>
                <c:pt idx="9">
                  <c:v>16.236799999999999</c:v>
                </c:pt>
                <c:pt idx="10">
                  <c:v>0</c:v>
                </c:pt>
                <c:pt idx="11">
                  <c:v>15.414</c:v>
                </c:pt>
                <c:pt idx="12">
                  <c:v>17.476500000000001</c:v>
                </c:pt>
                <c:pt idx="13">
                  <c:v>13.742100000000001</c:v>
                </c:pt>
                <c:pt idx="14">
                  <c:v>12.0143</c:v>
                </c:pt>
                <c:pt idx="15">
                  <c:v>14.4701</c:v>
                </c:pt>
                <c:pt idx="16">
                  <c:v>10.6145</c:v>
                </c:pt>
                <c:pt idx="17">
                  <c:v>12.2059</c:v>
                </c:pt>
                <c:pt idx="18">
                  <c:v>11.689399999999999</c:v>
                </c:pt>
                <c:pt idx="19">
                  <c:v>12.4701</c:v>
                </c:pt>
              </c:numCache>
            </c:numRef>
          </c:val>
          <c:extLst xmlns:c16r2="http://schemas.microsoft.com/office/drawing/2015/06/chart">
            <c:ext xmlns:c16="http://schemas.microsoft.com/office/drawing/2014/chart" uri="{C3380CC4-5D6E-409C-BE32-E72D297353CC}">
              <c16:uniqueId val="{00000000-C739-4D1B-A9AB-B73DE88CB406}"/>
            </c:ext>
          </c:extLst>
        </c:ser>
        <c:ser>
          <c:idx val="1"/>
          <c:order val="1"/>
          <c:tx>
            <c:strRef>
              <c:f>'00 README'!$D$14</c:f>
              <c:strCache>
                <c:ptCount val="1"/>
                <c:pt idx="0">
                  <c:v>Round 20</c:v>
                </c:pt>
              </c:strCache>
            </c:strRef>
          </c:tx>
          <c:spPr>
            <a:solidFill>
              <a:schemeClr val="accent2">
                <a:shade val="76000"/>
              </a:schemeClr>
            </a:solidFill>
            <a:ln>
              <a:noFill/>
            </a:ln>
            <a:effectLst/>
          </c:spPr>
          <c:invertIfNegative val="0"/>
          <c:cat>
            <c:strRef>
              <c:f>'TOP20 Tables'!$H$8:$H$27</c:f>
              <c:strCache>
                <c:ptCount val="20"/>
                <c:pt idx="0">
                  <c:v>A06A</c:v>
                </c:pt>
                <c:pt idx="1">
                  <c:v>A06B</c:v>
                </c:pt>
                <c:pt idx="2">
                  <c:v>F01A</c:v>
                </c:pt>
                <c:pt idx="3">
                  <c:v>I02A</c:v>
                </c:pt>
                <c:pt idx="4">
                  <c:v>F04A</c:v>
                </c:pt>
                <c:pt idx="5">
                  <c:v>F01B</c:v>
                </c:pt>
                <c:pt idx="6">
                  <c:v>A06C</c:v>
                </c:pt>
                <c:pt idx="7">
                  <c:v>P64A</c:v>
                </c:pt>
                <c:pt idx="8">
                  <c:v>B60A</c:v>
                </c:pt>
                <c:pt idx="9">
                  <c:v>I09A</c:v>
                </c:pt>
                <c:pt idx="10">
                  <c:v>P03B</c:v>
                </c:pt>
                <c:pt idx="11">
                  <c:v>I06Z</c:v>
                </c:pt>
                <c:pt idx="12">
                  <c:v>F03A</c:v>
                </c:pt>
                <c:pt idx="13">
                  <c:v>F07A</c:v>
                </c:pt>
                <c:pt idx="14">
                  <c:v>K01A</c:v>
                </c:pt>
                <c:pt idx="15">
                  <c:v>F05A</c:v>
                </c:pt>
                <c:pt idx="16">
                  <c:v>F08A</c:v>
                </c:pt>
                <c:pt idx="17">
                  <c:v>I31A</c:v>
                </c:pt>
                <c:pt idx="18">
                  <c:v>G01A</c:v>
                </c:pt>
                <c:pt idx="19">
                  <c:v>F06A</c:v>
                </c:pt>
              </c:strCache>
            </c:strRef>
          </c:cat>
          <c:val>
            <c:numRef>
              <c:f>'TOP20 Tables'!$J$8:$J$27</c:f>
              <c:numCache>
                <c:formatCode>#,##0.00_);\(#,##0.00\)</c:formatCode>
                <c:ptCount val="20"/>
                <c:pt idx="0">
                  <c:v>35.150780091999998</c:v>
                </c:pt>
                <c:pt idx="1">
                  <c:v>24.443138050000002</c:v>
                </c:pt>
                <c:pt idx="2">
                  <c:v>20.463282673999998</c:v>
                </c:pt>
                <c:pt idx="3">
                  <c:v>16.655093742999998</c:v>
                </c:pt>
                <c:pt idx="4">
                  <c:v>16.517227480999999</c:v>
                </c:pt>
                <c:pt idx="5">
                  <c:v>16.311533600000001</c:v>
                </c:pt>
                <c:pt idx="6">
                  <c:v>16.236763984</c:v>
                </c:pt>
                <c:pt idx="7">
                  <c:v>15.997565875999999</c:v>
                </c:pt>
                <c:pt idx="8">
                  <c:v>15.545146524</c:v>
                </c:pt>
                <c:pt idx="9">
                  <c:v>14.716866285</c:v>
                </c:pt>
                <c:pt idx="10">
                  <c:v>14.322389135</c:v>
                </c:pt>
                <c:pt idx="11">
                  <c:v>14.111718246000001</c:v>
                </c:pt>
                <c:pt idx="12">
                  <c:v>13.83269939</c:v>
                </c:pt>
                <c:pt idx="13">
                  <c:v>13.202412418</c:v>
                </c:pt>
                <c:pt idx="14">
                  <c:v>12.436290589</c:v>
                </c:pt>
                <c:pt idx="15">
                  <c:v>12.029687392</c:v>
                </c:pt>
                <c:pt idx="16">
                  <c:v>11.946411474</c:v>
                </c:pt>
                <c:pt idx="17">
                  <c:v>11.912207358</c:v>
                </c:pt>
                <c:pt idx="18">
                  <c:v>11.44822626</c:v>
                </c:pt>
                <c:pt idx="19">
                  <c:v>11.160309776</c:v>
                </c:pt>
              </c:numCache>
            </c:numRef>
          </c:val>
          <c:extLst xmlns:c16r2="http://schemas.microsoft.com/office/drawing/2015/06/chart">
            <c:ext xmlns:c16="http://schemas.microsoft.com/office/drawing/2014/chart" uri="{C3380CC4-5D6E-409C-BE32-E72D297353CC}">
              <c16:uniqueId val="{00000001-C739-4D1B-A9AB-B73DE88CB406}"/>
            </c:ext>
          </c:extLst>
        </c:ser>
        <c:dLbls>
          <c:showLegendKey val="0"/>
          <c:showVal val="0"/>
          <c:showCatName val="0"/>
          <c:showSerName val="0"/>
          <c:showPercent val="0"/>
          <c:showBubbleSize val="0"/>
        </c:dLbls>
        <c:gapWidth val="219"/>
        <c:overlap val="-27"/>
        <c:axId val="66519424"/>
        <c:axId val="66522112"/>
      </c:barChart>
      <c:catAx>
        <c:axId val="665194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latin typeface="+mn-lt"/>
                  </a:rPr>
                  <a:t>AR-DRG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mn-lt"/>
                <a:ea typeface="+mn-ea"/>
                <a:cs typeface="+mn-cs"/>
              </a:defRPr>
            </a:pPr>
            <a:endParaRPr lang="en-US"/>
          </a:p>
        </c:txPr>
        <c:crossAx val="66522112"/>
        <c:crosses val="autoZero"/>
        <c:auto val="1"/>
        <c:lblAlgn val="ctr"/>
        <c:lblOffset val="100"/>
        <c:noMultiLvlLbl val="0"/>
      </c:catAx>
      <c:valAx>
        <c:axId val="66522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latin typeface="+mn-lt"/>
                  </a:rPr>
                  <a:t>Cost weight</a:t>
                </a:r>
              </a:p>
            </c:rich>
          </c:tx>
          <c:layout>
            <c:manualLayout>
              <c:xMode val="edge"/>
              <c:yMode val="edge"/>
              <c:x val="8.4691933093372848E-3"/>
              <c:y val="0.2695111548556430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6519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mj-lt"/>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'00 README'!$D$16</c:f>
              <c:strCache>
                <c:ptCount val="1"/>
                <c:pt idx="0">
                  <c:v>Round 18</c:v>
                </c:pt>
              </c:strCache>
            </c:strRef>
          </c:tx>
          <c:spPr>
            <a:solidFill>
              <a:schemeClr val="accent2">
                <a:tint val="77000"/>
              </a:schemeClr>
            </a:solidFill>
            <a:ln>
              <a:noFill/>
            </a:ln>
            <a:effectLst/>
          </c:spPr>
          <c:invertIfNegative val="0"/>
          <c:cat>
            <c:strRef>
              <c:f>'TOP20 Tables'!$H$44:$H$63</c:f>
              <c:strCache>
                <c:ptCount val="20"/>
                <c:pt idx="0">
                  <c:v>R63Z</c:v>
                </c:pt>
                <c:pt idx="1">
                  <c:v>G48B</c:v>
                </c:pt>
                <c:pt idx="2">
                  <c:v>G46B</c:v>
                </c:pt>
                <c:pt idx="3">
                  <c:v>Z40Z</c:v>
                </c:pt>
                <c:pt idx="4">
                  <c:v>L61Z</c:v>
                </c:pt>
                <c:pt idx="5">
                  <c:v>Z64B</c:v>
                </c:pt>
                <c:pt idx="6">
                  <c:v>G47C</c:v>
                </c:pt>
                <c:pt idx="7">
                  <c:v>D40Z</c:v>
                </c:pt>
                <c:pt idx="8">
                  <c:v>C16Z</c:v>
                </c:pt>
                <c:pt idx="9">
                  <c:v>I18B</c:v>
                </c:pt>
                <c:pt idx="10">
                  <c:v>E63B</c:v>
                </c:pt>
                <c:pt idx="11">
                  <c:v>F42B</c:v>
                </c:pt>
                <c:pt idx="12">
                  <c:v>L41Z</c:v>
                </c:pt>
                <c:pt idx="13">
                  <c:v>G10B</c:v>
                </c:pt>
                <c:pt idx="14">
                  <c:v>I16Z</c:v>
                </c:pt>
                <c:pt idx="15">
                  <c:v>I04B</c:v>
                </c:pt>
                <c:pt idx="16">
                  <c:v>J11B</c:v>
                </c:pt>
                <c:pt idx="17">
                  <c:v>N07B</c:v>
                </c:pt>
                <c:pt idx="18">
                  <c:v>D11Z</c:v>
                </c:pt>
                <c:pt idx="19">
                  <c:v>Q61B</c:v>
                </c:pt>
              </c:strCache>
            </c:strRef>
          </c:cat>
          <c:val>
            <c:numRef>
              <c:f>'TOP20 Tables'!$C$44:$C$63</c:f>
              <c:numCache>
                <c:formatCode>#,##0_);[Red]\(#,##0\)</c:formatCode>
                <c:ptCount val="20"/>
                <c:pt idx="0">
                  <c:v>246050</c:v>
                </c:pt>
                <c:pt idx="1">
                  <c:v>124227</c:v>
                </c:pt>
                <c:pt idx="2">
                  <c:v>87934</c:v>
                </c:pt>
                <c:pt idx="3">
                  <c:v>80600</c:v>
                </c:pt>
                <c:pt idx="4">
                  <c:v>99343</c:v>
                </c:pt>
                <c:pt idx="5">
                  <c:v>72735</c:v>
                </c:pt>
                <c:pt idx="6">
                  <c:v>63202</c:v>
                </c:pt>
                <c:pt idx="7">
                  <c:v>63966</c:v>
                </c:pt>
                <c:pt idx="8">
                  <c:v>52845</c:v>
                </c:pt>
                <c:pt idx="9">
                  <c:v>50000</c:v>
                </c:pt>
                <c:pt idx="10">
                  <c:v>42072</c:v>
                </c:pt>
                <c:pt idx="11">
                  <c:v>41023</c:v>
                </c:pt>
                <c:pt idx="12">
                  <c:v>33817</c:v>
                </c:pt>
                <c:pt idx="13">
                  <c:v>34317</c:v>
                </c:pt>
                <c:pt idx="14">
                  <c:v>35578</c:v>
                </c:pt>
                <c:pt idx="15">
                  <c:v>25912</c:v>
                </c:pt>
                <c:pt idx="16">
                  <c:v>32545</c:v>
                </c:pt>
                <c:pt idx="17">
                  <c:v>20160</c:v>
                </c:pt>
                <c:pt idx="18">
                  <c:v>22603</c:v>
                </c:pt>
                <c:pt idx="19">
                  <c:v>23580</c:v>
                </c:pt>
              </c:numCache>
            </c:numRef>
          </c:val>
          <c:extLst xmlns:c16r2="http://schemas.microsoft.com/office/drawing/2015/06/chart">
            <c:ext xmlns:c16="http://schemas.microsoft.com/office/drawing/2014/chart" uri="{C3380CC4-5D6E-409C-BE32-E72D297353CC}">
              <c16:uniqueId val="{00000000-2825-4597-9213-06A7C80391CE}"/>
            </c:ext>
          </c:extLst>
        </c:ser>
        <c:ser>
          <c:idx val="1"/>
          <c:order val="1"/>
          <c:tx>
            <c:strRef>
              <c:f>'00 README'!$D$14</c:f>
              <c:strCache>
                <c:ptCount val="1"/>
                <c:pt idx="0">
                  <c:v>Round 20</c:v>
                </c:pt>
              </c:strCache>
            </c:strRef>
          </c:tx>
          <c:spPr>
            <a:solidFill>
              <a:schemeClr val="accent2">
                <a:shade val="76000"/>
              </a:schemeClr>
            </a:solidFill>
            <a:ln>
              <a:noFill/>
            </a:ln>
            <a:effectLst/>
          </c:spPr>
          <c:invertIfNegative val="0"/>
          <c:cat>
            <c:strRef>
              <c:f>'TOP20 Tables'!$H$44:$H$63</c:f>
              <c:strCache>
                <c:ptCount val="20"/>
                <c:pt idx="0">
                  <c:v>R63Z</c:v>
                </c:pt>
                <c:pt idx="1">
                  <c:v>G48B</c:v>
                </c:pt>
                <c:pt idx="2">
                  <c:v>G46B</c:v>
                </c:pt>
                <c:pt idx="3">
                  <c:v>Z40Z</c:v>
                </c:pt>
                <c:pt idx="4">
                  <c:v>L61Z</c:v>
                </c:pt>
                <c:pt idx="5">
                  <c:v>Z64B</c:v>
                </c:pt>
                <c:pt idx="6">
                  <c:v>G47C</c:v>
                </c:pt>
                <c:pt idx="7">
                  <c:v>D40Z</c:v>
                </c:pt>
                <c:pt idx="8">
                  <c:v>C16Z</c:v>
                </c:pt>
                <c:pt idx="9">
                  <c:v>I18B</c:v>
                </c:pt>
                <c:pt idx="10">
                  <c:v>E63B</c:v>
                </c:pt>
                <c:pt idx="11">
                  <c:v>F42B</c:v>
                </c:pt>
                <c:pt idx="12">
                  <c:v>L41Z</c:v>
                </c:pt>
                <c:pt idx="13">
                  <c:v>G10B</c:v>
                </c:pt>
                <c:pt idx="14">
                  <c:v>I16Z</c:v>
                </c:pt>
                <c:pt idx="15">
                  <c:v>I04B</c:v>
                </c:pt>
                <c:pt idx="16">
                  <c:v>J11B</c:v>
                </c:pt>
                <c:pt idx="17">
                  <c:v>N07B</c:v>
                </c:pt>
                <c:pt idx="18">
                  <c:v>D11Z</c:v>
                </c:pt>
                <c:pt idx="19">
                  <c:v>Q61B</c:v>
                </c:pt>
              </c:strCache>
            </c:strRef>
          </c:cat>
          <c:val>
            <c:numRef>
              <c:f>'TOP20 Tables'!$K$44:$K$63</c:f>
              <c:numCache>
                <c:formatCode>#,##0_);[Red]\(#,##0\)</c:formatCode>
                <c:ptCount val="20"/>
                <c:pt idx="0">
                  <c:v>268018.37212000001</c:v>
                </c:pt>
                <c:pt idx="1">
                  <c:v>145423.04227999999</c:v>
                </c:pt>
                <c:pt idx="2">
                  <c:v>93597.471569999994</c:v>
                </c:pt>
                <c:pt idx="3">
                  <c:v>85895.968116000004</c:v>
                </c:pt>
                <c:pt idx="4">
                  <c:v>83214.454817999998</c:v>
                </c:pt>
                <c:pt idx="5">
                  <c:v>68868.941235999999</c:v>
                </c:pt>
                <c:pt idx="6">
                  <c:v>67272.336769999994</c:v>
                </c:pt>
                <c:pt idx="7">
                  <c:v>61614.326212</c:v>
                </c:pt>
                <c:pt idx="8">
                  <c:v>52814.096752999998</c:v>
                </c:pt>
                <c:pt idx="9">
                  <c:v>47424.780918999997</c:v>
                </c:pt>
                <c:pt idx="10">
                  <c:v>44049.652812</c:v>
                </c:pt>
                <c:pt idx="11">
                  <c:v>42020.269223000003</c:v>
                </c:pt>
                <c:pt idx="12">
                  <c:v>40510.703501999997</c:v>
                </c:pt>
                <c:pt idx="13">
                  <c:v>36311.005433999999</c:v>
                </c:pt>
                <c:pt idx="14">
                  <c:v>34252.008426</c:v>
                </c:pt>
                <c:pt idx="15">
                  <c:v>33469.378592000001</c:v>
                </c:pt>
                <c:pt idx="16">
                  <c:v>32839.773000000001</c:v>
                </c:pt>
                <c:pt idx="17">
                  <c:v>28965.707965000001</c:v>
                </c:pt>
                <c:pt idx="18">
                  <c:v>28384.313588000001</c:v>
                </c:pt>
                <c:pt idx="19">
                  <c:v>27956.666914000001</c:v>
                </c:pt>
              </c:numCache>
            </c:numRef>
          </c:val>
          <c:extLst xmlns:c16r2="http://schemas.microsoft.com/office/drawing/2015/06/chart">
            <c:ext xmlns:c16="http://schemas.microsoft.com/office/drawing/2014/chart" uri="{C3380CC4-5D6E-409C-BE32-E72D297353CC}">
              <c16:uniqueId val="{00000001-2825-4597-9213-06A7C80391CE}"/>
            </c:ext>
          </c:extLst>
        </c:ser>
        <c:dLbls>
          <c:showLegendKey val="0"/>
          <c:showVal val="0"/>
          <c:showCatName val="0"/>
          <c:showSerName val="0"/>
          <c:showPercent val="0"/>
          <c:showBubbleSize val="0"/>
        </c:dLbls>
        <c:gapWidth val="219"/>
        <c:overlap val="-27"/>
        <c:axId val="76190464"/>
        <c:axId val="76192384"/>
      </c:barChart>
      <c:catAx>
        <c:axId val="761904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j-lt"/>
                    <a:ea typeface="+mn-ea"/>
                    <a:cs typeface="+mn-cs"/>
                  </a:defRPr>
                </a:pPr>
                <a:r>
                  <a:rPr lang="en-US"/>
                  <a:t>AR-DRG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mj-lt"/>
                <a:ea typeface="+mn-ea"/>
                <a:cs typeface="+mn-cs"/>
              </a:defRPr>
            </a:pPr>
            <a:endParaRPr lang="en-US"/>
          </a:p>
        </c:txPr>
        <c:crossAx val="76192384"/>
        <c:crosses val="autoZero"/>
        <c:auto val="1"/>
        <c:lblAlgn val="ctr"/>
        <c:lblOffset val="100"/>
        <c:noMultiLvlLbl val="0"/>
      </c:catAx>
      <c:valAx>
        <c:axId val="76192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j-lt"/>
                    <a:ea typeface="+mn-ea"/>
                    <a:cs typeface="+mn-cs"/>
                  </a:defRPr>
                </a:pPr>
                <a:r>
                  <a:rPr lang="en-US"/>
                  <a:t>Number of weighted separations</a:t>
                </a:r>
              </a:p>
            </c:rich>
          </c:tx>
          <c:layout>
            <c:manualLayout>
              <c:xMode val="edge"/>
              <c:yMode val="edge"/>
              <c:x val="1.0586491636671608E-2"/>
              <c:y val="0.1587031916811925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76190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mj-lt"/>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'00 README'!$D$16</c:f>
              <c:strCache>
                <c:ptCount val="1"/>
                <c:pt idx="0">
                  <c:v>Round 18</c:v>
                </c:pt>
              </c:strCache>
            </c:strRef>
          </c:tx>
          <c:spPr>
            <a:solidFill>
              <a:schemeClr val="accent2">
                <a:tint val="77000"/>
              </a:schemeClr>
            </a:solidFill>
            <a:ln>
              <a:noFill/>
            </a:ln>
            <a:effectLst/>
          </c:spPr>
          <c:invertIfNegative val="0"/>
          <c:cat>
            <c:strRef>
              <c:f>'TOP20 Tables'!$H$90:$H$109</c:f>
              <c:strCache>
                <c:ptCount val="20"/>
                <c:pt idx="0">
                  <c:v>I04B</c:v>
                </c:pt>
                <c:pt idx="1">
                  <c:v>I03B</c:v>
                </c:pt>
                <c:pt idx="2">
                  <c:v>I09C</c:v>
                </c:pt>
                <c:pt idx="3">
                  <c:v>O01C</c:v>
                </c:pt>
                <c:pt idx="4">
                  <c:v>F42B</c:v>
                </c:pt>
                <c:pt idx="5">
                  <c:v>I16Z</c:v>
                </c:pt>
                <c:pt idx="6">
                  <c:v>R63Z</c:v>
                </c:pt>
                <c:pt idx="7">
                  <c:v>F01B</c:v>
                </c:pt>
                <c:pt idx="8">
                  <c:v>G48B</c:v>
                </c:pt>
                <c:pt idx="9">
                  <c:v>I09B</c:v>
                </c:pt>
                <c:pt idx="10">
                  <c:v>O60B</c:v>
                </c:pt>
                <c:pt idx="11">
                  <c:v>J06B</c:v>
                </c:pt>
                <c:pt idx="12">
                  <c:v>F12B</c:v>
                </c:pt>
                <c:pt idx="13">
                  <c:v>I10B</c:v>
                </c:pt>
                <c:pt idx="14">
                  <c:v>F15B</c:v>
                </c:pt>
                <c:pt idx="15">
                  <c:v>G10B</c:v>
                </c:pt>
                <c:pt idx="16">
                  <c:v>O01B</c:v>
                </c:pt>
                <c:pt idx="17">
                  <c:v>G46B</c:v>
                </c:pt>
                <c:pt idx="18">
                  <c:v>N04B</c:v>
                </c:pt>
                <c:pt idx="19">
                  <c:v>O60C</c:v>
                </c:pt>
              </c:strCache>
            </c:strRef>
          </c:cat>
          <c:val>
            <c:numRef>
              <c:f>'TOP20 Tables'!$R$90:$R$109</c:f>
              <c:numCache>
                <c:formatCode>#,##0</c:formatCode>
                <c:ptCount val="20"/>
                <c:pt idx="0">
                  <c:v>138411.5392</c:v>
                </c:pt>
                <c:pt idx="1">
                  <c:v>116091.2148</c:v>
                </c:pt>
                <c:pt idx="2">
                  <c:v>47127.828000000001</c:v>
                </c:pt>
                <c:pt idx="3">
                  <c:v>35117.076399999998</c:v>
                </c:pt>
                <c:pt idx="4">
                  <c:v>35374.132899999997</c:v>
                </c:pt>
                <c:pt idx="5">
                  <c:v>45952.544800000003</c:v>
                </c:pt>
                <c:pt idx="6">
                  <c:v>47709.094999999994</c:v>
                </c:pt>
                <c:pt idx="7">
                  <c:v>54681.465599999996</c:v>
                </c:pt>
                <c:pt idx="8">
                  <c:v>32000.875199999999</c:v>
                </c:pt>
                <c:pt idx="9">
                  <c:v>37955.299200000001</c:v>
                </c:pt>
                <c:pt idx="10">
                  <c:v>20565.0952</c:v>
                </c:pt>
                <c:pt idx="11">
                  <c:v>29362.888799999997</c:v>
                </c:pt>
                <c:pt idx="12">
                  <c:v>41952.142500000002</c:v>
                </c:pt>
                <c:pt idx="13">
                  <c:v>30474.662400000001</c:v>
                </c:pt>
                <c:pt idx="14">
                  <c:v>32014.415999999997</c:v>
                </c:pt>
                <c:pt idx="15">
                  <c:v>32724.691200000001</c:v>
                </c:pt>
                <c:pt idx="16">
                  <c:v>19922.074800000002</c:v>
                </c:pt>
                <c:pt idx="17">
                  <c:v>28692.864199999996</c:v>
                </c:pt>
                <c:pt idx="18">
                  <c:v>22367.350200000001</c:v>
                </c:pt>
                <c:pt idx="19">
                  <c:v>15761.6088</c:v>
                </c:pt>
              </c:numCache>
            </c:numRef>
          </c:val>
          <c:extLst xmlns:c16r2="http://schemas.microsoft.com/office/drawing/2015/06/chart">
            <c:ext xmlns:c16="http://schemas.microsoft.com/office/drawing/2014/chart" uri="{C3380CC4-5D6E-409C-BE32-E72D297353CC}">
              <c16:uniqueId val="{00000000-77C1-4D05-9F91-114F4934F082}"/>
            </c:ext>
          </c:extLst>
        </c:ser>
        <c:ser>
          <c:idx val="1"/>
          <c:order val="1"/>
          <c:tx>
            <c:strRef>
              <c:f>'00 README'!$D$14</c:f>
              <c:strCache>
                <c:ptCount val="1"/>
                <c:pt idx="0">
                  <c:v>Round 20</c:v>
                </c:pt>
              </c:strCache>
            </c:strRef>
          </c:tx>
          <c:spPr>
            <a:solidFill>
              <a:schemeClr val="accent2">
                <a:shade val="76000"/>
              </a:schemeClr>
            </a:solidFill>
            <a:ln>
              <a:noFill/>
            </a:ln>
            <a:effectLst/>
          </c:spPr>
          <c:invertIfNegative val="0"/>
          <c:cat>
            <c:strRef>
              <c:f>'TOP20 Tables'!$H$90:$H$109</c:f>
              <c:strCache>
                <c:ptCount val="20"/>
                <c:pt idx="0">
                  <c:v>I04B</c:v>
                </c:pt>
                <c:pt idx="1">
                  <c:v>I03B</c:v>
                </c:pt>
                <c:pt idx="2">
                  <c:v>I09C</c:v>
                </c:pt>
                <c:pt idx="3">
                  <c:v>O01C</c:v>
                </c:pt>
                <c:pt idx="4">
                  <c:v>F42B</c:v>
                </c:pt>
                <c:pt idx="5">
                  <c:v>I16Z</c:v>
                </c:pt>
                <c:pt idx="6">
                  <c:v>R63Z</c:v>
                </c:pt>
                <c:pt idx="7">
                  <c:v>F01B</c:v>
                </c:pt>
                <c:pt idx="8">
                  <c:v>G48B</c:v>
                </c:pt>
                <c:pt idx="9">
                  <c:v>I09B</c:v>
                </c:pt>
                <c:pt idx="10">
                  <c:v>O60B</c:v>
                </c:pt>
                <c:pt idx="11">
                  <c:v>J06B</c:v>
                </c:pt>
                <c:pt idx="12">
                  <c:v>F12B</c:v>
                </c:pt>
                <c:pt idx="13">
                  <c:v>I10B</c:v>
                </c:pt>
                <c:pt idx="14">
                  <c:v>F15B</c:v>
                </c:pt>
                <c:pt idx="15">
                  <c:v>G10B</c:v>
                </c:pt>
                <c:pt idx="16">
                  <c:v>O01B</c:v>
                </c:pt>
                <c:pt idx="17">
                  <c:v>G46B</c:v>
                </c:pt>
                <c:pt idx="18">
                  <c:v>N04B</c:v>
                </c:pt>
                <c:pt idx="19">
                  <c:v>O60C</c:v>
                </c:pt>
              </c:strCache>
            </c:strRef>
          </c:cat>
          <c:val>
            <c:numRef>
              <c:f>'TOP20 Tables'!$L$90:$L$109</c:f>
              <c:numCache>
                <c:formatCode>#,##0_);[Red]\(#,##0\)</c:formatCode>
                <c:ptCount val="20"/>
                <c:pt idx="0">
                  <c:v>142184.60478988389</c:v>
                </c:pt>
                <c:pt idx="1">
                  <c:v>126160.08228279551</c:v>
                </c:pt>
                <c:pt idx="2">
                  <c:v>55830.206628104519</c:v>
                </c:pt>
                <c:pt idx="3">
                  <c:v>49679.636798881111</c:v>
                </c:pt>
                <c:pt idx="4">
                  <c:v>44319.680007021569</c:v>
                </c:pt>
                <c:pt idx="5">
                  <c:v>43281.78141457132</c:v>
                </c:pt>
                <c:pt idx="6">
                  <c:v>39443.632909652435</c:v>
                </c:pt>
                <c:pt idx="7">
                  <c:v>38538.091493500709</c:v>
                </c:pt>
                <c:pt idx="8">
                  <c:v>37569.470500689757</c:v>
                </c:pt>
                <c:pt idx="9">
                  <c:v>36959.230113486912</c:v>
                </c:pt>
                <c:pt idx="10">
                  <c:v>35382.773791972104</c:v>
                </c:pt>
                <c:pt idx="11">
                  <c:v>34786.232603053286</c:v>
                </c:pt>
                <c:pt idx="12">
                  <c:v>34456.743943317335</c:v>
                </c:pt>
                <c:pt idx="13">
                  <c:v>33923.310237494465</c:v>
                </c:pt>
                <c:pt idx="14">
                  <c:v>31900.048248547188</c:v>
                </c:pt>
                <c:pt idx="15">
                  <c:v>31339.256371484506</c:v>
                </c:pt>
                <c:pt idx="16">
                  <c:v>28729.381039846892</c:v>
                </c:pt>
                <c:pt idx="17">
                  <c:v>28355.077487761493</c:v>
                </c:pt>
                <c:pt idx="18">
                  <c:v>25762.437273032774</c:v>
                </c:pt>
                <c:pt idx="19">
                  <c:v>25421.353713846795</c:v>
                </c:pt>
              </c:numCache>
            </c:numRef>
          </c:val>
          <c:extLst xmlns:c16r2="http://schemas.microsoft.com/office/drawing/2015/06/chart">
            <c:ext xmlns:c16="http://schemas.microsoft.com/office/drawing/2014/chart" uri="{C3380CC4-5D6E-409C-BE32-E72D297353CC}">
              <c16:uniqueId val="{00000001-77C1-4D05-9F91-114F4934F082}"/>
            </c:ext>
          </c:extLst>
        </c:ser>
        <c:dLbls>
          <c:showLegendKey val="0"/>
          <c:showVal val="0"/>
          <c:showCatName val="0"/>
          <c:showSerName val="0"/>
          <c:showPercent val="0"/>
          <c:showBubbleSize val="0"/>
        </c:dLbls>
        <c:gapWidth val="219"/>
        <c:overlap val="-27"/>
        <c:axId val="76916224"/>
        <c:axId val="76918144"/>
      </c:barChart>
      <c:catAx>
        <c:axId val="769162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AR-DRG</a:t>
                </a:r>
              </a:p>
            </c:rich>
          </c:tx>
          <c:layout>
            <c:manualLayout>
              <c:xMode val="edge"/>
              <c:yMode val="edge"/>
              <c:x val="0.44794647069709137"/>
              <c:y val="0.8188949329807054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mn-lt"/>
                <a:ea typeface="+mn-ea"/>
                <a:cs typeface="+mn-cs"/>
              </a:defRPr>
            </a:pPr>
            <a:endParaRPr lang="en-US"/>
          </a:p>
        </c:txPr>
        <c:crossAx val="76918144"/>
        <c:crosses val="autoZero"/>
        <c:auto val="1"/>
        <c:lblAlgn val="ctr"/>
        <c:lblOffset val="100"/>
        <c:noMultiLvlLbl val="0"/>
      </c:catAx>
      <c:valAx>
        <c:axId val="76918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Cost weighted separations</a:t>
                </a:r>
              </a:p>
            </c:rich>
          </c:tx>
          <c:layout>
            <c:manualLayout>
              <c:xMode val="edge"/>
              <c:yMode val="edge"/>
              <c:x val="1.482108829134025E-2"/>
              <c:y val="0.1818329626735588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6916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mn-lt"/>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'00 README'!$D$16</c:f>
              <c:strCache>
                <c:ptCount val="1"/>
                <c:pt idx="0">
                  <c:v>Round 18</c:v>
                </c:pt>
              </c:strCache>
            </c:strRef>
          </c:tx>
          <c:spPr>
            <a:solidFill>
              <a:schemeClr val="accent2">
                <a:tint val="77000"/>
              </a:schemeClr>
            </a:solidFill>
            <a:ln>
              <a:noFill/>
            </a:ln>
            <a:effectLst/>
          </c:spPr>
          <c:invertIfNegative val="0"/>
          <c:cat>
            <c:strRef>
              <c:f>'TOP20 Tables'!$H$275:$H$294</c:f>
              <c:strCache>
                <c:ptCount val="20"/>
                <c:pt idx="0">
                  <c:v>I02A</c:v>
                </c:pt>
                <c:pt idx="1">
                  <c:v>A06A</c:v>
                </c:pt>
                <c:pt idx="2">
                  <c:v>B60A</c:v>
                </c:pt>
                <c:pt idx="3">
                  <c:v>K01A</c:v>
                </c:pt>
                <c:pt idx="4">
                  <c:v>P64A</c:v>
                </c:pt>
                <c:pt idx="5">
                  <c:v>F11A</c:v>
                </c:pt>
                <c:pt idx="6">
                  <c:v>P03B</c:v>
                </c:pt>
                <c:pt idx="7">
                  <c:v>A06B</c:v>
                </c:pt>
                <c:pt idx="8">
                  <c:v>P65A</c:v>
                </c:pt>
                <c:pt idx="9">
                  <c:v>U63A</c:v>
                </c:pt>
                <c:pt idx="10">
                  <c:v>P04B</c:v>
                </c:pt>
                <c:pt idx="11">
                  <c:v>B82A</c:v>
                </c:pt>
                <c:pt idx="12">
                  <c:v>U61A</c:v>
                </c:pt>
                <c:pt idx="13">
                  <c:v>R03A</c:v>
                </c:pt>
                <c:pt idx="14">
                  <c:v>U66A</c:v>
                </c:pt>
                <c:pt idx="15">
                  <c:v>G01A</c:v>
                </c:pt>
                <c:pt idx="16">
                  <c:v>P64B</c:v>
                </c:pt>
                <c:pt idx="17">
                  <c:v>G02A</c:v>
                </c:pt>
                <c:pt idx="18">
                  <c:v>F61A</c:v>
                </c:pt>
                <c:pt idx="19">
                  <c:v>I61A</c:v>
                </c:pt>
              </c:strCache>
            </c:strRef>
          </c:cat>
          <c:val>
            <c:numRef>
              <c:f>'TOP20 Tables'!$AQ$275:$AQ$294</c:f>
              <c:numCache>
                <c:formatCode>General</c:formatCode>
                <c:ptCount val="20"/>
                <c:pt idx="0">
                  <c:v>47.78</c:v>
                </c:pt>
                <c:pt idx="1">
                  <c:v>60.56</c:v>
                </c:pt>
                <c:pt idx="2">
                  <c:v>32.32</c:v>
                </c:pt>
                <c:pt idx="3">
                  <c:v>43.28</c:v>
                </c:pt>
                <c:pt idx="4">
                  <c:v>32.85</c:v>
                </c:pt>
                <c:pt idx="5">
                  <c:v>38.31</c:v>
                </c:pt>
                <c:pt idx="6">
                  <c:v>0</c:v>
                </c:pt>
                <c:pt idx="7">
                  <c:v>35.619999999999997</c:v>
                </c:pt>
                <c:pt idx="8">
                  <c:v>32.14</c:v>
                </c:pt>
                <c:pt idx="9">
                  <c:v>27.47</c:v>
                </c:pt>
                <c:pt idx="10">
                  <c:v>0</c:v>
                </c:pt>
                <c:pt idx="11">
                  <c:v>25.15</c:v>
                </c:pt>
                <c:pt idx="12">
                  <c:v>23.72</c:v>
                </c:pt>
                <c:pt idx="13">
                  <c:v>31.25</c:v>
                </c:pt>
                <c:pt idx="14">
                  <c:v>33.020000000000003</c:v>
                </c:pt>
                <c:pt idx="15">
                  <c:v>25.24</c:v>
                </c:pt>
                <c:pt idx="16">
                  <c:v>27.08</c:v>
                </c:pt>
                <c:pt idx="17">
                  <c:v>24.93</c:v>
                </c:pt>
                <c:pt idx="18">
                  <c:v>27.31</c:v>
                </c:pt>
                <c:pt idx="19">
                  <c:v>24.3</c:v>
                </c:pt>
              </c:numCache>
            </c:numRef>
          </c:val>
          <c:extLst xmlns:c16r2="http://schemas.microsoft.com/office/drawing/2015/06/chart">
            <c:ext xmlns:c16="http://schemas.microsoft.com/office/drawing/2014/chart" uri="{C3380CC4-5D6E-409C-BE32-E72D297353CC}">
              <c16:uniqueId val="{00000000-EE31-4555-9963-8B44EF1C85BE}"/>
            </c:ext>
          </c:extLst>
        </c:ser>
        <c:ser>
          <c:idx val="1"/>
          <c:order val="1"/>
          <c:tx>
            <c:strRef>
              <c:f>'00 README'!$D$14</c:f>
              <c:strCache>
                <c:ptCount val="1"/>
                <c:pt idx="0">
                  <c:v>Round 20</c:v>
                </c:pt>
              </c:strCache>
            </c:strRef>
          </c:tx>
          <c:spPr>
            <a:solidFill>
              <a:schemeClr val="accent2">
                <a:shade val="76000"/>
              </a:schemeClr>
            </a:solidFill>
            <a:ln>
              <a:noFill/>
            </a:ln>
            <a:effectLst/>
          </c:spPr>
          <c:invertIfNegative val="0"/>
          <c:cat>
            <c:strRef>
              <c:f>'TOP20 Tables'!$H$275:$H$294</c:f>
              <c:strCache>
                <c:ptCount val="20"/>
                <c:pt idx="0">
                  <c:v>I02A</c:v>
                </c:pt>
                <c:pt idx="1">
                  <c:v>A06A</c:v>
                </c:pt>
                <c:pt idx="2">
                  <c:v>B60A</c:v>
                </c:pt>
                <c:pt idx="3">
                  <c:v>K01A</c:v>
                </c:pt>
                <c:pt idx="4">
                  <c:v>P64A</c:v>
                </c:pt>
                <c:pt idx="5">
                  <c:v>F11A</c:v>
                </c:pt>
                <c:pt idx="6">
                  <c:v>P03B</c:v>
                </c:pt>
                <c:pt idx="7">
                  <c:v>A06B</c:v>
                </c:pt>
                <c:pt idx="8">
                  <c:v>P65A</c:v>
                </c:pt>
                <c:pt idx="9">
                  <c:v>U63A</c:v>
                </c:pt>
                <c:pt idx="10">
                  <c:v>P04B</c:v>
                </c:pt>
                <c:pt idx="11">
                  <c:v>B82A</c:v>
                </c:pt>
                <c:pt idx="12">
                  <c:v>U61A</c:v>
                </c:pt>
                <c:pt idx="13">
                  <c:v>R03A</c:v>
                </c:pt>
                <c:pt idx="14">
                  <c:v>U66A</c:v>
                </c:pt>
                <c:pt idx="15">
                  <c:v>G01A</c:v>
                </c:pt>
                <c:pt idx="16">
                  <c:v>P64B</c:v>
                </c:pt>
                <c:pt idx="17">
                  <c:v>G02A</c:v>
                </c:pt>
                <c:pt idx="18">
                  <c:v>F61A</c:v>
                </c:pt>
                <c:pt idx="19">
                  <c:v>I61A</c:v>
                </c:pt>
              </c:strCache>
            </c:strRef>
          </c:cat>
          <c:val>
            <c:numRef>
              <c:f>'TOP20 Tables'!$J$275:$J$294</c:f>
              <c:numCache>
                <c:formatCode>0.0</c:formatCode>
                <c:ptCount val="20"/>
                <c:pt idx="0">
                  <c:v>50.57456492</c:v>
                </c:pt>
                <c:pt idx="1">
                  <c:v>49.790319179999997</c:v>
                </c:pt>
                <c:pt idx="2">
                  <c:v>49.450176307</c:v>
                </c:pt>
                <c:pt idx="3">
                  <c:v>44.564303561000003</c:v>
                </c:pt>
                <c:pt idx="4">
                  <c:v>42.638439853000001</c:v>
                </c:pt>
                <c:pt idx="5">
                  <c:v>33.274227255</c:v>
                </c:pt>
                <c:pt idx="6">
                  <c:v>31.917536156000001</c:v>
                </c:pt>
                <c:pt idx="7">
                  <c:v>31.417910707000001</c:v>
                </c:pt>
                <c:pt idx="8">
                  <c:v>31.258500997999999</c:v>
                </c:pt>
                <c:pt idx="9">
                  <c:v>30.178499605999999</c:v>
                </c:pt>
                <c:pt idx="10">
                  <c:v>30.148997754</c:v>
                </c:pt>
                <c:pt idx="11">
                  <c:v>29.749449341999998</c:v>
                </c:pt>
                <c:pt idx="12">
                  <c:v>28.246847160000002</c:v>
                </c:pt>
                <c:pt idx="13">
                  <c:v>27.780208238</c:v>
                </c:pt>
                <c:pt idx="14">
                  <c:v>26.746024864999999</c:v>
                </c:pt>
                <c:pt idx="15">
                  <c:v>26.709482443999999</c:v>
                </c:pt>
                <c:pt idx="16">
                  <c:v>26.547312544</c:v>
                </c:pt>
                <c:pt idx="17">
                  <c:v>26.305142480000001</c:v>
                </c:pt>
                <c:pt idx="18">
                  <c:v>26.246315441</c:v>
                </c:pt>
                <c:pt idx="19">
                  <c:v>25.812335219000001</c:v>
                </c:pt>
              </c:numCache>
            </c:numRef>
          </c:val>
          <c:extLst xmlns:c16r2="http://schemas.microsoft.com/office/drawing/2015/06/chart">
            <c:ext xmlns:c16="http://schemas.microsoft.com/office/drawing/2014/chart" uri="{C3380CC4-5D6E-409C-BE32-E72D297353CC}">
              <c16:uniqueId val="{00000001-EE31-4555-9963-8B44EF1C85BE}"/>
            </c:ext>
          </c:extLst>
        </c:ser>
        <c:dLbls>
          <c:showLegendKey val="0"/>
          <c:showVal val="0"/>
          <c:showCatName val="0"/>
          <c:showSerName val="0"/>
          <c:showPercent val="0"/>
          <c:showBubbleSize val="0"/>
        </c:dLbls>
        <c:gapWidth val="219"/>
        <c:overlap val="-27"/>
        <c:axId val="77649408"/>
        <c:axId val="77651328"/>
      </c:barChart>
      <c:catAx>
        <c:axId val="776494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latin typeface="+mn-lt"/>
                  </a:rPr>
                  <a:t>AR-DRG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mn-lt"/>
                <a:ea typeface="+mn-ea"/>
                <a:cs typeface="+mn-cs"/>
              </a:defRPr>
            </a:pPr>
            <a:endParaRPr lang="en-US"/>
          </a:p>
        </c:txPr>
        <c:crossAx val="77651328"/>
        <c:crosses val="autoZero"/>
        <c:auto val="1"/>
        <c:lblAlgn val="ctr"/>
        <c:lblOffset val="100"/>
        <c:noMultiLvlLbl val="0"/>
      </c:catAx>
      <c:valAx>
        <c:axId val="77651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latin typeface="+mn-lt"/>
                  </a:rPr>
                  <a:t>Average length of stay</a:t>
                </a:r>
              </a:p>
            </c:rich>
          </c:tx>
          <c:layout>
            <c:manualLayout>
              <c:xMode val="edge"/>
              <c:yMode val="edge"/>
              <c:x val="1.482108829134025E-2"/>
              <c:y val="0.1747794707947809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764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mj-lt"/>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0200426460560734"/>
          <c:y val="4.7497879558948262E-2"/>
          <c:w val="0.8979957353943927"/>
          <c:h val="0.68857965481587524"/>
        </c:manualLayout>
      </c:layout>
      <c:barChart>
        <c:barDir val="col"/>
        <c:grouping val="clustered"/>
        <c:varyColors val="0"/>
        <c:ser>
          <c:idx val="0"/>
          <c:order val="0"/>
          <c:tx>
            <c:strRef>
              <c:f>'R18 comparison'!$E$5</c:f>
              <c:strCache>
                <c:ptCount val="1"/>
                <c:pt idx="0">
                  <c:v>Round 18 2013-14</c:v>
                </c:pt>
              </c:strCache>
            </c:strRef>
          </c:tx>
          <c:spPr>
            <a:solidFill>
              <a:schemeClr val="accent2">
                <a:tint val="77000"/>
              </a:schemeClr>
            </a:solidFill>
            <a:ln>
              <a:no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0-C43F-4055-A8FD-B5EBCE8F86C8}"/>
              </c:ext>
            </c:extLst>
          </c:dPt>
          <c:dPt>
            <c:idx val="1"/>
            <c:invertIfNegative val="0"/>
            <c:bubble3D val="0"/>
            <c:extLst xmlns:c16r2="http://schemas.microsoft.com/office/drawing/2015/06/chart">
              <c:ext xmlns:c16="http://schemas.microsoft.com/office/drawing/2014/chart" uri="{C3380CC4-5D6E-409C-BE32-E72D297353CC}">
                <c16:uniqueId val="{00000001-C43F-4055-A8FD-B5EBCE8F86C8}"/>
              </c:ext>
            </c:extLst>
          </c:dPt>
          <c:dPt>
            <c:idx val="2"/>
            <c:invertIfNegative val="0"/>
            <c:bubble3D val="0"/>
            <c:extLst xmlns:c16r2="http://schemas.microsoft.com/office/drawing/2015/06/chart">
              <c:ext xmlns:c16="http://schemas.microsoft.com/office/drawing/2014/chart" uri="{C3380CC4-5D6E-409C-BE32-E72D297353CC}">
                <c16:uniqueId val="{00000002-C43F-4055-A8FD-B5EBCE8F86C8}"/>
              </c:ext>
            </c:extLst>
          </c:dPt>
          <c:dPt>
            <c:idx val="3"/>
            <c:invertIfNegative val="0"/>
            <c:bubble3D val="0"/>
            <c:extLst xmlns:c16r2="http://schemas.microsoft.com/office/drawing/2015/06/chart">
              <c:ext xmlns:c16="http://schemas.microsoft.com/office/drawing/2014/chart" uri="{C3380CC4-5D6E-409C-BE32-E72D297353CC}">
                <c16:uniqueId val="{00000003-C43F-4055-A8FD-B5EBCE8F86C8}"/>
              </c:ext>
            </c:extLst>
          </c:dPt>
          <c:cat>
            <c:strRef>
              <c:f>'R18 comparison'!$B$7:$B$10</c:f>
              <c:strCache>
                <c:ptCount val="4"/>
                <c:pt idx="0">
                  <c:v>Operating Rooms and Specialist Procedure Suites</c:v>
                </c:pt>
                <c:pt idx="1">
                  <c:v>Critical Care</c:v>
                </c:pt>
                <c:pt idx="2">
                  <c:v>Prostheses</c:v>
                </c:pt>
                <c:pt idx="3">
                  <c:v>Miscellaneous</c:v>
                </c:pt>
              </c:strCache>
            </c:strRef>
          </c:cat>
          <c:val>
            <c:numRef>
              <c:f>'R18 comparison'!$E$7:$E$10</c:f>
              <c:numCache>
                <c:formatCode>0.0%</c:formatCode>
                <c:ptCount val="4"/>
                <c:pt idx="0">
                  <c:v>0.23230000000000001</c:v>
                </c:pt>
                <c:pt idx="1">
                  <c:v>5.8900000000000001E-2</c:v>
                </c:pt>
                <c:pt idx="2">
                  <c:v>0.21870000000000001</c:v>
                </c:pt>
                <c:pt idx="3">
                  <c:v>0.49009999999999998</c:v>
                </c:pt>
              </c:numCache>
            </c:numRef>
          </c:val>
          <c:extLst xmlns:c16r2="http://schemas.microsoft.com/office/drawing/2015/06/chart">
            <c:ext xmlns:c16="http://schemas.microsoft.com/office/drawing/2014/chart" uri="{C3380CC4-5D6E-409C-BE32-E72D297353CC}">
              <c16:uniqueId val="{00000004-C43F-4055-A8FD-B5EBCE8F86C8}"/>
            </c:ext>
          </c:extLst>
        </c:ser>
        <c:ser>
          <c:idx val="1"/>
          <c:order val="1"/>
          <c:tx>
            <c:strRef>
              <c:f>'R18 comparison'!$F$5</c:f>
              <c:strCache>
                <c:ptCount val="1"/>
                <c:pt idx="0">
                  <c:v>Round 20 2015-16</c:v>
                </c:pt>
              </c:strCache>
            </c:strRef>
          </c:tx>
          <c:spPr>
            <a:solidFill>
              <a:schemeClr val="accent2">
                <a:shade val="76000"/>
              </a:schemeClr>
            </a:solidFill>
            <a:ln>
              <a:noFill/>
            </a:ln>
            <a:effectLst/>
          </c:spPr>
          <c:invertIfNegative val="0"/>
          <c:cat>
            <c:strRef>
              <c:f>'R18 comparison'!$B$7:$B$10</c:f>
              <c:strCache>
                <c:ptCount val="4"/>
                <c:pt idx="0">
                  <c:v>Operating Rooms and Specialist Procedure Suites</c:v>
                </c:pt>
                <c:pt idx="1">
                  <c:v>Critical Care</c:v>
                </c:pt>
                <c:pt idx="2">
                  <c:v>Prostheses</c:v>
                </c:pt>
                <c:pt idx="3">
                  <c:v>Miscellaneous</c:v>
                </c:pt>
              </c:strCache>
            </c:strRef>
          </c:cat>
          <c:val>
            <c:numRef>
              <c:f>'R18 comparison'!$F$7:$F$10</c:f>
              <c:numCache>
                <c:formatCode>0.0%</c:formatCode>
                <c:ptCount val="4"/>
                <c:pt idx="0">
                  <c:v>0.26379999999999998</c:v>
                </c:pt>
                <c:pt idx="1">
                  <c:v>6.3799999999999996E-2</c:v>
                </c:pt>
                <c:pt idx="2">
                  <c:v>0.189</c:v>
                </c:pt>
                <c:pt idx="3">
                  <c:v>0.4834</c:v>
                </c:pt>
              </c:numCache>
            </c:numRef>
          </c:val>
          <c:extLst xmlns:c16r2="http://schemas.microsoft.com/office/drawing/2015/06/chart">
            <c:ext xmlns:c16="http://schemas.microsoft.com/office/drawing/2014/chart" uri="{C3380CC4-5D6E-409C-BE32-E72D297353CC}">
              <c16:uniqueId val="{00000005-C43F-4055-A8FD-B5EBCE8F86C8}"/>
            </c:ext>
          </c:extLst>
        </c:ser>
        <c:dLbls>
          <c:showLegendKey val="0"/>
          <c:showVal val="0"/>
          <c:showCatName val="0"/>
          <c:showSerName val="0"/>
          <c:showPercent val="0"/>
          <c:showBubbleSize val="0"/>
        </c:dLbls>
        <c:gapWidth val="219"/>
        <c:overlap val="-27"/>
        <c:axId val="83960960"/>
        <c:axId val="86000000"/>
      </c:barChart>
      <c:catAx>
        <c:axId val="83960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86000000"/>
        <c:crosses val="autoZero"/>
        <c:auto val="1"/>
        <c:lblAlgn val="ctr"/>
        <c:lblOffset val="100"/>
        <c:noMultiLvlLbl val="0"/>
      </c:catAx>
      <c:valAx>
        <c:axId val="86000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latin typeface="+mn-lt"/>
                  </a:rPr>
                  <a:t>Proportion</a:t>
                </a:r>
                <a:r>
                  <a:rPr lang="en-US" baseline="0">
                    <a:latin typeface="+mn-lt"/>
                  </a:rPr>
                  <a:t> of total costs (%)</a:t>
                </a:r>
                <a:endParaRPr lang="en-US">
                  <a:latin typeface="+mn-lt"/>
                </a:endParaRPr>
              </a:p>
            </c:rich>
          </c:tx>
          <c:layout>
            <c:manualLayout>
              <c:xMode val="edge"/>
              <c:yMode val="edge"/>
              <c:x val="7.2549977409927281E-3"/>
              <c:y val="0.2091249022954371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83960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mj-lt"/>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'00 README'!$D$16</c:f>
              <c:strCache>
                <c:ptCount val="1"/>
                <c:pt idx="0">
                  <c:v>Round 18</c:v>
                </c:pt>
              </c:strCache>
            </c:strRef>
          </c:tx>
          <c:spPr>
            <a:solidFill>
              <a:schemeClr val="accent2">
                <a:tint val="77000"/>
              </a:schemeClr>
            </a:solidFill>
            <a:ln>
              <a:noFill/>
            </a:ln>
            <a:effectLst/>
          </c:spPr>
          <c:invertIfNegative val="0"/>
          <c:cat>
            <c:strRef>
              <c:f>'TOP20 Tables'!$H$168:$H$187</c:f>
              <c:strCache>
                <c:ptCount val="20"/>
                <c:pt idx="0">
                  <c:v>A06A</c:v>
                </c:pt>
                <c:pt idx="1">
                  <c:v>A06B</c:v>
                </c:pt>
                <c:pt idx="2">
                  <c:v>P03B</c:v>
                </c:pt>
                <c:pt idx="3">
                  <c:v>P64A</c:v>
                </c:pt>
                <c:pt idx="4">
                  <c:v>A06C</c:v>
                </c:pt>
                <c:pt idx="5">
                  <c:v>F40A</c:v>
                </c:pt>
                <c:pt idx="6">
                  <c:v>P65A</c:v>
                </c:pt>
                <c:pt idx="7">
                  <c:v>P04B</c:v>
                </c:pt>
                <c:pt idx="8">
                  <c:v>P05B</c:v>
                </c:pt>
                <c:pt idx="9">
                  <c:v>B42A</c:v>
                </c:pt>
                <c:pt idx="10">
                  <c:v>F04A</c:v>
                </c:pt>
                <c:pt idx="11">
                  <c:v>F43A</c:v>
                </c:pt>
                <c:pt idx="12">
                  <c:v>T40Z</c:v>
                </c:pt>
                <c:pt idx="13">
                  <c:v>E41A</c:v>
                </c:pt>
                <c:pt idx="14">
                  <c:v>F07A</c:v>
                </c:pt>
                <c:pt idx="15">
                  <c:v>F06A</c:v>
                </c:pt>
                <c:pt idx="16">
                  <c:v>F05A</c:v>
                </c:pt>
                <c:pt idx="17">
                  <c:v>Q01A</c:v>
                </c:pt>
                <c:pt idx="18">
                  <c:v>E40B</c:v>
                </c:pt>
                <c:pt idx="19">
                  <c:v>P65B</c:v>
                </c:pt>
              </c:strCache>
            </c:strRef>
          </c:cat>
          <c:val>
            <c:numRef>
              <c:f>'TOP20 Tables'!$AQ$168:$AQ$187</c:f>
              <c:numCache>
                <c:formatCode>General</c:formatCode>
                <c:ptCount val="20"/>
                <c:pt idx="0">
                  <c:v>18.306699999999999</c:v>
                </c:pt>
                <c:pt idx="1">
                  <c:v>12.007899999999999</c:v>
                </c:pt>
                <c:pt idx="2">
                  <c:v>0</c:v>
                </c:pt>
                <c:pt idx="3">
                  <c:v>0.30959999999999999</c:v>
                </c:pt>
                <c:pt idx="4">
                  <c:v>7.7491000000000003</c:v>
                </c:pt>
                <c:pt idx="5">
                  <c:v>3.9969999999999999</c:v>
                </c:pt>
                <c:pt idx="6">
                  <c:v>0.40500000000000003</c:v>
                </c:pt>
                <c:pt idx="7">
                  <c:v>0</c:v>
                </c:pt>
                <c:pt idx="8">
                  <c:v>0</c:v>
                </c:pt>
                <c:pt idx="9">
                  <c:v>0</c:v>
                </c:pt>
                <c:pt idx="10">
                  <c:v>4.5320999999999998</c:v>
                </c:pt>
                <c:pt idx="11">
                  <c:v>3.6095000000000002</c:v>
                </c:pt>
                <c:pt idx="12">
                  <c:v>4.0430999999999999</c:v>
                </c:pt>
                <c:pt idx="13">
                  <c:v>2.9737</c:v>
                </c:pt>
                <c:pt idx="14">
                  <c:v>4.0544000000000002</c:v>
                </c:pt>
                <c:pt idx="15">
                  <c:v>4.4696999999999996</c:v>
                </c:pt>
                <c:pt idx="16">
                  <c:v>4.6748000000000003</c:v>
                </c:pt>
                <c:pt idx="17">
                  <c:v>10.806100000000001</c:v>
                </c:pt>
                <c:pt idx="18">
                  <c:v>3.2730999999999999</c:v>
                </c:pt>
                <c:pt idx="19">
                  <c:v>1.4074</c:v>
                </c:pt>
              </c:numCache>
            </c:numRef>
          </c:val>
          <c:extLst xmlns:c16r2="http://schemas.microsoft.com/office/drawing/2015/06/chart">
            <c:ext xmlns:c16="http://schemas.microsoft.com/office/drawing/2014/chart" uri="{C3380CC4-5D6E-409C-BE32-E72D297353CC}">
              <c16:uniqueId val="{00000000-9A43-40A6-AB58-B71E0F915C5E}"/>
            </c:ext>
          </c:extLst>
        </c:ser>
        <c:ser>
          <c:idx val="1"/>
          <c:order val="1"/>
          <c:tx>
            <c:strRef>
              <c:f>'00 README'!$D$14</c:f>
              <c:strCache>
                <c:ptCount val="1"/>
                <c:pt idx="0">
                  <c:v>Round 20</c:v>
                </c:pt>
              </c:strCache>
            </c:strRef>
          </c:tx>
          <c:spPr>
            <a:solidFill>
              <a:schemeClr val="accent2">
                <a:shade val="76000"/>
              </a:schemeClr>
            </a:solidFill>
            <a:ln>
              <a:noFill/>
            </a:ln>
            <a:effectLst/>
          </c:spPr>
          <c:invertIfNegative val="0"/>
          <c:cat>
            <c:strRef>
              <c:f>'TOP20 Tables'!$H$168:$H$187</c:f>
              <c:strCache>
                <c:ptCount val="20"/>
                <c:pt idx="0">
                  <c:v>A06A</c:v>
                </c:pt>
                <c:pt idx="1">
                  <c:v>A06B</c:v>
                </c:pt>
                <c:pt idx="2">
                  <c:v>P03B</c:v>
                </c:pt>
                <c:pt idx="3">
                  <c:v>P64A</c:v>
                </c:pt>
                <c:pt idx="4">
                  <c:v>A06C</c:v>
                </c:pt>
                <c:pt idx="5">
                  <c:v>F40A</c:v>
                </c:pt>
                <c:pt idx="6">
                  <c:v>P65A</c:v>
                </c:pt>
                <c:pt idx="7">
                  <c:v>P04B</c:v>
                </c:pt>
                <c:pt idx="8">
                  <c:v>P05B</c:v>
                </c:pt>
                <c:pt idx="9">
                  <c:v>B42A</c:v>
                </c:pt>
                <c:pt idx="10">
                  <c:v>F04A</c:v>
                </c:pt>
                <c:pt idx="11">
                  <c:v>F43A</c:v>
                </c:pt>
                <c:pt idx="12">
                  <c:v>T40Z</c:v>
                </c:pt>
                <c:pt idx="13">
                  <c:v>E41A</c:v>
                </c:pt>
                <c:pt idx="14">
                  <c:v>F07A</c:v>
                </c:pt>
                <c:pt idx="15">
                  <c:v>F06A</c:v>
                </c:pt>
                <c:pt idx="16">
                  <c:v>F05A</c:v>
                </c:pt>
                <c:pt idx="17">
                  <c:v>Q01A</c:v>
                </c:pt>
                <c:pt idx="18">
                  <c:v>E40B</c:v>
                </c:pt>
                <c:pt idx="19">
                  <c:v>P65B</c:v>
                </c:pt>
              </c:strCache>
            </c:strRef>
          </c:cat>
          <c:val>
            <c:numRef>
              <c:f>'TOP20 Tables'!$J$168:$J$187</c:f>
              <c:numCache>
                <c:formatCode>#,##0.00_);\(#,##0.00\)</c:formatCode>
                <c:ptCount val="20"/>
                <c:pt idx="0">
                  <c:v>20.759414821</c:v>
                </c:pt>
                <c:pt idx="1">
                  <c:v>13.943936014</c:v>
                </c:pt>
                <c:pt idx="2">
                  <c:v>11.558188519</c:v>
                </c:pt>
                <c:pt idx="3">
                  <c:v>10.116511763</c:v>
                </c:pt>
                <c:pt idx="4">
                  <c:v>8.8342453054999996</c:v>
                </c:pt>
                <c:pt idx="5">
                  <c:v>7.7826207662</c:v>
                </c:pt>
                <c:pt idx="6">
                  <c:v>7.6128993072000002</c:v>
                </c:pt>
                <c:pt idx="7">
                  <c:v>7.1131281424999999</c:v>
                </c:pt>
                <c:pt idx="8">
                  <c:v>6.6183824000999998</c:v>
                </c:pt>
                <c:pt idx="9">
                  <c:v>5.8659151005999997</c:v>
                </c:pt>
                <c:pt idx="10">
                  <c:v>5.7845745240999999</c:v>
                </c:pt>
                <c:pt idx="11">
                  <c:v>5.6313083649999998</c:v>
                </c:pt>
                <c:pt idx="12">
                  <c:v>5.3704711388000002</c:v>
                </c:pt>
                <c:pt idx="13">
                  <c:v>5.1280651804000001</c:v>
                </c:pt>
                <c:pt idx="14">
                  <c:v>5.0351768928</c:v>
                </c:pt>
                <c:pt idx="15">
                  <c:v>4.9934792667999996</c:v>
                </c:pt>
                <c:pt idx="16">
                  <c:v>4.8443959659000004</c:v>
                </c:pt>
                <c:pt idx="17">
                  <c:v>4.6259293327000002</c:v>
                </c:pt>
                <c:pt idx="18">
                  <c:v>4.5563710420000003</c:v>
                </c:pt>
                <c:pt idx="19">
                  <c:v>4.5421873193</c:v>
                </c:pt>
              </c:numCache>
            </c:numRef>
          </c:val>
          <c:extLst xmlns:c16r2="http://schemas.microsoft.com/office/drawing/2015/06/chart">
            <c:ext xmlns:c16="http://schemas.microsoft.com/office/drawing/2014/chart" uri="{C3380CC4-5D6E-409C-BE32-E72D297353CC}">
              <c16:uniqueId val="{00000001-9A43-40A6-AB58-B71E0F915C5E}"/>
            </c:ext>
          </c:extLst>
        </c:ser>
        <c:dLbls>
          <c:showLegendKey val="0"/>
          <c:showVal val="0"/>
          <c:showCatName val="0"/>
          <c:showSerName val="0"/>
          <c:showPercent val="0"/>
          <c:showBubbleSize val="0"/>
        </c:dLbls>
        <c:gapWidth val="219"/>
        <c:overlap val="-27"/>
        <c:axId val="166172928"/>
        <c:axId val="166580608"/>
      </c:barChart>
      <c:catAx>
        <c:axId val="1661729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j-lt"/>
                    <a:ea typeface="+mn-ea"/>
                    <a:cs typeface="+mn-cs"/>
                  </a:defRPr>
                </a:pPr>
                <a:r>
                  <a:rPr lang="en-US"/>
                  <a:t>AR-DRG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mj-lt"/>
                <a:ea typeface="+mn-ea"/>
                <a:cs typeface="+mn-cs"/>
              </a:defRPr>
            </a:pPr>
            <a:endParaRPr lang="en-US"/>
          </a:p>
        </c:txPr>
        <c:crossAx val="166580608"/>
        <c:crosses val="autoZero"/>
        <c:auto val="1"/>
        <c:lblAlgn val="ctr"/>
        <c:lblOffset val="100"/>
        <c:noMultiLvlLbl val="0"/>
      </c:catAx>
      <c:valAx>
        <c:axId val="166580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j-lt"/>
                    <a:ea typeface="+mn-ea"/>
                    <a:cs typeface="+mn-cs"/>
                  </a:defRPr>
                </a:pPr>
                <a:r>
                  <a:rPr lang="en-US"/>
                  <a:t>Critical care cost weight</a:t>
                </a:r>
              </a:p>
            </c:rich>
          </c:tx>
          <c:layout>
            <c:manualLayout>
              <c:xMode val="edge"/>
              <c:yMode val="edge"/>
              <c:x val="2.1172983273343216E-2"/>
              <c:y val="0.31838120492007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166172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mj-lt"/>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'00 README'!$D$16</c:f>
              <c:strCache>
                <c:ptCount val="1"/>
                <c:pt idx="0">
                  <c:v>Round 18</c:v>
                </c:pt>
              </c:strCache>
            </c:strRef>
          </c:tx>
          <c:spPr>
            <a:solidFill>
              <a:schemeClr val="accent2">
                <a:tint val="77000"/>
              </a:schemeClr>
            </a:solidFill>
            <a:ln>
              <a:noFill/>
            </a:ln>
            <a:effectLst/>
          </c:spPr>
          <c:invertIfNegative val="0"/>
          <c:cat>
            <c:strRef>
              <c:f>'TOP20 Tables'!$H$127:$H$146</c:f>
              <c:strCache>
                <c:ptCount val="20"/>
                <c:pt idx="0">
                  <c:v>J01A</c:v>
                </c:pt>
                <c:pt idx="1">
                  <c:v>J01B</c:v>
                </c:pt>
                <c:pt idx="2">
                  <c:v>A40B</c:v>
                </c:pt>
                <c:pt idx="3">
                  <c:v>A06A</c:v>
                </c:pt>
                <c:pt idx="4">
                  <c:v>F07A</c:v>
                </c:pt>
                <c:pt idx="5">
                  <c:v>F03A</c:v>
                </c:pt>
                <c:pt idx="6">
                  <c:v>F05A</c:v>
                </c:pt>
                <c:pt idx="7">
                  <c:v>F04A</c:v>
                </c:pt>
                <c:pt idx="8">
                  <c:v>F03B</c:v>
                </c:pt>
                <c:pt idx="9">
                  <c:v>F05B</c:v>
                </c:pt>
                <c:pt idx="10">
                  <c:v>I02A</c:v>
                </c:pt>
                <c:pt idx="11">
                  <c:v>F08A</c:v>
                </c:pt>
                <c:pt idx="12">
                  <c:v>F06A</c:v>
                </c:pt>
                <c:pt idx="13">
                  <c:v>F04B</c:v>
                </c:pt>
                <c:pt idx="14">
                  <c:v>H01A</c:v>
                </c:pt>
                <c:pt idx="15">
                  <c:v>I09A</c:v>
                </c:pt>
                <c:pt idx="16">
                  <c:v>I06Z</c:v>
                </c:pt>
                <c:pt idx="17">
                  <c:v>F07B</c:v>
                </c:pt>
                <c:pt idx="18">
                  <c:v>A06B</c:v>
                </c:pt>
                <c:pt idx="19">
                  <c:v>G01A</c:v>
                </c:pt>
              </c:strCache>
            </c:strRef>
          </c:cat>
          <c:val>
            <c:numRef>
              <c:f>'TOP20 Tables'!$AQ$127:$AQ$146</c:f>
              <c:numCache>
                <c:formatCode>General</c:formatCode>
                <c:ptCount val="20"/>
                <c:pt idx="0">
                  <c:v>3.3942999999999999</c:v>
                </c:pt>
                <c:pt idx="1">
                  <c:v>2.6141999999999999</c:v>
                </c:pt>
                <c:pt idx="2">
                  <c:v>0</c:v>
                </c:pt>
                <c:pt idx="3">
                  <c:v>2.5476999999999999</c:v>
                </c:pt>
                <c:pt idx="4">
                  <c:v>1.7868999999999999</c:v>
                </c:pt>
                <c:pt idx="5">
                  <c:v>2.3552</c:v>
                </c:pt>
                <c:pt idx="6">
                  <c:v>2.1366999999999998</c:v>
                </c:pt>
                <c:pt idx="7">
                  <c:v>2.4053</c:v>
                </c:pt>
                <c:pt idx="8">
                  <c:v>2.1328</c:v>
                </c:pt>
                <c:pt idx="9">
                  <c:v>1.8995</c:v>
                </c:pt>
                <c:pt idx="10">
                  <c:v>2.3831000000000002</c:v>
                </c:pt>
                <c:pt idx="11">
                  <c:v>1.77</c:v>
                </c:pt>
                <c:pt idx="12">
                  <c:v>1.7464999999999999</c:v>
                </c:pt>
                <c:pt idx="13">
                  <c:v>1.87</c:v>
                </c:pt>
                <c:pt idx="14">
                  <c:v>1.9322999999999999</c:v>
                </c:pt>
                <c:pt idx="15">
                  <c:v>1.7296</c:v>
                </c:pt>
                <c:pt idx="16">
                  <c:v>1.9621999999999999</c:v>
                </c:pt>
                <c:pt idx="17">
                  <c:v>2.1583999999999999</c:v>
                </c:pt>
                <c:pt idx="18">
                  <c:v>1.4655</c:v>
                </c:pt>
                <c:pt idx="19">
                  <c:v>1.8332999999999999</c:v>
                </c:pt>
              </c:numCache>
            </c:numRef>
          </c:val>
          <c:extLst xmlns:c16r2="http://schemas.microsoft.com/office/drawing/2015/06/chart">
            <c:ext xmlns:c16="http://schemas.microsoft.com/office/drawing/2014/chart" uri="{C3380CC4-5D6E-409C-BE32-E72D297353CC}">
              <c16:uniqueId val="{00000000-997F-430D-B407-8D99BBF943F7}"/>
            </c:ext>
          </c:extLst>
        </c:ser>
        <c:ser>
          <c:idx val="1"/>
          <c:order val="1"/>
          <c:tx>
            <c:strRef>
              <c:f>'00 README'!$D$14</c:f>
              <c:strCache>
                <c:ptCount val="1"/>
                <c:pt idx="0">
                  <c:v>Round 20</c:v>
                </c:pt>
              </c:strCache>
            </c:strRef>
          </c:tx>
          <c:spPr>
            <a:solidFill>
              <a:schemeClr val="accent2">
                <a:shade val="76000"/>
              </a:schemeClr>
            </a:solidFill>
            <a:ln>
              <a:noFill/>
            </a:ln>
            <a:effectLst/>
          </c:spPr>
          <c:invertIfNegative val="0"/>
          <c:cat>
            <c:strRef>
              <c:f>'TOP20 Tables'!$H$127:$H$146</c:f>
              <c:strCache>
                <c:ptCount val="20"/>
                <c:pt idx="0">
                  <c:v>J01A</c:v>
                </c:pt>
                <c:pt idx="1">
                  <c:v>J01B</c:v>
                </c:pt>
                <c:pt idx="2">
                  <c:v>A40B</c:v>
                </c:pt>
                <c:pt idx="3">
                  <c:v>A06A</c:v>
                </c:pt>
                <c:pt idx="4">
                  <c:v>F07A</c:v>
                </c:pt>
                <c:pt idx="5">
                  <c:v>F03A</c:v>
                </c:pt>
                <c:pt idx="6">
                  <c:v>F05A</c:v>
                </c:pt>
                <c:pt idx="7">
                  <c:v>F04A</c:v>
                </c:pt>
                <c:pt idx="8">
                  <c:v>F03B</c:v>
                </c:pt>
                <c:pt idx="9">
                  <c:v>F05B</c:v>
                </c:pt>
                <c:pt idx="10">
                  <c:v>I02A</c:v>
                </c:pt>
                <c:pt idx="11">
                  <c:v>F08A</c:v>
                </c:pt>
                <c:pt idx="12">
                  <c:v>F06A</c:v>
                </c:pt>
                <c:pt idx="13">
                  <c:v>F04B</c:v>
                </c:pt>
                <c:pt idx="14">
                  <c:v>H01A</c:v>
                </c:pt>
                <c:pt idx="15">
                  <c:v>I09A</c:v>
                </c:pt>
                <c:pt idx="16">
                  <c:v>I06Z</c:v>
                </c:pt>
                <c:pt idx="17">
                  <c:v>F07B</c:v>
                </c:pt>
                <c:pt idx="18">
                  <c:v>A06B</c:v>
                </c:pt>
                <c:pt idx="19">
                  <c:v>G01A</c:v>
                </c:pt>
              </c:strCache>
            </c:strRef>
          </c:cat>
          <c:val>
            <c:numRef>
              <c:f>'TOP20 Tables'!$J$127:$J$146</c:f>
              <c:numCache>
                <c:formatCode>#,##0.00_);\(#,##0.00\)</c:formatCode>
                <c:ptCount val="20"/>
                <c:pt idx="0">
                  <c:v>3.1959808433000001</c:v>
                </c:pt>
                <c:pt idx="1">
                  <c:v>2.8433894471999999</c:v>
                </c:pt>
                <c:pt idx="2">
                  <c:v>2.8404491258000002</c:v>
                </c:pt>
                <c:pt idx="3">
                  <c:v>2.7623313609000002</c:v>
                </c:pt>
                <c:pt idx="4">
                  <c:v>2.7493069907000001</c:v>
                </c:pt>
                <c:pt idx="5">
                  <c:v>2.6297599617</c:v>
                </c:pt>
                <c:pt idx="6">
                  <c:v>2.6061053868999999</c:v>
                </c:pt>
                <c:pt idx="7">
                  <c:v>2.3369701979999999</c:v>
                </c:pt>
                <c:pt idx="8">
                  <c:v>2.3129885101999998</c:v>
                </c:pt>
                <c:pt idx="9">
                  <c:v>2.1999901291000001</c:v>
                </c:pt>
                <c:pt idx="10">
                  <c:v>2.1971345936</c:v>
                </c:pt>
                <c:pt idx="11">
                  <c:v>2.1859689805000002</c:v>
                </c:pt>
                <c:pt idx="12">
                  <c:v>2.0744099218000001</c:v>
                </c:pt>
                <c:pt idx="13">
                  <c:v>2.0399101600999998</c:v>
                </c:pt>
                <c:pt idx="14">
                  <c:v>2.0328836354000002</c:v>
                </c:pt>
                <c:pt idx="15">
                  <c:v>2.0164496624999999</c:v>
                </c:pt>
                <c:pt idx="16">
                  <c:v>1.9888906609000001</c:v>
                </c:pt>
                <c:pt idx="17">
                  <c:v>1.9509087642</c:v>
                </c:pt>
                <c:pt idx="18">
                  <c:v>1.9425270406999999</c:v>
                </c:pt>
                <c:pt idx="19">
                  <c:v>1.8808313566999999</c:v>
                </c:pt>
              </c:numCache>
            </c:numRef>
          </c:val>
          <c:extLst xmlns:c16r2="http://schemas.microsoft.com/office/drawing/2015/06/chart">
            <c:ext xmlns:c16="http://schemas.microsoft.com/office/drawing/2014/chart" uri="{C3380CC4-5D6E-409C-BE32-E72D297353CC}">
              <c16:uniqueId val="{00000001-997F-430D-B407-8D99BBF943F7}"/>
            </c:ext>
          </c:extLst>
        </c:ser>
        <c:dLbls>
          <c:showLegendKey val="0"/>
          <c:showVal val="0"/>
          <c:showCatName val="0"/>
          <c:showSerName val="0"/>
          <c:showPercent val="0"/>
          <c:showBubbleSize val="0"/>
        </c:dLbls>
        <c:gapWidth val="219"/>
        <c:overlap val="-27"/>
        <c:axId val="250883072"/>
        <c:axId val="255141760"/>
      </c:barChart>
      <c:catAx>
        <c:axId val="2508830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j-lt"/>
                    <a:ea typeface="+mn-ea"/>
                    <a:cs typeface="+mn-cs"/>
                  </a:defRPr>
                </a:pPr>
                <a:r>
                  <a:rPr lang="en-US">
                    <a:latin typeface="+mn-lt"/>
                  </a:rPr>
                  <a:t>AR-DRG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mn-lt"/>
                <a:ea typeface="+mn-ea"/>
                <a:cs typeface="+mn-cs"/>
              </a:defRPr>
            </a:pPr>
            <a:endParaRPr lang="en-US"/>
          </a:p>
        </c:txPr>
        <c:crossAx val="255141760"/>
        <c:crosses val="autoZero"/>
        <c:auto val="1"/>
        <c:lblAlgn val="ctr"/>
        <c:lblOffset val="100"/>
        <c:noMultiLvlLbl val="0"/>
      </c:catAx>
      <c:valAx>
        <c:axId val="255141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latin typeface="+mn-lt"/>
                  </a:rPr>
                  <a:t>OR and SPS cost weight</a:t>
                </a:r>
              </a:p>
            </c:rich>
          </c:tx>
          <c:overlay val="0"/>
          <c:spPr>
            <a:noFill/>
            <a:ln>
              <a:noFill/>
            </a:ln>
            <a:effectLst/>
          </c:sp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50883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mj-lt"/>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'00 README'!$D$16</c:f>
              <c:strCache>
                <c:ptCount val="1"/>
                <c:pt idx="0">
                  <c:v>Round 18</c:v>
                </c:pt>
              </c:strCache>
            </c:strRef>
          </c:tx>
          <c:spPr>
            <a:solidFill>
              <a:schemeClr val="accent2">
                <a:tint val="77000"/>
              </a:schemeClr>
            </a:solidFill>
            <a:ln>
              <a:noFill/>
            </a:ln>
            <a:effectLst/>
          </c:spPr>
          <c:invertIfNegative val="0"/>
          <c:cat>
            <c:strRef>
              <c:f>'TOP20 Tables'!$H$240:$H$259</c:f>
              <c:strCache>
                <c:ptCount val="20"/>
                <c:pt idx="0">
                  <c:v>F01A</c:v>
                </c:pt>
                <c:pt idx="1">
                  <c:v>F01B</c:v>
                </c:pt>
                <c:pt idx="2">
                  <c:v>I06Z</c:v>
                </c:pt>
                <c:pt idx="3">
                  <c:v>D01Z</c:v>
                </c:pt>
                <c:pt idx="4">
                  <c:v>I09A</c:v>
                </c:pt>
                <c:pt idx="5">
                  <c:v>A12Z</c:v>
                </c:pt>
                <c:pt idx="6">
                  <c:v>I09B</c:v>
                </c:pt>
                <c:pt idx="7">
                  <c:v>I01A</c:v>
                </c:pt>
                <c:pt idx="8">
                  <c:v>I01B</c:v>
                </c:pt>
                <c:pt idx="9">
                  <c:v>A11A</c:v>
                </c:pt>
                <c:pt idx="10">
                  <c:v>F12A</c:v>
                </c:pt>
                <c:pt idx="11">
                  <c:v>F12B</c:v>
                </c:pt>
                <c:pt idx="12">
                  <c:v>I32A</c:v>
                </c:pt>
                <c:pt idx="13">
                  <c:v>I09C</c:v>
                </c:pt>
                <c:pt idx="14">
                  <c:v>F17A</c:v>
                </c:pt>
                <c:pt idx="15">
                  <c:v>A11B</c:v>
                </c:pt>
                <c:pt idx="16">
                  <c:v>I31A</c:v>
                </c:pt>
                <c:pt idx="17">
                  <c:v>F17B</c:v>
                </c:pt>
                <c:pt idx="18">
                  <c:v>F04A</c:v>
                </c:pt>
                <c:pt idx="19">
                  <c:v>I31B</c:v>
                </c:pt>
              </c:strCache>
            </c:strRef>
          </c:cat>
          <c:val>
            <c:numRef>
              <c:f>'TOP20 Tables'!$AQ$240:$AQ$259</c:f>
              <c:numCache>
                <c:formatCode>General</c:formatCode>
                <c:ptCount val="20"/>
                <c:pt idx="0">
                  <c:v>19.2728</c:v>
                </c:pt>
                <c:pt idx="1">
                  <c:v>17.7117</c:v>
                </c:pt>
                <c:pt idx="2">
                  <c:v>8.9013000000000009</c:v>
                </c:pt>
                <c:pt idx="3">
                  <c:v>8.5332000000000008</c:v>
                </c:pt>
                <c:pt idx="4">
                  <c:v>7.3384</c:v>
                </c:pt>
                <c:pt idx="5">
                  <c:v>8.0105000000000004</c:v>
                </c:pt>
                <c:pt idx="6">
                  <c:v>5.3563000000000001</c:v>
                </c:pt>
                <c:pt idx="7">
                  <c:v>5.1524000000000001</c:v>
                </c:pt>
                <c:pt idx="8">
                  <c:v>4.0449999999999999</c:v>
                </c:pt>
                <c:pt idx="9">
                  <c:v>4.3605</c:v>
                </c:pt>
                <c:pt idx="10">
                  <c:v>4.9263000000000003</c:v>
                </c:pt>
                <c:pt idx="11">
                  <c:v>4.5294999999999996</c:v>
                </c:pt>
                <c:pt idx="12">
                  <c:v>4.6616</c:v>
                </c:pt>
                <c:pt idx="13">
                  <c:v>3.9849000000000001</c:v>
                </c:pt>
                <c:pt idx="14">
                  <c:v>4.8365</c:v>
                </c:pt>
                <c:pt idx="15">
                  <c:v>6.1498999999999997</c:v>
                </c:pt>
                <c:pt idx="16">
                  <c:v>4.1348000000000003</c:v>
                </c:pt>
                <c:pt idx="17">
                  <c:v>3.9378000000000002</c:v>
                </c:pt>
                <c:pt idx="18">
                  <c:v>4.9084000000000003</c:v>
                </c:pt>
                <c:pt idx="19">
                  <c:v>3.7444999999999999</c:v>
                </c:pt>
              </c:numCache>
            </c:numRef>
          </c:val>
          <c:extLst xmlns:c16r2="http://schemas.microsoft.com/office/drawing/2015/06/chart">
            <c:ext xmlns:c16="http://schemas.microsoft.com/office/drawing/2014/chart" uri="{C3380CC4-5D6E-409C-BE32-E72D297353CC}">
              <c16:uniqueId val="{00000000-FAE6-4ED9-88C7-4513776CD2D8}"/>
            </c:ext>
          </c:extLst>
        </c:ser>
        <c:ser>
          <c:idx val="1"/>
          <c:order val="1"/>
          <c:tx>
            <c:strRef>
              <c:f>'00 README'!$D$14</c:f>
              <c:strCache>
                <c:ptCount val="1"/>
                <c:pt idx="0">
                  <c:v>Round 20</c:v>
                </c:pt>
              </c:strCache>
            </c:strRef>
          </c:tx>
          <c:spPr>
            <a:solidFill>
              <a:schemeClr val="accent2">
                <a:shade val="76000"/>
              </a:schemeClr>
            </a:solidFill>
            <a:ln>
              <a:noFill/>
            </a:ln>
            <a:effectLst/>
          </c:spPr>
          <c:invertIfNegative val="0"/>
          <c:cat>
            <c:strRef>
              <c:f>'TOP20 Tables'!$H$240:$H$259</c:f>
              <c:strCache>
                <c:ptCount val="20"/>
                <c:pt idx="0">
                  <c:v>F01A</c:v>
                </c:pt>
                <c:pt idx="1">
                  <c:v>F01B</c:v>
                </c:pt>
                <c:pt idx="2">
                  <c:v>I06Z</c:v>
                </c:pt>
                <c:pt idx="3">
                  <c:v>D01Z</c:v>
                </c:pt>
                <c:pt idx="4">
                  <c:v>I09A</c:v>
                </c:pt>
                <c:pt idx="5">
                  <c:v>A12Z</c:v>
                </c:pt>
                <c:pt idx="6">
                  <c:v>I09B</c:v>
                </c:pt>
                <c:pt idx="7">
                  <c:v>I01A</c:v>
                </c:pt>
                <c:pt idx="8">
                  <c:v>I01B</c:v>
                </c:pt>
                <c:pt idx="9">
                  <c:v>A11A</c:v>
                </c:pt>
                <c:pt idx="10">
                  <c:v>F12A</c:v>
                </c:pt>
                <c:pt idx="11">
                  <c:v>F12B</c:v>
                </c:pt>
                <c:pt idx="12">
                  <c:v>I32A</c:v>
                </c:pt>
                <c:pt idx="13">
                  <c:v>I09C</c:v>
                </c:pt>
                <c:pt idx="14">
                  <c:v>F17A</c:v>
                </c:pt>
                <c:pt idx="15">
                  <c:v>A11B</c:v>
                </c:pt>
                <c:pt idx="16">
                  <c:v>I31A</c:v>
                </c:pt>
                <c:pt idx="17">
                  <c:v>F17B</c:v>
                </c:pt>
                <c:pt idx="18">
                  <c:v>F04A</c:v>
                </c:pt>
                <c:pt idx="19">
                  <c:v>I31B</c:v>
                </c:pt>
              </c:strCache>
            </c:strRef>
          </c:cat>
          <c:val>
            <c:numRef>
              <c:f>'TOP20 Tables'!$J$240:$J$259</c:f>
              <c:numCache>
                <c:formatCode>#,##0.00_);\(#,##0.00\)</c:formatCode>
                <c:ptCount val="20"/>
                <c:pt idx="0">
                  <c:v>14.969398232</c:v>
                </c:pt>
                <c:pt idx="1">
                  <c:v>14.443705395</c:v>
                </c:pt>
                <c:pt idx="2">
                  <c:v>8.3771653545000007</c:v>
                </c:pt>
                <c:pt idx="3">
                  <c:v>6.9360997234999999</c:v>
                </c:pt>
                <c:pt idx="4">
                  <c:v>6.2944752153000003</c:v>
                </c:pt>
                <c:pt idx="5">
                  <c:v>6.1161460938000003</c:v>
                </c:pt>
                <c:pt idx="6">
                  <c:v>4.8336556619</c:v>
                </c:pt>
                <c:pt idx="7">
                  <c:v>4.6690321270000004</c:v>
                </c:pt>
                <c:pt idx="8">
                  <c:v>4.3022990437999997</c:v>
                </c:pt>
                <c:pt idx="9">
                  <c:v>4.0654370393999999</c:v>
                </c:pt>
                <c:pt idx="10">
                  <c:v>3.8048416168000001</c:v>
                </c:pt>
                <c:pt idx="11">
                  <c:v>3.6648578521999999</c:v>
                </c:pt>
                <c:pt idx="12">
                  <c:v>3.5468450316000002</c:v>
                </c:pt>
                <c:pt idx="13">
                  <c:v>3.5240673692</c:v>
                </c:pt>
                <c:pt idx="14">
                  <c:v>3.4496720125000002</c:v>
                </c:pt>
                <c:pt idx="15">
                  <c:v>3.4116140183999999</c:v>
                </c:pt>
                <c:pt idx="16">
                  <c:v>3.2906277947999998</c:v>
                </c:pt>
                <c:pt idx="17">
                  <c:v>3.2498164189000001</c:v>
                </c:pt>
                <c:pt idx="18">
                  <c:v>3.1457540404</c:v>
                </c:pt>
                <c:pt idx="19">
                  <c:v>3.0258338192999998</c:v>
                </c:pt>
              </c:numCache>
            </c:numRef>
          </c:val>
          <c:extLst xmlns:c16r2="http://schemas.microsoft.com/office/drawing/2015/06/chart">
            <c:ext xmlns:c16="http://schemas.microsoft.com/office/drawing/2014/chart" uri="{C3380CC4-5D6E-409C-BE32-E72D297353CC}">
              <c16:uniqueId val="{00000001-FAE6-4ED9-88C7-4513776CD2D8}"/>
            </c:ext>
          </c:extLst>
        </c:ser>
        <c:dLbls>
          <c:showLegendKey val="0"/>
          <c:showVal val="0"/>
          <c:showCatName val="0"/>
          <c:showSerName val="0"/>
          <c:showPercent val="0"/>
          <c:showBubbleSize val="0"/>
        </c:dLbls>
        <c:gapWidth val="219"/>
        <c:overlap val="-27"/>
        <c:axId val="255229952"/>
        <c:axId val="255232256"/>
      </c:barChart>
      <c:catAx>
        <c:axId val="2552299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AR-DRG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mn-lt"/>
                <a:ea typeface="+mn-ea"/>
                <a:cs typeface="+mn-cs"/>
              </a:defRPr>
            </a:pPr>
            <a:endParaRPr lang="en-US"/>
          </a:p>
        </c:txPr>
        <c:crossAx val="255232256"/>
        <c:crosses val="autoZero"/>
        <c:auto val="1"/>
        <c:lblAlgn val="ctr"/>
        <c:lblOffset val="100"/>
        <c:noMultiLvlLbl val="0"/>
      </c:catAx>
      <c:valAx>
        <c:axId val="255232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Prosthesis cost weight</a:t>
                </a:r>
              </a:p>
            </c:rich>
          </c:tx>
          <c:layout>
            <c:manualLayout>
              <c:xMode val="edge"/>
              <c:yMode val="edge"/>
              <c:x val="1.2703789964005929E-2"/>
              <c:y val="6.3657407407407413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55229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mn-lt"/>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'00 README'!$D$16</c:f>
              <c:strCache>
                <c:ptCount val="1"/>
                <c:pt idx="0">
                  <c:v>Round 18</c:v>
                </c:pt>
              </c:strCache>
            </c:strRef>
          </c:tx>
          <c:spPr>
            <a:solidFill>
              <a:schemeClr val="accent2">
                <a:tint val="77000"/>
              </a:schemeClr>
            </a:solidFill>
            <a:ln>
              <a:noFill/>
            </a:ln>
            <a:effectLst/>
          </c:spPr>
          <c:invertIfNegative val="0"/>
          <c:cat>
            <c:strRef>
              <c:f>'TOP20 Tables'!$H$203:$H$222</c:f>
              <c:strCache>
                <c:ptCount val="20"/>
                <c:pt idx="0">
                  <c:v>I02A</c:v>
                </c:pt>
                <c:pt idx="1">
                  <c:v>A06A</c:v>
                </c:pt>
                <c:pt idx="2">
                  <c:v>K01A</c:v>
                </c:pt>
                <c:pt idx="3">
                  <c:v>B60A</c:v>
                </c:pt>
                <c:pt idx="4">
                  <c:v>A08A</c:v>
                </c:pt>
                <c:pt idx="5">
                  <c:v>A06B</c:v>
                </c:pt>
                <c:pt idx="6">
                  <c:v>F11A</c:v>
                </c:pt>
                <c:pt idx="7">
                  <c:v>R03A</c:v>
                </c:pt>
                <c:pt idx="8">
                  <c:v>B82A</c:v>
                </c:pt>
                <c:pt idx="9">
                  <c:v>P64A</c:v>
                </c:pt>
                <c:pt idx="10">
                  <c:v>G02A</c:v>
                </c:pt>
                <c:pt idx="11">
                  <c:v>G01A</c:v>
                </c:pt>
                <c:pt idx="12">
                  <c:v>R60A</c:v>
                </c:pt>
                <c:pt idx="13">
                  <c:v>T01A</c:v>
                </c:pt>
                <c:pt idx="14">
                  <c:v>U62A</c:v>
                </c:pt>
                <c:pt idx="15">
                  <c:v>F04A</c:v>
                </c:pt>
                <c:pt idx="16">
                  <c:v>I31A</c:v>
                </c:pt>
                <c:pt idx="17">
                  <c:v>K01B</c:v>
                </c:pt>
                <c:pt idx="18">
                  <c:v>L09A</c:v>
                </c:pt>
                <c:pt idx="19">
                  <c:v>801A</c:v>
                </c:pt>
              </c:strCache>
            </c:strRef>
          </c:cat>
          <c:val>
            <c:numRef>
              <c:f>'TOP20 Tables'!$AQ$203:$AQ$222</c:f>
              <c:numCache>
                <c:formatCode>General</c:formatCode>
                <c:ptCount val="20"/>
                <c:pt idx="0">
                  <c:v>8.7388999999999992</c:v>
                </c:pt>
                <c:pt idx="1">
                  <c:v>15.1839</c:v>
                </c:pt>
                <c:pt idx="2">
                  <c:v>9.1652000000000005</c:v>
                </c:pt>
                <c:pt idx="3">
                  <c:v>9.9461999999999993</c:v>
                </c:pt>
                <c:pt idx="4">
                  <c:v>7.2869000000000002</c:v>
                </c:pt>
                <c:pt idx="5">
                  <c:v>10.085900000000001</c:v>
                </c:pt>
                <c:pt idx="6">
                  <c:v>6.5534999999999997</c:v>
                </c:pt>
                <c:pt idx="7">
                  <c:v>7.3387000000000002</c:v>
                </c:pt>
                <c:pt idx="8">
                  <c:v>5.3598999999999997</c:v>
                </c:pt>
                <c:pt idx="9">
                  <c:v>5.5766</c:v>
                </c:pt>
                <c:pt idx="10">
                  <c:v>5.7477</c:v>
                </c:pt>
                <c:pt idx="11">
                  <c:v>5.8968999999999996</c:v>
                </c:pt>
                <c:pt idx="12">
                  <c:v>4.077</c:v>
                </c:pt>
                <c:pt idx="13">
                  <c:v>5.6927000000000003</c:v>
                </c:pt>
                <c:pt idx="14">
                  <c:v>1.9714</c:v>
                </c:pt>
                <c:pt idx="15">
                  <c:v>7.625</c:v>
                </c:pt>
                <c:pt idx="16">
                  <c:v>5.3631000000000002</c:v>
                </c:pt>
                <c:pt idx="17">
                  <c:v>4.5498000000000003</c:v>
                </c:pt>
                <c:pt idx="18">
                  <c:v>5.2366999999999999</c:v>
                </c:pt>
                <c:pt idx="19">
                  <c:v>5.7333999999999996</c:v>
                </c:pt>
              </c:numCache>
            </c:numRef>
          </c:val>
          <c:extLst xmlns:c16r2="http://schemas.microsoft.com/office/drawing/2015/06/chart">
            <c:ext xmlns:c16="http://schemas.microsoft.com/office/drawing/2014/chart" uri="{C3380CC4-5D6E-409C-BE32-E72D297353CC}">
              <c16:uniqueId val="{00000000-1A32-495B-B4FF-BFA5F2B49D6A}"/>
            </c:ext>
          </c:extLst>
        </c:ser>
        <c:ser>
          <c:idx val="1"/>
          <c:order val="1"/>
          <c:tx>
            <c:strRef>
              <c:f>'00 README'!$D$14</c:f>
              <c:strCache>
                <c:ptCount val="1"/>
                <c:pt idx="0">
                  <c:v>Round 20</c:v>
                </c:pt>
              </c:strCache>
            </c:strRef>
          </c:tx>
          <c:spPr>
            <a:solidFill>
              <a:schemeClr val="accent2">
                <a:shade val="76000"/>
              </a:schemeClr>
            </a:solidFill>
            <a:ln>
              <a:noFill/>
            </a:ln>
            <a:effectLst/>
          </c:spPr>
          <c:invertIfNegative val="0"/>
          <c:cat>
            <c:strRef>
              <c:f>'TOP20 Tables'!$H$203:$H$222</c:f>
              <c:strCache>
                <c:ptCount val="20"/>
                <c:pt idx="0">
                  <c:v>I02A</c:v>
                </c:pt>
                <c:pt idx="1">
                  <c:v>A06A</c:v>
                </c:pt>
                <c:pt idx="2">
                  <c:v>K01A</c:v>
                </c:pt>
                <c:pt idx="3">
                  <c:v>B60A</c:v>
                </c:pt>
                <c:pt idx="4">
                  <c:v>A08A</c:v>
                </c:pt>
                <c:pt idx="5">
                  <c:v>A06B</c:v>
                </c:pt>
                <c:pt idx="6">
                  <c:v>F11A</c:v>
                </c:pt>
                <c:pt idx="7">
                  <c:v>R03A</c:v>
                </c:pt>
                <c:pt idx="8">
                  <c:v>B82A</c:v>
                </c:pt>
                <c:pt idx="9">
                  <c:v>P64A</c:v>
                </c:pt>
                <c:pt idx="10">
                  <c:v>G02A</c:v>
                </c:pt>
                <c:pt idx="11">
                  <c:v>G01A</c:v>
                </c:pt>
                <c:pt idx="12">
                  <c:v>R60A</c:v>
                </c:pt>
                <c:pt idx="13">
                  <c:v>T01A</c:v>
                </c:pt>
                <c:pt idx="14">
                  <c:v>U62A</c:v>
                </c:pt>
                <c:pt idx="15">
                  <c:v>F04A</c:v>
                </c:pt>
                <c:pt idx="16">
                  <c:v>I31A</c:v>
                </c:pt>
                <c:pt idx="17">
                  <c:v>K01B</c:v>
                </c:pt>
                <c:pt idx="18">
                  <c:v>L09A</c:v>
                </c:pt>
                <c:pt idx="19">
                  <c:v>801A</c:v>
                </c:pt>
              </c:strCache>
            </c:strRef>
          </c:cat>
          <c:val>
            <c:numRef>
              <c:f>'TOP20 Tables'!$J$203:$J$222</c:f>
              <c:numCache>
                <c:formatCode>#,##0.00_);\(#,##0.00\)</c:formatCode>
                <c:ptCount val="20"/>
                <c:pt idx="0">
                  <c:v>11.618161332</c:v>
                </c:pt>
                <c:pt idx="1">
                  <c:v>9.8077965745999993</c:v>
                </c:pt>
                <c:pt idx="2">
                  <c:v>8.8045344094000004</c:v>
                </c:pt>
                <c:pt idx="3">
                  <c:v>8.3762823674</c:v>
                </c:pt>
                <c:pt idx="4">
                  <c:v>7.2724022104000001</c:v>
                </c:pt>
                <c:pt idx="5">
                  <c:v>7.1681762918</c:v>
                </c:pt>
                <c:pt idx="6">
                  <c:v>6.8333569219000001</c:v>
                </c:pt>
                <c:pt idx="7">
                  <c:v>6.5568240479000002</c:v>
                </c:pt>
                <c:pt idx="8">
                  <c:v>6.1020509415999999</c:v>
                </c:pt>
                <c:pt idx="9">
                  <c:v>5.8810494745000002</c:v>
                </c:pt>
                <c:pt idx="10">
                  <c:v>5.8694594842000001</c:v>
                </c:pt>
                <c:pt idx="11">
                  <c:v>5.8214092452999999</c:v>
                </c:pt>
                <c:pt idx="12">
                  <c:v>5.7515132458</c:v>
                </c:pt>
                <c:pt idx="13">
                  <c:v>5.4298888592000001</c:v>
                </c:pt>
                <c:pt idx="14">
                  <c:v>5.3374235832999997</c:v>
                </c:pt>
                <c:pt idx="15">
                  <c:v>5.2499287189999997</c:v>
                </c:pt>
                <c:pt idx="16">
                  <c:v>5.2474717244000004</c:v>
                </c:pt>
                <c:pt idx="17">
                  <c:v>5.1170028901000002</c:v>
                </c:pt>
                <c:pt idx="18">
                  <c:v>5.0494219214999996</c:v>
                </c:pt>
                <c:pt idx="19">
                  <c:v>5.0320400700999999</c:v>
                </c:pt>
              </c:numCache>
            </c:numRef>
          </c:val>
          <c:extLst xmlns:c16r2="http://schemas.microsoft.com/office/drawing/2015/06/chart">
            <c:ext xmlns:c16="http://schemas.microsoft.com/office/drawing/2014/chart" uri="{C3380CC4-5D6E-409C-BE32-E72D297353CC}">
              <c16:uniqueId val="{00000001-1A32-495B-B4FF-BFA5F2B49D6A}"/>
            </c:ext>
          </c:extLst>
        </c:ser>
        <c:dLbls>
          <c:showLegendKey val="0"/>
          <c:showVal val="0"/>
          <c:showCatName val="0"/>
          <c:showSerName val="0"/>
          <c:showPercent val="0"/>
          <c:showBubbleSize val="0"/>
        </c:dLbls>
        <c:gapWidth val="219"/>
        <c:overlap val="-27"/>
        <c:axId val="368731264"/>
        <c:axId val="368733184"/>
      </c:barChart>
      <c:catAx>
        <c:axId val="368731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j-lt"/>
                    <a:ea typeface="+mn-ea"/>
                    <a:cs typeface="+mn-cs"/>
                  </a:defRPr>
                </a:pPr>
                <a:r>
                  <a:rPr lang="en-US"/>
                  <a:t>DRG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mj-lt"/>
                <a:ea typeface="+mn-ea"/>
                <a:cs typeface="+mn-cs"/>
              </a:defRPr>
            </a:pPr>
            <a:endParaRPr lang="en-US"/>
          </a:p>
        </c:txPr>
        <c:crossAx val="368733184"/>
        <c:crosses val="autoZero"/>
        <c:auto val="1"/>
        <c:lblAlgn val="ctr"/>
        <c:lblOffset val="100"/>
        <c:noMultiLvlLbl val="0"/>
      </c:catAx>
      <c:valAx>
        <c:axId val="368733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j-lt"/>
                    <a:ea typeface="+mn-ea"/>
                    <a:cs typeface="+mn-cs"/>
                  </a:defRPr>
                </a:pPr>
                <a:r>
                  <a:rPr lang="en-US"/>
                  <a:t>Miscellaneous cost weight</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crossAx val="368731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mj-lt"/>
        </a:defRPr>
      </a:pPr>
      <a:endParaRPr lang="en-US"/>
    </a:p>
  </c:txPr>
  <c:externalData r:id="rId1">
    <c:autoUpdate val="0"/>
  </c:externalData>
</c:chartSpace>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A00"/>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2FAB5-85F4-48AC-B881-1779B80A1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F58F43F6.dotm</Template>
  <TotalTime>0</TotalTime>
  <Pages>55</Pages>
  <Words>17376</Words>
  <Characters>87407</Characters>
  <Application>Microsoft Office Word</Application>
  <DocSecurity>0</DocSecurity>
  <Lines>5462</Lines>
  <Paragraphs>4365</Paragraphs>
  <ScaleCrop>false</ScaleCrop>
  <Company/>
  <LinksUpToDate>false</LinksUpToDate>
  <CharactersWithSpaces>100418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Hospital Cost Data Collection – Private Hospital Cost Report – Round 20</dc:title>
  <dc:subject/>
  <dc:creator/>
  <cp:keywords/>
  <cp:lastModifiedBy/>
  <cp:revision>1</cp:revision>
  <dcterms:created xsi:type="dcterms:W3CDTF">2018-02-05T22:54:00Z</dcterms:created>
  <dcterms:modified xsi:type="dcterms:W3CDTF">2018-02-05T23:09:00Z</dcterms:modified>
</cp:coreProperties>
</file>