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D8E" w:rsidRDefault="00FA4BC0" w:rsidP="00FA4BC0">
      <w:pPr>
        <w:pStyle w:val="Footer"/>
        <w:rPr>
          <w:rStyle w:val="PageNumber"/>
          <w:rFonts w:ascii="Arial" w:hAnsi="Arial" w:cs="Arial"/>
          <w:sz w:val="56"/>
          <w:szCs w:val="18"/>
        </w:rPr>
      </w:pPr>
      <w:r w:rsidRPr="00FA4BC0">
        <w:rPr>
          <w:rStyle w:val="PageNumber"/>
          <w:rFonts w:ascii="Arial" w:hAnsi="Arial" w:cs="Arial"/>
          <w:sz w:val="56"/>
          <w:szCs w:val="18"/>
        </w:rPr>
        <w:t>Independent Hospital Pricing Authority</w:t>
      </w:r>
    </w:p>
    <w:p w:rsidR="00934D8E" w:rsidRDefault="00934D8E" w:rsidP="00934D8E">
      <w:pPr>
        <w:pStyle w:val="Footer"/>
        <w:spacing w:before="1920"/>
        <w:rPr>
          <w:rStyle w:val="PageNumber"/>
          <w:rFonts w:ascii="Arial" w:hAnsi="Arial" w:cs="Arial"/>
          <w:sz w:val="56"/>
          <w:szCs w:val="18"/>
        </w:rPr>
      </w:pPr>
      <w:bookmarkStart w:id="0" w:name="_GoBack"/>
      <w:bookmarkEnd w:id="0"/>
    </w:p>
    <w:p w:rsidR="00FA4BC0" w:rsidRDefault="00FA4BC0" w:rsidP="00FA4BC0">
      <w:pPr>
        <w:pStyle w:val="Footer"/>
        <w:rPr>
          <w:rStyle w:val="PageNumber"/>
          <w:rFonts w:ascii="Arial" w:hAnsi="Arial" w:cs="Arial"/>
          <w:sz w:val="56"/>
          <w:szCs w:val="18"/>
        </w:rPr>
      </w:pPr>
      <w:r w:rsidRPr="00FA4BC0">
        <w:rPr>
          <w:rStyle w:val="PageNumber"/>
          <w:rFonts w:ascii="Arial" w:hAnsi="Arial" w:cs="Arial"/>
          <w:sz w:val="56"/>
          <w:szCs w:val="18"/>
        </w:rPr>
        <w:t>Indigenous Patient Cost</w:t>
      </w:r>
      <w:r w:rsidR="00977F3F">
        <w:rPr>
          <w:rStyle w:val="PageNumber"/>
          <w:rFonts w:ascii="Arial" w:hAnsi="Arial" w:cs="Arial"/>
          <w:sz w:val="56"/>
          <w:szCs w:val="18"/>
        </w:rPr>
        <w:t xml:space="preserve"> Study</w:t>
      </w:r>
      <w:r w:rsidRPr="00FA4BC0">
        <w:rPr>
          <w:rStyle w:val="PageNumber"/>
          <w:rFonts w:ascii="Arial" w:hAnsi="Arial" w:cs="Arial"/>
          <w:sz w:val="56"/>
          <w:szCs w:val="18"/>
        </w:rPr>
        <w:t xml:space="preserve"> Report</w:t>
      </w:r>
    </w:p>
    <w:p w:rsidR="00E040F1" w:rsidRDefault="00E040F1" w:rsidP="00FA4BC0">
      <w:pPr>
        <w:pStyle w:val="Footer"/>
        <w:rPr>
          <w:rStyle w:val="PageNumber"/>
          <w:rFonts w:ascii="Arial" w:hAnsi="Arial" w:cs="Arial"/>
          <w:sz w:val="56"/>
          <w:szCs w:val="18"/>
        </w:rPr>
      </w:pPr>
    </w:p>
    <w:p w:rsidR="00E040F1" w:rsidRPr="00FA4BC0" w:rsidRDefault="00E040F1" w:rsidP="00FA4BC0">
      <w:pPr>
        <w:pStyle w:val="Footer"/>
        <w:rPr>
          <w:rStyle w:val="PageNumber"/>
          <w:rFonts w:ascii="Arial" w:hAnsi="Arial" w:cs="Arial"/>
          <w:sz w:val="56"/>
          <w:szCs w:val="18"/>
        </w:rPr>
      </w:pPr>
      <w:r>
        <w:rPr>
          <w:rStyle w:val="PageNumber"/>
          <w:rFonts w:ascii="Arial" w:hAnsi="Arial" w:cs="Arial"/>
          <w:sz w:val="56"/>
          <w:szCs w:val="18"/>
        </w:rPr>
        <w:t>July 2015</w:t>
      </w:r>
    </w:p>
    <w:p w:rsidR="00FA4BC0" w:rsidRPr="00FA4BC0" w:rsidRDefault="00FA4BC0" w:rsidP="00FA4BC0">
      <w:pPr>
        <w:pStyle w:val="Footer"/>
        <w:rPr>
          <w:rStyle w:val="PageNumber"/>
          <w:rFonts w:ascii="Arial" w:hAnsi="Arial" w:cs="Arial"/>
          <w:sz w:val="18"/>
          <w:szCs w:val="18"/>
        </w:rPr>
      </w:pPr>
    </w:p>
    <w:p w:rsidR="00FA4BC0" w:rsidRPr="00FA4BC0" w:rsidRDefault="00FA4BC0" w:rsidP="00FA4BC0">
      <w:pPr>
        <w:pStyle w:val="Footer"/>
        <w:rPr>
          <w:rStyle w:val="PageNumber"/>
          <w:rFonts w:ascii="Arial" w:hAnsi="Arial" w:cs="Arial"/>
          <w:sz w:val="18"/>
          <w:szCs w:val="18"/>
        </w:rPr>
      </w:pPr>
    </w:p>
    <w:p w:rsidR="00A67D1C" w:rsidRPr="005E6149" w:rsidRDefault="00F7511D" w:rsidP="00FA4BC0">
      <w:pPr>
        <w:pStyle w:val="Footer"/>
        <w:rPr>
          <w:rFonts w:ascii="Arial" w:hAnsi="Arial" w:cs="Arial"/>
        </w:rPr>
        <w:sectPr w:rsidR="00A67D1C" w:rsidRPr="005E6149" w:rsidSect="00B237F7">
          <w:headerReference w:type="default" r:id="rId9"/>
          <w:footerReference w:type="default" r:id="rId10"/>
          <w:footerReference w:type="first" r:id="rId11"/>
          <w:pgSz w:w="11900" w:h="16840"/>
          <w:pgMar w:top="1440" w:right="1800" w:bottom="1440" w:left="1800" w:header="708" w:footer="708" w:gutter="0"/>
          <w:pgNumType w:fmt="lowerRoman" w:start="1"/>
          <w:cols w:space="708"/>
          <w:docGrid w:linePitch="360"/>
        </w:sectPr>
      </w:pPr>
      <w:r w:rsidRPr="005E6149">
        <w:rPr>
          <w:rFonts w:ascii="Arial" w:hAnsi="Arial" w:cs="Arial"/>
          <w:noProof/>
          <w:lang w:val="en-AU" w:eastAsia="en-AU"/>
        </w:rPr>
        <mc:AlternateContent>
          <mc:Choice Requires="wps">
            <w:drawing>
              <wp:anchor distT="0" distB="0" distL="114300" distR="114300" simplePos="0" relativeHeight="251738112" behindDoc="0" locked="0" layoutInCell="1" allowOverlap="1" wp14:anchorId="71358301" wp14:editId="313052BF">
                <wp:simplePos x="0" y="0"/>
                <wp:positionH relativeFrom="column">
                  <wp:posOffset>2971800</wp:posOffset>
                </wp:positionH>
                <wp:positionV relativeFrom="paragraph">
                  <wp:posOffset>7200900</wp:posOffset>
                </wp:positionV>
                <wp:extent cx="2857500" cy="1143000"/>
                <wp:effectExtent l="0" t="0" r="0" b="0"/>
                <wp:wrapTight wrapText="bothSides">
                  <wp:wrapPolygon edited="0">
                    <wp:start x="0" y="0"/>
                    <wp:lineTo x="21600" y="0"/>
                    <wp:lineTo x="21600" y="21600"/>
                    <wp:lineTo x="0" y="21600"/>
                    <wp:lineTo x="0" y="0"/>
                  </wp:wrapPolygon>
                </wp:wrapTight>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C7" w:rsidRDefault="00B31DC7">
                            <w:r w:rsidRPr="00506290">
                              <w:rPr>
                                <w:noProof/>
                                <w:lang w:val="en-AU" w:eastAsia="en-AU"/>
                              </w:rPr>
                              <w:drawing>
                                <wp:inline distT="0" distB="0" distL="0" distR="0" wp14:anchorId="04BFD9D3" wp14:editId="4F141E83">
                                  <wp:extent cx="2674620" cy="1120140"/>
                                  <wp:effectExtent l="0" t="0" r="0" b="0"/>
                                  <wp:docPr id="90" name="Picture 90" tit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1201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34pt;margin-top:567pt;width:225pt;height:9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" filled="f" stroked="f">
                <v:textbox inset=",7.2pt,,7.2pt">
                  <w:txbxContent>
                    <w:p w:rsidR="00B31DC7" w:rsidRDefault="00B31DC7">
                      <w:r w:rsidRPr="00506290">
                        <w:rPr>
                          <w:noProof/>
                          <w:lang w:val="en-AU" w:eastAsia="en-AU"/>
                        </w:rPr>
                        <w:drawing>
                          <wp:inline distT="0" distB="0" distL="0" distR="0" wp14:anchorId="04BFD9D3" wp14:editId="4F141E83">
                            <wp:extent cx="2674620" cy="1120140"/>
                            <wp:effectExtent l="0" t="0" r="0" b="0"/>
                            <wp:docPr id="90" name="Picture 90" tit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620" cy="1120140"/>
                                    </a:xfrm>
                                    <a:prstGeom prst="rect">
                                      <a:avLst/>
                                    </a:prstGeom>
                                    <a:noFill/>
                                    <a:ln>
                                      <a:noFill/>
                                    </a:ln>
                                  </pic:spPr>
                                </pic:pic>
                              </a:graphicData>
                            </a:graphic>
                          </wp:inline>
                        </w:drawing>
                      </w:r>
                    </w:p>
                  </w:txbxContent>
                </v:textbox>
                <w10:wrap type="tight"/>
              </v:shape>
            </w:pict>
          </mc:Fallback>
        </mc:AlternateContent>
      </w:r>
      <w:r w:rsidRPr="005E6149">
        <w:rPr>
          <w:rFonts w:ascii="Arial" w:hAnsi="Arial" w:cs="Arial"/>
          <w:noProof/>
          <w:lang w:val="en-AU" w:eastAsia="en-AU"/>
        </w:rPr>
        <mc:AlternateContent>
          <mc:Choice Requires="wpg">
            <w:drawing>
              <wp:anchor distT="0" distB="0" distL="114300" distR="114300" simplePos="0" relativeHeight="251650048" behindDoc="0" locked="0" layoutInCell="1" allowOverlap="1" wp14:anchorId="60DB5C0B" wp14:editId="5A66EFA8">
                <wp:simplePos x="0" y="0"/>
                <wp:positionH relativeFrom="page">
                  <wp:posOffset>0</wp:posOffset>
                </wp:positionH>
                <wp:positionV relativeFrom="margin">
                  <wp:posOffset>6133465</wp:posOffset>
                </wp:positionV>
                <wp:extent cx="7553960" cy="3239135"/>
                <wp:effectExtent l="0" t="0" r="8890" b="0"/>
                <wp:wrapThrough wrapText="bothSides">
                  <wp:wrapPolygon edited="0">
                    <wp:start x="7027" y="0"/>
                    <wp:lineTo x="3759" y="1016"/>
                    <wp:lineTo x="2778" y="1397"/>
                    <wp:lineTo x="2778" y="2033"/>
                    <wp:lineTo x="0" y="3303"/>
                    <wp:lineTo x="0" y="18039"/>
                    <wp:lineTo x="1580" y="18293"/>
                    <wp:lineTo x="3214" y="20325"/>
                    <wp:lineTo x="3268" y="20579"/>
                    <wp:lineTo x="6319" y="21469"/>
                    <wp:lineTo x="6972" y="21469"/>
                    <wp:lineTo x="7354" y="21469"/>
                    <wp:lineTo x="7463" y="21469"/>
                    <wp:lineTo x="9151" y="20452"/>
                    <wp:lineTo x="9151" y="20325"/>
                    <wp:lineTo x="21571" y="19690"/>
                    <wp:lineTo x="21571" y="2033"/>
                    <wp:lineTo x="19338" y="1651"/>
                    <wp:lineTo x="7517" y="0"/>
                    <wp:lineTo x="7027" y="0"/>
                  </wp:wrapPolygon>
                </wp:wrapThrough>
                <wp:docPr id="4" name="Group 3" descr="Mental Health Commission and Department of Health&#10;Western Austral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239135"/>
                          <a:chOff x="-6" y="3399"/>
                          <a:chExt cx="12197" cy="4253"/>
                        </a:xfrm>
                      </wpg:grpSpPr>
                      <wpg:grpSp>
                        <wpg:cNvPr id="5" name="Group 4" descr="Mental Health Commission and Department of Health&#10;Western Australia"/>
                        <wpg:cNvGrpSpPr>
                          <a:grpSpLocks/>
                        </wpg:cNvGrpSpPr>
                        <wpg:grpSpPr bwMode="auto">
                          <a:xfrm>
                            <a:off x="-6" y="3717"/>
                            <a:ext cx="12189" cy="3550"/>
                            <a:chOff x="18" y="7468"/>
                            <a:chExt cx="12189" cy="3550"/>
                          </a:xfrm>
                        </wpg:grpSpPr>
                        <wps:wsp>
                          <wps:cNvPr id="6" name="Freeform 5" descr="Mental Health Commission and Department of Health&#10;Western Australia"/>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descr="Mental Health Commission and Department of Health&#10;Western Australia"/>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descr="Mental Health Commission and Department of Health&#10;Western Australia"/>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8" descr="Mental Health Commission and Department of Health&#10;Western Australia"/>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descr="Mental Health Commission and Department of Health&#10;Western Australia"/>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descr="Mental Health Commission and Department of Health&#10;Western Australia"/>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descr="Mental Health Commission and Department of Health&#10;Western Australia"/>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descr="Mental Health Commission and Department of Health&#10;Western Australia"/>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descr="Mental Health Commission and Department of Health&#10;Western Australia"/>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alt="Mental Health Commission and Department of Health&#10;Western Australia" style="position:absolute;margin-left:0;margin-top:482.95pt;width:594.8pt;height:255.05pt;z-index:251650048;mso-position-horizontal-relative:page;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">
                <v:group id="Group 4" o:spid="_x0000_s1027" alt="Mental Health Commission and Department of Health&#10;Western Australia"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8" alt="Mental Health Commission and Department of Health&#10;Western Australia"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RbsEA&#10;AADaAAAADwAAAGRycy9kb3ducmV2LnhtbESP3WoCMRSE74W+QzhC7zRroYusRhGhULEX/j3AYXO6&#10;uzQ5WZKjrm/fFApeDjPzDbNcD96pG8XUBTYwmxagiOtgO24MXM4fkzmoJMgWXWAy8KAE69XLaImV&#10;DXc+0u0kjcoQThUaaEX6SutUt+QxTUNPnL3vED1KlrHRNuI9w73Tb0VRao8d54UWe9q2VP+crt6A&#10;uD0f6/nufX8tZu7rEG1XbsWY1/GwWYASGuQZ/m9/WgMl/F3JN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eUW7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29" alt="Mental Health Commission and Department of Health&#10;Western Australia"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nEcUA&#10;AADaAAAADwAAAGRycy9kb3ducmV2LnhtbESPT0sDMRTE74LfITzBi7TZVnHL2rSUUlFP/QteH5vX&#10;zbabl20S27Wf3giCx2FmfsOMp51txJl8qB0rGPQzEMSl0zVXCnbb194IRIjIGhvHpOCbAkwntzdj&#10;LLS78JrOm1iJBOFQoAITY1tIGUpDFkPftcTJ2ztvMSbpK6k9XhLcNnKYZc/SYs1pwWBLc0PlcfNl&#10;Fayuaz97bE/+iuapWh4+Ph/yxZtS93fd7AVEpC7+h//a71pBDr9X0g2Q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6cRxQAAANoAAAAPAAAAAAAAAAAAAAAAAJgCAABkcnMv&#10;ZG93bnJldi54bWxQSwUGAAAAAAQABAD1AAAAigMAAAAA&#10;" path="m,569l,2930r3466,620l3466,,,569xe" fillcolor="#d3dfee" stroked="f">
                    <v:fill opacity="32896f"/>
                    <v:path arrowok="t" o:connecttype="custom" o:connectlocs="0,569;0,2930;3466,3550;3466,0;0,569" o:connectangles="0,0,0,0,0"/>
                  </v:shape>
                  <v:shape id="Freeform 7" o:spid="_x0000_s1030" alt="Mental Health Commission and Department of Health&#10;Western Australia"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lMAA&#10;AADaAAAADwAAAGRycy9kb3ducmV2LnhtbERPz2vCMBS+D/wfwhO8remCOOmMohaZjF20en80b21d&#10;81KaWLv/fjkMdvz4fq82o23FQL1vHGt4SVIQxKUzDVcaLsXheQnCB2SDrWPS8EMeNuvJ0woz4x58&#10;ouEcKhFD2GeooQ6hy6T0ZU0WfeI64sh9ud5iiLCvpOnxEcNtK1WaLqTFhmNDjR3tayq/z3er4bXI&#10;5/nWfKjdO4ebKq/qdv1UWs+m4/YNRKAx/Iv/3EejIW6NV+IN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NlMAAAADaAAAADwAAAAAAAAAAAAAAAACYAgAAZHJzL2Rvd25y&#10;ZXYueG1sUEsFBgAAAAAEAAQA9QAAAIUDAAAAAA==&#10;" path="m,l,3550,1591,2746r,-2009l,xe" fillcolor="#a7bfde" stroked="f">
                    <v:fill opacity="32896f"/>
                    <v:path arrowok="t" o:connecttype="custom" o:connectlocs="0,0;0,3550;1591,2746;1591,737;0,0" o:connectangles="0,0,0,0,0"/>
                  </v:shape>
                </v:group>
                <v:shape id="Freeform 8" o:spid="_x0000_s1031" alt="Mental Health Commission and Department of Health&#10;Western Australia"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a+8MA&#10;AADaAAAADwAAAGRycy9kb3ducmV2LnhtbESPwW7CMBBE70j8g7VIvYHTHioaMFFUtVUOPVDIB6zi&#10;JQ7E6zQ2JPD1GKlSj6OZeaNZZ6NtxYV63zhW8LxIQBBXTjdcKyj3n/MlCB+QNbaOScGVPGSb6WSN&#10;qXYD/9BlF2oRIexTVGBC6FIpfWXIol+4jjh6B9dbDFH2tdQ9DhFuW/mSJK/SYsNxwWBH74aq0+5s&#10;FVD5YXUpv79oa37bIpyP1/x2U+ppNuYrEIHG8B/+axdawR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wa+8MAAADaAAAADwAAAAAAAAAAAAAAAACYAgAAZHJzL2Rv&#10;d25yZXYueG1sUEsFBgAAAAAEAAQA9QAAAIgDAAAAAA==&#10;" path="m1,251l,2662r4120,251l4120,,1,251xe" fillcolor="#d8d8d8" stroked="f">
                  <v:fill opacity="32896f"/>
                  <v:path arrowok="t" o:connecttype="custom" o:connectlocs="1,251;0,2662;4120,2913;4120,0;1,251" o:connectangles="0,0,0,0,0"/>
                </v:shape>
                <v:shape id="Freeform 9" o:spid="_x0000_s1032" alt="Mental Health Commission and Department of Health&#10;Western Australia"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qjcQA&#10;AADbAAAADwAAAGRycy9kb3ducmV2LnhtbESPQWvCQBCF74X+h2WE3ppNPFiJrlKEgpTSou3B45gd&#10;k9DsbNxdTfrvOwfB2wzvzXvfLNej69SVQmw9GyiyHBRx5W3LtYGf77fnOaiYkC12nsnAH0VYrx4f&#10;llhaP/COrvtUKwnhWKKBJqW+1DpWDTmMme+JRTv54DDJGmptAw4S7jo9zfOZdtiyNDTY06ah6nd/&#10;cQZqfudw+cpf6FAct5+z9DGci8qYp8n4ugCVaEx38+16awV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26o3EAAAA2wAAAA8AAAAAAAAAAAAAAAAAmAIAAGRycy9k&#10;b3ducmV2LnhtbFBLBQYAAAAABAAEAPUAAACJAwAAAAA=&#10;" path="m,l,4236,3985,3349r,-2428l,xe" fillcolor="#bfbfbf" stroked="f">
                  <v:fill opacity="32896f"/>
                  <v:path arrowok="t" o:connecttype="custom" o:connectlocs="0,0;0,4236;3985,3349;3985,921;0,0" o:connectangles="0,0,0,0,0"/>
                </v:shape>
                <v:shape id="Freeform 10" o:spid="_x0000_s1033" alt="Mental Health Commission and Department of Health&#10;Western Australia"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Op8AA&#10;AADbAAAADwAAAGRycy9kb3ducmV2LnhtbERPS27CMBDdV+IO1iCxKw5dIAgYBEQVLawIHGAUD0kg&#10;Hke2Centa6RK3c3T+85y3ZtGdOR8bVnBZJyAIC6srrlUcDl/vs9A+ICssbFMCn7Iw3o1eFtiqu2T&#10;T9TloRQxhH2KCqoQ2lRKX1Rk0I9tSxy5q3UGQ4SulNrhM4abRn4kyVQarDk2VNjSrqLinj+Mgv32&#10;mGWH43eHB5zPuXa3bptnSo2G/WYBIlAf/sV/7i8d50/g9Us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9Op8AAAADbAAAADwAAAAAAAAAAAAAAAACYAgAAZHJzL2Rvd25y&#10;ZXYueG1sUEsFBgAAAAAEAAQA9QAAAIUDAAAAAA==&#10;" path="m4086,r-2,4253l,3198,,1072,4086,xe" fillcolor="#d8d8d8" stroked="f">
                  <v:fill opacity="32896f"/>
                  <v:path arrowok="t" o:connecttype="custom" o:connectlocs="4086,0;4084,4253;0,3198;0,1072;4086,0" o:connectangles="0,0,0,0,0"/>
                </v:shape>
                <v:shape id="Freeform 11" o:spid="_x0000_s1034" alt="Mental Health Commission and Department of Health&#10;Western Australia"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3ZMEA&#10;AADbAAAADwAAAGRycy9kb3ducmV2LnhtbERP22rCQBB9L/gPywi+1U1FRFI3IkUhFCr1UnwdspML&#10;yc4u2a1J/94tFPo2h3OdzXY0nbhT7xvLCl7mCQjiwuqGKwXXy+F5DcIHZI2dZVLwQx622eRpg6m2&#10;A5/ofg6ViCHsU1RQh+BSKX1Rk0E/t444cqXtDYYI+0rqHocYbjq5SJKVNNhwbKjR0VtNRXv+Ngpc&#10;e/xYulu5D9wmw+f7mH8dc6vUbDruXkEEGsO/+M+d6zh/Ab+/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92TBAAAA2wAAAA8AAAAAAAAAAAAAAAAAmAIAAGRycy9kb3du&#10;cmV2LnhtbFBLBQYAAAAABAAEAPUAAACGAwAAAAA=&#10;" path="m,921l2060,r16,3851l,2981,,921xe" fillcolor="#d3dfee" stroked="f">
                  <v:fill opacity="32896f"/>
                  <v:path arrowok="t" o:connecttype="custom" o:connectlocs="0,921;2060,0;2076,3851;0,2981;0,921" o:connectangles="0,0,0,0,0"/>
                </v:shape>
                <v:shape id="Freeform 12" o:spid="_x0000_s1035" alt="Mental Health Commission and Department of Health&#10;Western Australia"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ti78A&#10;AADbAAAADwAAAGRycy9kb3ducmV2LnhtbERPS4vCMBC+C/6HMII3TRUUrUZR2YW9ropex2b6spmU&#10;Jmr77zcLgrf5+J6z3ramEk9qXGFZwWQcgSBOrC44U3A+fY8WIJxH1lhZJgUdOdhu+r01xtq++Jee&#10;R5+JEMIuRgW593UspUtyMujGtiYOXGobgz7AJpO6wVcIN5WcRtFcGiw4NORY0yGn5H58GAWPfbn8&#10;Sm/nyN/L0s3TS1dcb51Sw0G7W4Hw1PqP+O3+0WH+DP5/C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C2LvwAAANsAAAAPAAAAAAAAAAAAAAAAAJgCAABkcnMvZG93bnJl&#10;di54bWxQSwUGAAAAAAQABAD1AAAAhAMAAAAA&#10;" path="m,l17,3835,6011,2629r,-1390l,xe" fillcolor="#a7bfde" stroked="f">
                  <v:fill opacity="32896f"/>
                  <v:path arrowok="t" o:connecttype="custom" o:connectlocs="0,0;17,3835;6011,2629;6011,1239;0,0" o:connectangles="0,0,0,0,0"/>
                </v:shape>
                <v:shape id="Freeform 13" o:spid="_x0000_s1036" alt="Mental Health Commission and Department of Health&#10;Western Australia"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qB8EA&#10;AADbAAAADwAAAGRycy9kb3ducmV2LnhtbERPS4vCMBC+C/sfwizsTVM9iHRNRZatCLKI1UWPQzN9&#10;YDMpTdT6740geJuP7znzRW8acaXO1ZYVjEcRCOLc6ppLBYd9OpyBcB5ZY2OZFNzJwSL5GMwx1vbG&#10;O7pmvhQhhF2MCirv21hKl1dk0I1sSxy4wnYGfYBdKXWHtxBuGjmJoqk0WHNoqLCln4ryc3YxCrK9&#10;O7rx36b+PeD/qtieVmm6nij19dkvv0F46v1b/HKvdZg/hecv4QC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2KgfBAAAA2wAAAA8AAAAAAAAAAAAAAAAAmAIAAGRycy9kb3du&#10;cmV2LnhtbFBLBQYAAAAABAAEAPUAAACGAwAAAAA=&#10;" path="m,1038l,2411,4102,3432,4102,,,1038xe" fillcolor="#d3dfee" stroked="f">
                  <v:fill opacity="32896f"/>
                  <v:path arrowok="t" o:connecttype="custom" o:connectlocs="0,1038;0,2411;4102,3432;4102,0;0,1038" o:connectangles="0,0,0,0,0"/>
                </v:shape>
                <w10:wrap type="through" anchorx="page" anchory="margin"/>
              </v:group>
            </w:pict>
          </mc:Fallback>
        </mc:AlternateContent>
      </w:r>
    </w:p>
    <w:p w:rsidR="00FA4BC0" w:rsidRPr="00756929" w:rsidRDefault="00FD775F">
      <w:pPr>
        <w:pStyle w:val="TOC1"/>
        <w:tabs>
          <w:tab w:val="right" w:leader="dot" w:pos="8290"/>
        </w:tabs>
        <w:rPr>
          <w:rFonts w:cstheme="minorBidi"/>
          <w:b w:val="0"/>
          <w:bCs w:val="0"/>
          <w:i w:val="0"/>
          <w:iCs w:val="0"/>
          <w:noProof/>
          <w:sz w:val="22"/>
          <w:szCs w:val="22"/>
          <w:lang w:eastAsia="en-AU"/>
        </w:rPr>
      </w:pPr>
      <w:r w:rsidRPr="00756929">
        <w:rPr>
          <w:rFonts w:ascii="Arial" w:hAnsi="Arial" w:cs="Arial"/>
          <w:b w:val="0"/>
          <w:i w:val="0"/>
        </w:rPr>
        <w:lastRenderedPageBreak/>
        <w:fldChar w:fldCharType="begin"/>
      </w:r>
      <w:r w:rsidRPr="00756929">
        <w:rPr>
          <w:rFonts w:ascii="Arial" w:hAnsi="Arial" w:cs="Arial"/>
          <w:b w:val="0"/>
          <w:i w:val="0"/>
        </w:rPr>
        <w:instrText xml:space="preserve"> TOC \o "1-1" \h \z \u </w:instrText>
      </w:r>
      <w:r w:rsidRPr="00756929">
        <w:rPr>
          <w:rFonts w:ascii="Arial" w:hAnsi="Arial" w:cs="Arial"/>
          <w:b w:val="0"/>
          <w:i w:val="0"/>
        </w:rPr>
        <w:fldChar w:fldCharType="separate"/>
      </w:r>
      <w:hyperlink w:anchor="_Toc426117637" w:history="1">
        <w:r w:rsidR="00FA4BC0" w:rsidRPr="00756929">
          <w:rPr>
            <w:rStyle w:val="Hyperlink"/>
            <w:rFonts w:ascii="Times New Roman" w:hAnsi="Times New Roman" w:cs="Arial"/>
            <w:b w:val="0"/>
            <w:i w:val="0"/>
            <w:noProof/>
          </w:rPr>
          <w:t>1</w:t>
        </w:r>
        <w:r w:rsidR="00FA4BC0" w:rsidRPr="00756929">
          <w:rPr>
            <w:rStyle w:val="Hyperlink"/>
            <w:rFonts w:ascii="Arial" w:hAnsi="Arial" w:cs="Arial"/>
            <w:b w:val="0"/>
            <w:i w:val="0"/>
            <w:noProof/>
          </w:rPr>
          <w:t xml:space="preserve"> Executive Summary</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_Toc426117637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3</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38" w:history="1">
        <w:r w:rsidR="00FA4BC0" w:rsidRPr="00756929">
          <w:rPr>
            <w:rStyle w:val="Hyperlink"/>
            <w:rFonts w:ascii="Times New Roman" w:hAnsi="Times New Roman" w:cs="Arial"/>
            <w:b w:val="0"/>
            <w:i w:val="0"/>
            <w:noProof/>
          </w:rPr>
          <w:t>2</w:t>
        </w:r>
        <w:r w:rsidR="00FA4BC0" w:rsidRPr="00756929">
          <w:rPr>
            <w:rStyle w:val="Hyperlink"/>
            <w:rFonts w:ascii="Arial" w:hAnsi="Arial" w:cs="Arial"/>
            <w:b w:val="0"/>
            <w:i w:val="0"/>
            <w:noProof/>
          </w:rPr>
          <w:t xml:space="preserve"> Qualitative Inputs and Considerations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_Toc426117638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5</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39" w:history="1">
        <w:r w:rsidR="00FA4BC0" w:rsidRPr="00756929">
          <w:rPr>
            <w:rStyle w:val="Hyperlink"/>
            <w:rFonts w:ascii="Times New Roman" w:hAnsi="Times New Roman" w:cs="Arial"/>
            <w:b w:val="0"/>
            <w:i w:val="0"/>
            <w:noProof/>
          </w:rPr>
          <w:t>3</w:t>
        </w:r>
        <w:r w:rsidR="00FA4BC0" w:rsidRPr="00756929">
          <w:rPr>
            <w:rStyle w:val="Hyperlink"/>
            <w:rFonts w:ascii="Arial" w:hAnsi="Arial" w:cs="Arial"/>
            <w:b w:val="0"/>
            <w:i w:val="0"/>
            <w:noProof/>
          </w:rPr>
          <w:t xml:space="preserve"> Dedicated Cost Centres - Service Provision to Indigenous Patients Only</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_Toc426117639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9</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0" w:history="1">
        <w:r w:rsidR="00FA4BC0" w:rsidRPr="00756929">
          <w:rPr>
            <w:rStyle w:val="Hyperlink"/>
            <w:rFonts w:ascii="Times New Roman" w:hAnsi="Times New Roman" w:cs="Arial"/>
            <w:b w:val="0"/>
            <w:i w:val="0"/>
            <w:noProof/>
          </w:rPr>
          <w:t>4</w:t>
        </w:r>
        <w:r w:rsidR="00FA4BC0" w:rsidRPr="00756929">
          <w:rPr>
            <w:rStyle w:val="Hyperlink"/>
            <w:rFonts w:ascii="Arial" w:hAnsi="Arial" w:cs="Arial"/>
            <w:b w:val="0"/>
            <w:i w:val="0"/>
            <w:noProof/>
          </w:rPr>
          <w:t xml:space="preserve"> Identifying a Cost Differential – Acute Admitted Services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_Toc426117640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11</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1" w:history="1">
        <w:r w:rsidR="00FA4BC0" w:rsidRPr="00756929">
          <w:rPr>
            <w:rStyle w:val="Hyperlink"/>
            <w:rFonts w:ascii="Times New Roman" w:hAnsi="Times New Roman" w:cs="Arial"/>
            <w:b w:val="0"/>
            <w:i w:val="0"/>
            <w:noProof/>
          </w:rPr>
          <w:t>5</w:t>
        </w:r>
        <w:r w:rsidR="00FA4BC0" w:rsidRPr="00756929">
          <w:rPr>
            <w:rStyle w:val="Hyperlink"/>
            <w:rFonts w:ascii="Arial" w:hAnsi="Arial" w:cs="Arial"/>
            <w:b w:val="0"/>
            <w:i w:val="0"/>
            <w:noProof/>
          </w:rPr>
          <w:t xml:space="preserve"> Cost Allocations –Acute Admitted Services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_Toc426117641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22</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2" w:history="1">
        <w:r w:rsidR="00FA4BC0" w:rsidRPr="00756929">
          <w:rPr>
            <w:rStyle w:val="Hyperlink"/>
            <w:rFonts w:ascii="Times New Roman" w:hAnsi="Times New Roman" w:cs="Arial"/>
            <w:b w:val="0"/>
            <w:i w:val="0"/>
            <w:noProof/>
          </w:rPr>
          <w:t>6</w:t>
        </w:r>
        <w:r w:rsidR="00FA4BC0" w:rsidRPr="00756929">
          <w:rPr>
            <w:rStyle w:val="Hyperlink"/>
            <w:rFonts w:ascii="Arial" w:hAnsi="Arial" w:cs="Arial"/>
            <w:b w:val="0"/>
            <w:i w:val="0"/>
            <w:noProof/>
          </w:rPr>
          <w:t xml:space="preserve"> Identifying a Cost Differential – </w:t>
        </w:r>
        <w:r w:rsidR="00190E37">
          <w:rPr>
            <w:rStyle w:val="Hyperlink"/>
            <w:rFonts w:ascii="Arial" w:hAnsi="Arial" w:cs="Arial"/>
            <w:b w:val="0"/>
            <w:i w:val="0"/>
            <w:noProof/>
          </w:rPr>
          <w:t>Subacute</w:t>
        </w:r>
        <w:r w:rsidR="00FA4BC0" w:rsidRPr="00756929">
          <w:rPr>
            <w:rStyle w:val="Hyperlink"/>
            <w:rFonts w:ascii="Arial" w:hAnsi="Arial" w:cs="Arial"/>
            <w:b w:val="0"/>
            <w:i w:val="0"/>
            <w:noProof/>
          </w:rPr>
          <w:t xml:space="preserve"> Admitted Services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_Toc426117642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26</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3" w:history="1">
        <w:r w:rsidR="00FA4BC0" w:rsidRPr="00756929">
          <w:rPr>
            <w:rStyle w:val="Hyperlink"/>
            <w:rFonts w:ascii="Times New Roman" w:hAnsi="Times New Roman" w:cs="Arial"/>
            <w:b w:val="0"/>
            <w:i w:val="0"/>
            <w:noProof/>
          </w:rPr>
          <w:t>7</w:t>
        </w:r>
        <w:r w:rsidR="00FA4BC0" w:rsidRPr="00756929">
          <w:rPr>
            <w:rStyle w:val="Hyperlink"/>
            <w:rFonts w:ascii="Arial" w:hAnsi="Arial" w:cs="Arial"/>
            <w:b w:val="0"/>
            <w:i w:val="0"/>
            <w:noProof/>
          </w:rPr>
          <w:t xml:space="preserve"> Identifying a Cost Differential – Emergency Department Services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_Toc426117643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31</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4" w:history="1">
        <w:r w:rsidR="00FA4BC0" w:rsidRPr="00756929">
          <w:rPr>
            <w:rStyle w:val="Hyperlink"/>
            <w:rFonts w:ascii="Times New Roman" w:hAnsi="Times New Roman" w:cs="Arial"/>
            <w:b w:val="0"/>
            <w:i w:val="0"/>
            <w:noProof/>
          </w:rPr>
          <w:t>8</w:t>
        </w:r>
        <w:r w:rsidR="00FA4BC0" w:rsidRPr="00756929">
          <w:rPr>
            <w:rStyle w:val="Hyperlink"/>
            <w:rFonts w:ascii="Arial" w:hAnsi="Arial" w:cs="Arial"/>
            <w:b w:val="0"/>
            <w:i w:val="0"/>
            <w:noProof/>
          </w:rPr>
          <w:t xml:space="preserve"> Identifying a Cost Differential – </w:t>
        </w:r>
        <w:r w:rsidR="00F618BE">
          <w:rPr>
            <w:rStyle w:val="Hyperlink"/>
            <w:rFonts w:ascii="Arial" w:hAnsi="Arial" w:cs="Arial"/>
            <w:b w:val="0"/>
            <w:i w:val="0"/>
            <w:noProof/>
          </w:rPr>
          <w:t>Non</w:t>
        </w:r>
        <w:r w:rsidR="00FA4BC0" w:rsidRPr="00756929">
          <w:rPr>
            <w:rStyle w:val="Hyperlink"/>
            <w:rFonts w:ascii="Arial" w:hAnsi="Arial" w:cs="Arial"/>
            <w:b w:val="0"/>
            <w:i w:val="0"/>
            <w:noProof/>
          </w:rPr>
          <w:t>-Admitted Services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_Toc426117644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34</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5" w:history="1">
        <w:r w:rsidR="00FA4BC0" w:rsidRPr="00756929">
          <w:rPr>
            <w:rStyle w:val="Hyperlink"/>
            <w:rFonts w:ascii="Times New Roman" w:hAnsi="Times New Roman" w:cs="Arial"/>
            <w:b w:val="0"/>
            <w:i w:val="0"/>
            <w:noProof/>
          </w:rPr>
          <w:t>9</w:t>
        </w:r>
        <w:r w:rsidR="00FA4BC0" w:rsidRPr="00756929">
          <w:rPr>
            <w:rStyle w:val="Hyperlink"/>
            <w:rFonts w:ascii="Arial" w:hAnsi="Arial" w:cs="Arial"/>
            <w:b w:val="0"/>
            <w:i w:val="0"/>
            <w:noProof/>
          </w:rPr>
          <w:t xml:space="preserve"> Contributors to Cost Differentials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_Toc426117645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35</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6" w:history="1">
        <w:r w:rsidR="00FA4BC0" w:rsidRPr="00756929">
          <w:rPr>
            <w:rStyle w:val="Hyperlink"/>
            <w:rFonts w:ascii="Times New Roman" w:hAnsi="Times New Roman" w:cs="Arial"/>
            <w:b w:val="0"/>
            <w:i w:val="0"/>
            <w:noProof/>
          </w:rPr>
          <w:t>10</w:t>
        </w:r>
        <w:r w:rsidR="00FA4BC0" w:rsidRPr="00756929">
          <w:rPr>
            <w:rStyle w:val="Hyperlink"/>
            <w:rFonts w:ascii="Arial" w:hAnsi="Arial" w:cs="Arial"/>
            <w:b w:val="0"/>
            <w:i w:val="0"/>
            <w:noProof/>
          </w:rPr>
          <w:t xml:space="preserve"> Conclusion</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_Toc426117646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40</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7" w:history="1">
        <w:r w:rsidR="00FA4BC0" w:rsidRPr="00756929">
          <w:rPr>
            <w:rStyle w:val="Hyperlink"/>
            <w:rFonts w:ascii="Arial" w:hAnsi="Arial"/>
            <w:b w:val="0"/>
            <w:i w:val="0"/>
            <w:noProof/>
          </w:rPr>
          <w:t xml:space="preserve">Appendix A: Distribution of Same-day Trimmed datasets by Major Diagnostic Category by </w:t>
        </w:r>
        <w:r w:rsidR="00FA4BC0" w:rsidRPr="00756929">
          <w:rPr>
            <w:rStyle w:val="Hyperlink"/>
            <w:rFonts w:ascii="Arial" w:hAnsi="Arial"/>
            <w:b w:val="0"/>
            <w:i w:val="0"/>
            <w:noProof/>
            <w:u w:val="none"/>
          </w:rPr>
          <w:t>Indigenous</w:t>
        </w:r>
        <w:r w:rsidR="00FA4BC0" w:rsidRPr="00756929">
          <w:rPr>
            <w:rStyle w:val="Hyperlink"/>
            <w:rFonts w:ascii="Arial" w:hAnsi="Arial"/>
            <w:b w:val="0"/>
            <w:i w:val="0"/>
            <w:noProof/>
          </w:rPr>
          <w:t xml:space="preserve"> Status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_Toc426117647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43</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8" w:history="1">
        <w:r w:rsidR="00FA4BC0" w:rsidRPr="00756929">
          <w:rPr>
            <w:rStyle w:val="Hyperlink"/>
            <w:rFonts w:ascii="Arial" w:hAnsi="Arial"/>
            <w:b w:val="0"/>
            <w:i w:val="0"/>
            <w:noProof/>
          </w:rPr>
          <w:t>Appendix B: T Statistics for Same-day Services by Major Diagnostic Category</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_Toc426117648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51</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49" w:history="1">
        <w:r w:rsidR="00FA4BC0" w:rsidRPr="00756929">
          <w:rPr>
            <w:rStyle w:val="Hyperlink"/>
            <w:rFonts w:ascii="Arial" w:hAnsi="Arial"/>
            <w:b w:val="0"/>
            <w:i w:val="0"/>
            <w:noProof/>
          </w:rPr>
          <w:t>Appendix C: T Statistics for Same-day Services by Diagnostic Related Group</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_Toc426117649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57</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50" w:history="1">
        <w:r w:rsidR="00FA4BC0" w:rsidRPr="00756929">
          <w:rPr>
            <w:rStyle w:val="Hyperlink"/>
            <w:rFonts w:ascii="Arial" w:hAnsi="Arial"/>
            <w:b w:val="0"/>
            <w:i w:val="0"/>
            <w:noProof/>
          </w:rPr>
          <w:t>Appendix D: Distribution of Overnight Trimmed datasets by Major Diagnostic Category by Indigenous Status</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_Toc426117650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76</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51" w:history="1">
        <w:r w:rsidR="00FA4BC0" w:rsidRPr="00756929">
          <w:rPr>
            <w:rStyle w:val="Hyperlink"/>
            <w:rFonts w:ascii="Arial" w:hAnsi="Arial"/>
            <w:b w:val="0"/>
            <w:i w:val="0"/>
            <w:noProof/>
          </w:rPr>
          <w:t>Appendix E: T Statistics for Overnight acute admitted services by Major Diagnostic Category</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_Toc426117651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80</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52" w:history="1">
        <w:r w:rsidR="00FA4BC0" w:rsidRPr="00756929">
          <w:rPr>
            <w:rStyle w:val="Hyperlink"/>
            <w:rFonts w:ascii="Arial" w:hAnsi="Arial"/>
            <w:b w:val="0"/>
            <w:i w:val="0"/>
            <w:noProof/>
          </w:rPr>
          <w:t>Appendix F: T Statistics for Overnight Acute Admitted Services by Diagnostic Related Group</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_Toc426117652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86</w:t>
        </w:r>
        <w:r w:rsidR="00FA4BC0" w:rsidRPr="00756929">
          <w:rPr>
            <w:b w:val="0"/>
            <w:i w:val="0"/>
            <w:noProof/>
            <w:webHidden/>
          </w:rPr>
          <w:fldChar w:fldCharType="end"/>
        </w:r>
      </w:hyperlink>
    </w:p>
    <w:p w:rsidR="00FA4BC0" w:rsidRPr="00756929" w:rsidRDefault="00934D8E">
      <w:pPr>
        <w:pStyle w:val="TOC1"/>
        <w:tabs>
          <w:tab w:val="right" w:leader="dot" w:pos="8290"/>
        </w:tabs>
        <w:rPr>
          <w:rFonts w:cstheme="minorBidi"/>
          <w:b w:val="0"/>
          <w:bCs w:val="0"/>
          <w:i w:val="0"/>
          <w:iCs w:val="0"/>
          <w:noProof/>
          <w:sz w:val="22"/>
          <w:szCs w:val="22"/>
          <w:lang w:eastAsia="en-AU"/>
        </w:rPr>
      </w:pPr>
      <w:hyperlink w:anchor="_Toc426117653" w:history="1">
        <w:r w:rsidR="00FA4BC0" w:rsidRPr="00756929">
          <w:rPr>
            <w:rStyle w:val="Hyperlink"/>
            <w:rFonts w:ascii="Arial" w:hAnsi="Arial"/>
            <w:b w:val="0"/>
            <w:i w:val="0"/>
            <w:noProof/>
          </w:rPr>
          <w:t xml:space="preserve">Appendix G: T test results for </w:t>
        </w:r>
        <w:r w:rsidR="00190E37">
          <w:rPr>
            <w:rStyle w:val="Hyperlink"/>
            <w:rFonts w:ascii="Arial" w:hAnsi="Arial"/>
            <w:b w:val="0"/>
            <w:i w:val="0"/>
            <w:noProof/>
          </w:rPr>
          <w:t>Subacute</w:t>
        </w:r>
        <w:r w:rsidR="00FA4BC0" w:rsidRPr="00756929">
          <w:rPr>
            <w:rStyle w:val="Hyperlink"/>
            <w:rFonts w:ascii="Arial" w:hAnsi="Arial"/>
            <w:b w:val="0"/>
            <w:i w:val="0"/>
            <w:noProof/>
          </w:rPr>
          <w:t xml:space="preserve"> admitted trimmed dataset Round 16 (2011/12)</w:t>
        </w:r>
        <w:r w:rsidR="00FA4BC0" w:rsidRPr="00756929">
          <w:rPr>
            <w:b w:val="0"/>
            <w:i w:val="0"/>
            <w:noProof/>
            <w:webHidden/>
          </w:rPr>
          <w:tab/>
        </w:r>
        <w:r w:rsidR="00FA4BC0" w:rsidRPr="00756929">
          <w:rPr>
            <w:b w:val="0"/>
            <w:i w:val="0"/>
            <w:noProof/>
            <w:webHidden/>
          </w:rPr>
          <w:fldChar w:fldCharType="begin"/>
        </w:r>
        <w:r w:rsidR="00FA4BC0" w:rsidRPr="00756929">
          <w:rPr>
            <w:b w:val="0"/>
            <w:i w:val="0"/>
            <w:noProof/>
            <w:webHidden/>
          </w:rPr>
          <w:instrText xml:space="preserve"> PAGEREF _Toc426117653 \h </w:instrText>
        </w:r>
        <w:r w:rsidR="00FA4BC0" w:rsidRPr="00756929">
          <w:rPr>
            <w:b w:val="0"/>
            <w:i w:val="0"/>
            <w:noProof/>
            <w:webHidden/>
          </w:rPr>
        </w:r>
        <w:r w:rsidR="00FA4BC0" w:rsidRPr="00756929">
          <w:rPr>
            <w:b w:val="0"/>
            <w:i w:val="0"/>
            <w:noProof/>
            <w:webHidden/>
          </w:rPr>
          <w:fldChar w:fldCharType="separate"/>
        </w:r>
        <w:r w:rsidR="00D27C50">
          <w:rPr>
            <w:b w:val="0"/>
            <w:i w:val="0"/>
            <w:noProof/>
            <w:webHidden/>
          </w:rPr>
          <w:t>114</w:t>
        </w:r>
        <w:r w:rsidR="00FA4BC0" w:rsidRPr="00756929">
          <w:rPr>
            <w:b w:val="0"/>
            <w:i w:val="0"/>
            <w:noProof/>
            <w:webHidden/>
          </w:rPr>
          <w:fldChar w:fldCharType="end"/>
        </w:r>
      </w:hyperlink>
    </w:p>
    <w:p w:rsidR="002D42AC" w:rsidRPr="005E6149" w:rsidRDefault="00FD775F" w:rsidP="000D6352">
      <w:pPr>
        <w:rPr>
          <w:rFonts w:ascii="Arial" w:hAnsi="Arial" w:cs="Arial"/>
        </w:rPr>
        <w:sectPr w:rsidR="002D42AC" w:rsidRPr="005E6149" w:rsidSect="00DB3BB5">
          <w:pgSz w:w="11900" w:h="16840"/>
          <w:pgMar w:top="1440" w:right="1800" w:bottom="1440" w:left="1800" w:header="708" w:footer="708" w:gutter="0"/>
          <w:pgNumType w:fmt="lowerRoman"/>
          <w:cols w:space="708"/>
          <w:docGrid w:linePitch="360"/>
        </w:sectPr>
      </w:pPr>
      <w:r w:rsidRPr="00756929">
        <w:rPr>
          <w:rFonts w:ascii="Arial" w:hAnsi="Arial" w:cs="Arial"/>
        </w:rPr>
        <w:fldChar w:fldCharType="end"/>
      </w:r>
    </w:p>
    <w:p w:rsidR="004D559A" w:rsidRPr="00287791" w:rsidRDefault="00F832B2" w:rsidP="00D8442E">
      <w:pPr>
        <w:pStyle w:val="Heading1"/>
        <w:ind w:left="0"/>
      </w:pPr>
      <w:bookmarkStart w:id="1" w:name="_Toc257026906"/>
      <w:bookmarkStart w:id="2" w:name="_Toc278480595"/>
      <w:bookmarkStart w:id="3" w:name="_Toc426117637"/>
      <w:bookmarkStart w:id="4" w:name="_Toc209068962"/>
      <w:bookmarkEnd w:id="1"/>
      <w:r w:rsidRPr="00287791">
        <w:lastRenderedPageBreak/>
        <w:t xml:space="preserve"> </w:t>
      </w:r>
      <w:r w:rsidR="00B5470E" w:rsidRPr="00287791">
        <w:t>Executive Summary</w:t>
      </w:r>
      <w:bookmarkEnd w:id="2"/>
      <w:bookmarkEnd w:id="3"/>
    </w:p>
    <w:p w:rsidR="00977F3F" w:rsidRDefault="00977F3F" w:rsidP="00977F3F">
      <w:pPr>
        <w:widowControl w:val="0"/>
        <w:autoSpaceDE w:val="0"/>
        <w:autoSpaceDN w:val="0"/>
        <w:adjustRightInd w:val="0"/>
        <w:spacing w:before="120" w:after="120"/>
        <w:rPr>
          <w:rFonts w:ascii="Arial" w:hAnsi="Arial" w:cs="Arial"/>
          <w:sz w:val="22"/>
          <w:szCs w:val="22"/>
        </w:rPr>
      </w:pPr>
      <w:r>
        <w:rPr>
          <w:rFonts w:ascii="Arial" w:hAnsi="Arial" w:cs="Arial"/>
          <w:sz w:val="22"/>
          <w:szCs w:val="22"/>
        </w:rPr>
        <w:t>T</w:t>
      </w:r>
      <w:r w:rsidR="00447D62">
        <w:rPr>
          <w:rFonts w:ascii="Arial" w:hAnsi="Arial" w:cs="Arial"/>
          <w:sz w:val="22"/>
          <w:szCs w:val="22"/>
        </w:rPr>
        <w:t xml:space="preserve">he Independent Hospital Pricing Authority (IHPA) </w:t>
      </w:r>
      <w:r>
        <w:rPr>
          <w:rFonts w:ascii="Arial" w:hAnsi="Arial" w:cs="Arial"/>
          <w:sz w:val="22"/>
          <w:szCs w:val="22"/>
        </w:rPr>
        <w:t xml:space="preserve">commissioned </w:t>
      </w:r>
      <w:r w:rsidR="00447D62" w:rsidRPr="00447D62">
        <w:rPr>
          <w:rFonts w:ascii="Arial" w:hAnsi="Arial" w:cs="Arial"/>
          <w:sz w:val="22"/>
          <w:szCs w:val="22"/>
        </w:rPr>
        <w:t>a review of the costs</w:t>
      </w:r>
      <w:r>
        <w:rPr>
          <w:rFonts w:ascii="Arial" w:hAnsi="Arial" w:cs="Arial"/>
          <w:sz w:val="22"/>
          <w:szCs w:val="22"/>
        </w:rPr>
        <w:t xml:space="preserve"> of providing care to Indigenous patients accessing public hospital services</w:t>
      </w:r>
      <w:r w:rsidR="00447D62">
        <w:rPr>
          <w:rFonts w:ascii="Arial" w:hAnsi="Arial" w:cs="Arial"/>
          <w:sz w:val="22"/>
          <w:szCs w:val="22"/>
        </w:rPr>
        <w:t xml:space="preserve">. </w:t>
      </w:r>
      <w:r>
        <w:rPr>
          <w:rFonts w:ascii="Arial" w:hAnsi="Arial" w:cs="Arial"/>
          <w:sz w:val="22"/>
          <w:szCs w:val="22"/>
        </w:rPr>
        <w:t>The analysis was commissioned in response to stakeholder concerns that the national activity</w:t>
      </w:r>
      <w:r w:rsidR="0052754C">
        <w:rPr>
          <w:rFonts w:ascii="Arial" w:hAnsi="Arial" w:cs="Arial"/>
          <w:sz w:val="22"/>
          <w:szCs w:val="22"/>
        </w:rPr>
        <w:t xml:space="preserve"> </w:t>
      </w:r>
      <w:r>
        <w:rPr>
          <w:rFonts w:ascii="Arial" w:hAnsi="Arial" w:cs="Arial"/>
          <w:sz w:val="22"/>
          <w:szCs w:val="22"/>
        </w:rPr>
        <w:t xml:space="preserve">based funding system does not adequately </w:t>
      </w:r>
      <w:r w:rsidR="009066D5">
        <w:rPr>
          <w:rFonts w:ascii="Arial" w:hAnsi="Arial" w:cs="Arial"/>
          <w:sz w:val="22"/>
          <w:szCs w:val="22"/>
        </w:rPr>
        <w:t xml:space="preserve">reflect </w:t>
      </w:r>
      <w:r>
        <w:rPr>
          <w:rFonts w:ascii="Arial" w:hAnsi="Arial" w:cs="Arial"/>
          <w:sz w:val="22"/>
          <w:szCs w:val="22"/>
        </w:rPr>
        <w:t>Indigenous patient costs.</w:t>
      </w:r>
    </w:p>
    <w:p w:rsidR="00DD090E" w:rsidRDefault="00977F3F" w:rsidP="00977F3F">
      <w:pPr>
        <w:widowControl w:val="0"/>
        <w:autoSpaceDE w:val="0"/>
        <w:autoSpaceDN w:val="0"/>
        <w:adjustRightInd w:val="0"/>
        <w:spacing w:before="120" w:after="120"/>
        <w:rPr>
          <w:rFonts w:ascii="Arial" w:hAnsi="Arial" w:cs="Arial"/>
          <w:sz w:val="22"/>
          <w:szCs w:val="22"/>
        </w:rPr>
      </w:pPr>
      <w:r>
        <w:rPr>
          <w:rFonts w:ascii="Arial" w:hAnsi="Arial" w:cs="Arial"/>
          <w:sz w:val="22"/>
          <w:szCs w:val="22"/>
        </w:rPr>
        <w:t>The purpose of the report is to describe the potential cost driv</w:t>
      </w:r>
      <w:r w:rsidR="009066D5">
        <w:rPr>
          <w:rFonts w:ascii="Arial" w:hAnsi="Arial" w:cs="Arial"/>
          <w:sz w:val="22"/>
          <w:szCs w:val="22"/>
        </w:rPr>
        <w:t>er</w:t>
      </w:r>
      <w:r>
        <w:rPr>
          <w:rFonts w:ascii="Arial" w:hAnsi="Arial" w:cs="Arial"/>
          <w:sz w:val="22"/>
          <w:szCs w:val="22"/>
        </w:rPr>
        <w:t>s, such as demographic or hospital characteristics</w:t>
      </w:r>
      <w:r w:rsidR="009066D5">
        <w:rPr>
          <w:rFonts w:ascii="Arial" w:hAnsi="Arial" w:cs="Arial"/>
          <w:sz w:val="22"/>
          <w:szCs w:val="22"/>
        </w:rPr>
        <w:t>,</w:t>
      </w:r>
      <w:r>
        <w:rPr>
          <w:rFonts w:ascii="Arial" w:hAnsi="Arial" w:cs="Arial"/>
          <w:sz w:val="22"/>
          <w:szCs w:val="22"/>
        </w:rPr>
        <w:t xml:space="preserve"> that </w:t>
      </w:r>
      <w:r w:rsidR="00EB6DD3">
        <w:rPr>
          <w:rFonts w:ascii="Arial" w:hAnsi="Arial" w:cs="Arial"/>
          <w:sz w:val="22"/>
          <w:szCs w:val="22"/>
        </w:rPr>
        <w:t xml:space="preserve">may </w:t>
      </w:r>
      <w:r w:rsidR="009066D5">
        <w:rPr>
          <w:rFonts w:ascii="Arial" w:hAnsi="Arial" w:cs="Arial"/>
          <w:sz w:val="22"/>
          <w:szCs w:val="22"/>
        </w:rPr>
        <w:t xml:space="preserve">account for </w:t>
      </w:r>
      <w:r w:rsidR="00EB6DD3">
        <w:rPr>
          <w:rFonts w:ascii="Arial" w:hAnsi="Arial" w:cs="Arial"/>
          <w:sz w:val="22"/>
          <w:szCs w:val="22"/>
        </w:rPr>
        <w:t>a</w:t>
      </w:r>
      <w:r w:rsidR="009066D5">
        <w:rPr>
          <w:rFonts w:ascii="Arial" w:hAnsi="Arial" w:cs="Arial"/>
          <w:sz w:val="22"/>
          <w:szCs w:val="22"/>
        </w:rPr>
        <w:t xml:space="preserve"> cost </w:t>
      </w:r>
      <w:r w:rsidR="00331399">
        <w:rPr>
          <w:rFonts w:ascii="Arial" w:hAnsi="Arial" w:cs="Arial"/>
          <w:sz w:val="22"/>
          <w:szCs w:val="22"/>
        </w:rPr>
        <w:t>differential in</w:t>
      </w:r>
      <w:r w:rsidR="009066D5">
        <w:rPr>
          <w:rFonts w:ascii="Arial" w:hAnsi="Arial" w:cs="Arial"/>
          <w:sz w:val="22"/>
          <w:szCs w:val="22"/>
        </w:rPr>
        <w:t xml:space="preserve"> </w:t>
      </w:r>
      <w:r>
        <w:rPr>
          <w:rFonts w:ascii="Arial" w:hAnsi="Arial" w:cs="Arial"/>
          <w:sz w:val="22"/>
          <w:szCs w:val="22"/>
        </w:rPr>
        <w:t xml:space="preserve">providing care to Indigenous patients </w:t>
      </w:r>
      <w:r w:rsidR="009066D5">
        <w:rPr>
          <w:rFonts w:ascii="Arial" w:hAnsi="Arial" w:cs="Arial"/>
          <w:sz w:val="22"/>
          <w:szCs w:val="22"/>
        </w:rPr>
        <w:t>compared to</w:t>
      </w:r>
      <w:r>
        <w:rPr>
          <w:rFonts w:ascii="Arial" w:hAnsi="Arial" w:cs="Arial"/>
          <w:sz w:val="22"/>
          <w:szCs w:val="22"/>
        </w:rPr>
        <w:t xml:space="preserve"> non-</w:t>
      </w:r>
      <w:r w:rsidR="0052754C">
        <w:rPr>
          <w:rFonts w:ascii="Arial" w:hAnsi="Arial" w:cs="Arial"/>
          <w:sz w:val="22"/>
          <w:szCs w:val="22"/>
        </w:rPr>
        <w:t>I</w:t>
      </w:r>
      <w:r>
        <w:rPr>
          <w:rFonts w:ascii="Arial" w:hAnsi="Arial" w:cs="Arial"/>
          <w:sz w:val="22"/>
          <w:szCs w:val="22"/>
        </w:rPr>
        <w:t xml:space="preserve">ndigenous patients. </w:t>
      </w:r>
      <w:r w:rsidR="009066D5">
        <w:rPr>
          <w:rFonts w:ascii="Arial" w:hAnsi="Arial" w:cs="Arial"/>
          <w:sz w:val="22"/>
          <w:szCs w:val="22"/>
        </w:rPr>
        <w:t>U</w:t>
      </w:r>
      <w:r>
        <w:rPr>
          <w:rFonts w:ascii="Arial" w:hAnsi="Arial" w:cs="Arial"/>
          <w:sz w:val="22"/>
          <w:szCs w:val="22"/>
        </w:rPr>
        <w:t xml:space="preserve">nderstanding these cost drivers </w:t>
      </w:r>
      <w:r w:rsidR="00E30553">
        <w:rPr>
          <w:rFonts w:ascii="Arial" w:hAnsi="Arial" w:cs="Arial"/>
          <w:sz w:val="22"/>
          <w:szCs w:val="22"/>
        </w:rPr>
        <w:t xml:space="preserve">may </w:t>
      </w:r>
      <w:r>
        <w:rPr>
          <w:rFonts w:ascii="Arial" w:hAnsi="Arial" w:cs="Arial"/>
          <w:sz w:val="22"/>
          <w:szCs w:val="22"/>
        </w:rPr>
        <w:t xml:space="preserve">inform how IHPA accounts for these costs </w:t>
      </w:r>
      <w:r w:rsidR="009066D5">
        <w:rPr>
          <w:rFonts w:ascii="Arial" w:hAnsi="Arial" w:cs="Arial"/>
          <w:sz w:val="22"/>
          <w:szCs w:val="22"/>
        </w:rPr>
        <w:t>in developing</w:t>
      </w:r>
      <w:r>
        <w:rPr>
          <w:rFonts w:ascii="Arial" w:hAnsi="Arial" w:cs="Arial"/>
          <w:sz w:val="22"/>
          <w:szCs w:val="22"/>
        </w:rPr>
        <w:t xml:space="preserve"> the National Efficient Price (NEP) and </w:t>
      </w:r>
      <w:r w:rsidR="0052754C">
        <w:rPr>
          <w:rFonts w:ascii="Arial" w:hAnsi="Arial" w:cs="Arial"/>
          <w:sz w:val="22"/>
          <w:szCs w:val="22"/>
        </w:rPr>
        <w:t>N</w:t>
      </w:r>
      <w:r>
        <w:rPr>
          <w:rFonts w:ascii="Arial" w:hAnsi="Arial" w:cs="Arial"/>
          <w:sz w:val="22"/>
          <w:szCs w:val="22"/>
        </w:rPr>
        <w:t xml:space="preserve">ational Efficient Cost (NEC) determinations. </w:t>
      </w:r>
    </w:p>
    <w:p w:rsidR="00927DBA" w:rsidRDefault="00836A69" w:rsidP="00BB47AF">
      <w:pPr>
        <w:widowControl w:val="0"/>
        <w:autoSpaceDE w:val="0"/>
        <w:autoSpaceDN w:val="0"/>
        <w:adjustRightInd w:val="0"/>
        <w:spacing w:before="120" w:after="120"/>
        <w:rPr>
          <w:rFonts w:ascii="Arial" w:hAnsi="Arial" w:cs="Arial"/>
          <w:sz w:val="22"/>
          <w:szCs w:val="22"/>
        </w:rPr>
      </w:pPr>
      <w:r>
        <w:rPr>
          <w:rFonts w:ascii="Arial" w:hAnsi="Arial" w:cs="Arial"/>
          <w:sz w:val="22"/>
          <w:szCs w:val="22"/>
        </w:rPr>
        <w:t>Th</w:t>
      </w:r>
      <w:r w:rsidR="00D6289E">
        <w:rPr>
          <w:rFonts w:ascii="Arial" w:hAnsi="Arial" w:cs="Arial"/>
          <w:sz w:val="22"/>
          <w:szCs w:val="22"/>
        </w:rPr>
        <w:t xml:space="preserve">is review </w:t>
      </w:r>
      <w:r w:rsidR="00EB6DD3">
        <w:rPr>
          <w:rFonts w:ascii="Arial" w:hAnsi="Arial" w:cs="Arial"/>
          <w:sz w:val="22"/>
          <w:szCs w:val="22"/>
        </w:rPr>
        <w:t xml:space="preserve">examined </w:t>
      </w:r>
      <w:r w:rsidR="00927DBA">
        <w:rPr>
          <w:rFonts w:ascii="Arial" w:hAnsi="Arial" w:cs="Arial"/>
          <w:sz w:val="22"/>
          <w:szCs w:val="22"/>
        </w:rPr>
        <w:t xml:space="preserve">the extent to which these costs </w:t>
      </w:r>
      <w:r w:rsidR="00927DBA" w:rsidRPr="00927DBA">
        <w:rPr>
          <w:rFonts w:ascii="Arial" w:hAnsi="Arial" w:cs="Arial"/>
          <w:sz w:val="22"/>
          <w:szCs w:val="22"/>
        </w:rPr>
        <w:t>are identified and correctly allocated in hospital costing system</w:t>
      </w:r>
      <w:r w:rsidR="00927DBA">
        <w:rPr>
          <w:rFonts w:ascii="Arial" w:hAnsi="Arial" w:cs="Arial"/>
          <w:sz w:val="22"/>
          <w:szCs w:val="22"/>
        </w:rPr>
        <w:t>s. The study was shaped by a number of interviews with</w:t>
      </w:r>
      <w:r>
        <w:rPr>
          <w:rFonts w:ascii="Arial" w:hAnsi="Arial" w:cs="Arial"/>
          <w:sz w:val="22"/>
          <w:szCs w:val="22"/>
        </w:rPr>
        <w:t xml:space="preserve"> clinicians and hospital administrators to identify potential cost drivers</w:t>
      </w:r>
      <w:r w:rsidR="009C4998">
        <w:rPr>
          <w:rFonts w:ascii="Arial" w:hAnsi="Arial" w:cs="Arial"/>
          <w:sz w:val="22"/>
          <w:szCs w:val="22"/>
        </w:rPr>
        <w:t>,</w:t>
      </w:r>
      <w:r w:rsidR="00927DBA">
        <w:rPr>
          <w:rFonts w:ascii="Arial" w:hAnsi="Arial" w:cs="Arial"/>
          <w:sz w:val="22"/>
          <w:szCs w:val="22"/>
        </w:rPr>
        <w:t xml:space="preserve"> and </w:t>
      </w:r>
      <w:r w:rsidR="00927DBA" w:rsidRPr="00927DBA">
        <w:rPr>
          <w:rFonts w:ascii="Arial" w:hAnsi="Arial" w:cs="Arial"/>
          <w:sz w:val="22"/>
          <w:szCs w:val="22"/>
        </w:rPr>
        <w:t xml:space="preserve">work </w:t>
      </w:r>
      <w:r w:rsidR="00927DBA">
        <w:rPr>
          <w:rFonts w:ascii="Arial" w:hAnsi="Arial" w:cs="Arial"/>
          <w:sz w:val="22"/>
          <w:szCs w:val="22"/>
        </w:rPr>
        <w:t xml:space="preserve">was undertaken with </w:t>
      </w:r>
      <w:r w:rsidR="00927DBA" w:rsidRPr="00927DBA">
        <w:rPr>
          <w:rFonts w:ascii="Arial" w:hAnsi="Arial" w:cs="Arial"/>
          <w:sz w:val="22"/>
          <w:szCs w:val="22"/>
        </w:rPr>
        <w:t xml:space="preserve">hospitals to identify improved systems </w:t>
      </w:r>
      <w:r w:rsidR="009C4998">
        <w:rPr>
          <w:rFonts w:ascii="Arial" w:hAnsi="Arial" w:cs="Arial"/>
          <w:sz w:val="22"/>
          <w:szCs w:val="22"/>
        </w:rPr>
        <w:t>for allocati</w:t>
      </w:r>
      <w:r w:rsidR="00977F3F">
        <w:rPr>
          <w:rFonts w:ascii="Arial" w:hAnsi="Arial" w:cs="Arial"/>
          <w:sz w:val="22"/>
          <w:szCs w:val="22"/>
        </w:rPr>
        <w:t>ng</w:t>
      </w:r>
      <w:r w:rsidR="009C4998">
        <w:rPr>
          <w:rFonts w:ascii="Arial" w:hAnsi="Arial" w:cs="Arial"/>
          <w:sz w:val="22"/>
          <w:szCs w:val="22"/>
        </w:rPr>
        <w:t xml:space="preserve"> </w:t>
      </w:r>
      <w:r w:rsidR="00927DBA" w:rsidRPr="00927DBA">
        <w:rPr>
          <w:rFonts w:ascii="Arial" w:hAnsi="Arial" w:cs="Arial"/>
          <w:sz w:val="22"/>
          <w:szCs w:val="22"/>
        </w:rPr>
        <w:t xml:space="preserve">Indigenous </w:t>
      </w:r>
      <w:r w:rsidR="00977F3F">
        <w:rPr>
          <w:rFonts w:ascii="Arial" w:hAnsi="Arial" w:cs="Arial"/>
          <w:sz w:val="22"/>
          <w:szCs w:val="22"/>
        </w:rPr>
        <w:t>costs</w:t>
      </w:r>
      <w:r w:rsidR="00927DBA" w:rsidRPr="00927DBA">
        <w:rPr>
          <w:rFonts w:ascii="Arial" w:hAnsi="Arial" w:cs="Arial"/>
          <w:sz w:val="22"/>
          <w:szCs w:val="22"/>
        </w:rPr>
        <w:t>.</w:t>
      </w:r>
      <w:r>
        <w:rPr>
          <w:rFonts w:ascii="Arial" w:hAnsi="Arial" w:cs="Arial"/>
          <w:sz w:val="22"/>
          <w:szCs w:val="22"/>
        </w:rPr>
        <w:t xml:space="preserve"> </w:t>
      </w:r>
    </w:p>
    <w:p w:rsidR="00917287" w:rsidRDefault="00393C57" w:rsidP="00297F83">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Data analysis was </w:t>
      </w:r>
      <w:r w:rsidR="00977F3F">
        <w:rPr>
          <w:rFonts w:ascii="Arial" w:hAnsi="Arial" w:cs="Arial"/>
          <w:sz w:val="22"/>
          <w:szCs w:val="22"/>
        </w:rPr>
        <w:t>based on</w:t>
      </w:r>
      <w:r w:rsidR="0046436A">
        <w:rPr>
          <w:rFonts w:ascii="Arial" w:hAnsi="Arial" w:cs="Arial"/>
          <w:sz w:val="22"/>
          <w:szCs w:val="22"/>
        </w:rPr>
        <w:t xml:space="preserve"> the</w:t>
      </w:r>
      <w:r>
        <w:rPr>
          <w:rFonts w:ascii="Arial" w:hAnsi="Arial" w:cs="Arial"/>
          <w:sz w:val="22"/>
          <w:szCs w:val="22"/>
        </w:rPr>
        <w:t xml:space="preserve"> National Hospital Cost Data Collection </w:t>
      </w:r>
      <w:r w:rsidR="00F41BF7">
        <w:rPr>
          <w:rFonts w:ascii="Arial" w:hAnsi="Arial" w:cs="Arial"/>
          <w:sz w:val="22"/>
          <w:szCs w:val="22"/>
        </w:rPr>
        <w:t>(NHCDC)</w:t>
      </w:r>
      <w:r w:rsidR="0046436A">
        <w:rPr>
          <w:rFonts w:ascii="Arial" w:hAnsi="Arial" w:cs="Arial"/>
          <w:sz w:val="22"/>
          <w:szCs w:val="22"/>
        </w:rPr>
        <w:t xml:space="preserve">, </w:t>
      </w:r>
      <w:r w:rsidR="0046436A" w:rsidRPr="00F41BF7">
        <w:rPr>
          <w:rFonts w:ascii="Arial" w:hAnsi="Arial" w:cs="Arial"/>
          <w:sz w:val="22"/>
          <w:szCs w:val="22"/>
        </w:rPr>
        <w:t>the primary data collection that IHPA relies on to develop the NEP</w:t>
      </w:r>
      <w:r w:rsidR="0046436A">
        <w:rPr>
          <w:rFonts w:ascii="Arial" w:hAnsi="Arial" w:cs="Arial"/>
          <w:sz w:val="22"/>
          <w:szCs w:val="22"/>
        </w:rPr>
        <w:t xml:space="preserve">. Analysis was completed </w:t>
      </w:r>
      <w:r w:rsidR="00EB6DD3">
        <w:rPr>
          <w:rFonts w:ascii="Arial" w:hAnsi="Arial" w:cs="Arial"/>
          <w:sz w:val="22"/>
          <w:szCs w:val="22"/>
        </w:rPr>
        <w:t xml:space="preserve">for </w:t>
      </w:r>
      <w:r w:rsidR="0046436A">
        <w:rPr>
          <w:rFonts w:ascii="Arial" w:hAnsi="Arial" w:cs="Arial"/>
          <w:sz w:val="22"/>
          <w:szCs w:val="22"/>
        </w:rPr>
        <w:t>two years of the NHCDC (</w:t>
      </w:r>
      <w:r>
        <w:rPr>
          <w:rFonts w:ascii="Arial" w:hAnsi="Arial" w:cs="Arial"/>
          <w:sz w:val="22"/>
          <w:szCs w:val="22"/>
        </w:rPr>
        <w:t>2011-12 and 2012-13</w:t>
      </w:r>
      <w:r w:rsidR="00AA4194">
        <w:rPr>
          <w:rFonts w:ascii="Arial" w:hAnsi="Arial" w:cs="Arial"/>
          <w:sz w:val="22"/>
          <w:szCs w:val="22"/>
        </w:rPr>
        <w:t>)</w:t>
      </w:r>
      <w:r w:rsidR="0046436A">
        <w:rPr>
          <w:rFonts w:ascii="Arial" w:hAnsi="Arial" w:cs="Arial"/>
          <w:sz w:val="22"/>
          <w:szCs w:val="22"/>
        </w:rPr>
        <w:t xml:space="preserve">. </w:t>
      </w:r>
      <w:r w:rsidR="00EB6DD3">
        <w:rPr>
          <w:rFonts w:ascii="Arial" w:hAnsi="Arial" w:cs="Arial"/>
          <w:sz w:val="22"/>
          <w:szCs w:val="22"/>
        </w:rPr>
        <w:t>This</w:t>
      </w:r>
      <w:r w:rsidR="0046436A">
        <w:rPr>
          <w:rFonts w:ascii="Arial" w:hAnsi="Arial" w:cs="Arial"/>
          <w:sz w:val="22"/>
          <w:szCs w:val="22"/>
        </w:rPr>
        <w:t xml:space="preserve"> analysis </w:t>
      </w:r>
      <w:r w:rsidR="00EB6DD3">
        <w:rPr>
          <w:rFonts w:ascii="Arial" w:hAnsi="Arial" w:cs="Arial"/>
          <w:sz w:val="22"/>
          <w:szCs w:val="22"/>
        </w:rPr>
        <w:t xml:space="preserve">concluded </w:t>
      </w:r>
      <w:r w:rsidR="00917287">
        <w:rPr>
          <w:rFonts w:ascii="Arial" w:hAnsi="Arial" w:cs="Arial"/>
          <w:sz w:val="22"/>
          <w:szCs w:val="22"/>
        </w:rPr>
        <w:t>that</w:t>
      </w:r>
      <w:r w:rsidR="006D2086">
        <w:rPr>
          <w:rFonts w:ascii="Arial" w:hAnsi="Arial" w:cs="Arial"/>
          <w:sz w:val="22"/>
          <w:szCs w:val="22"/>
        </w:rPr>
        <w:t xml:space="preserve"> </w:t>
      </w:r>
      <w:r w:rsidR="00977F3F">
        <w:rPr>
          <w:rFonts w:ascii="Arial" w:hAnsi="Arial" w:cs="Arial"/>
          <w:sz w:val="22"/>
          <w:szCs w:val="22"/>
        </w:rPr>
        <w:t xml:space="preserve">there are </w:t>
      </w:r>
      <w:r w:rsidR="006D2086">
        <w:rPr>
          <w:rFonts w:ascii="Arial" w:hAnsi="Arial" w:cs="Arial"/>
          <w:sz w:val="22"/>
          <w:szCs w:val="22"/>
        </w:rPr>
        <w:t>cost differential</w:t>
      </w:r>
      <w:r w:rsidR="0046436A">
        <w:rPr>
          <w:rFonts w:ascii="Arial" w:hAnsi="Arial" w:cs="Arial"/>
          <w:sz w:val="22"/>
          <w:szCs w:val="22"/>
        </w:rPr>
        <w:t xml:space="preserve">s </w:t>
      </w:r>
      <w:r w:rsidR="00952903">
        <w:rPr>
          <w:rFonts w:ascii="Arial" w:hAnsi="Arial" w:cs="Arial"/>
          <w:sz w:val="22"/>
          <w:szCs w:val="22"/>
        </w:rPr>
        <w:t xml:space="preserve">for </w:t>
      </w:r>
      <w:r w:rsidR="003C01D4">
        <w:rPr>
          <w:rFonts w:ascii="Arial" w:hAnsi="Arial" w:cs="Arial"/>
          <w:sz w:val="22"/>
          <w:szCs w:val="22"/>
        </w:rPr>
        <w:t>Indigenous</w:t>
      </w:r>
      <w:r w:rsidR="006D2086">
        <w:rPr>
          <w:rFonts w:ascii="Arial" w:hAnsi="Arial" w:cs="Arial"/>
          <w:sz w:val="22"/>
          <w:szCs w:val="22"/>
        </w:rPr>
        <w:t xml:space="preserve"> patients compared to non-</w:t>
      </w:r>
      <w:r w:rsidR="00F618BE">
        <w:rPr>
          <w:rFonts w:ascii="Arial" w:hAnsi="Arial" w:cs="Arial"/>
          <w:sz w:val="22"/>
          <w:szCs w:val="22"/>
        </w:rPr>
        <w:t>I</w:t>
      </w:r>
      <w:r w:rsidR="006D2086">
        <w:rPr>
          <w:rFonts w:ascii="Arial" w:hAnsi="Arial" w:cs="Arial"/>
          <w:sz w:val="22"/>
          <w:szCs w:val="22"/>
        </w:rPr>
        <w:t>n</w:t>
      </w:r>
      <w:r w:rsidR="00F618BE">
        <w:rPr>
          <w:rFonts w:ascii="Arial" w:hAnsi="Arial" w:cs="Arial"/>
          <w:sz w:val="22"/>
          <w:szCs w:val="22"/>
        </w:rPr>
        <w:t>di</w:t>
      </w:r>
      <w:r w:rsidR="006D2086">
        <w:rPr>
          <w:rFonts w:ascii="Arial" w:hAnsi="Arial" w:cs="Arial"/>
          <w:sz w:val="22"/>
          <w:szCs w:val="22"/>
        </w:rPr>
        <w:t>genous</w:t>
      </w:r>
      <w:r w:rsidR="00EB6DD3">
        <w:rPr>
          <w:rFonts w:ascii="Arial" w:hAnsi="Arial" w:cs="Arial"/>
          <w:sz w:val="22"/>
          <w:szCs w:val="22"/>
        </w:rPr>
        <w:t xml:space="preserve"> patients</w:t>
      </w:r>
      <w:r w:rsidR="006D2086">
        <w:rPr>
          <w:rFonts w:ascii="Arial" w:hAnsi="Arial" w:cs="Arial"/>
          <w:sz w:val="22"/>
          <w:szCs w:val="22"/>
        </w:rPr>
        <w:t xml:space="preserve">. </w:t>
      </w:r>
      <w:r w:rsidR="003C01D4">
        <w:rPr>
          <w:rFonts w:ascii="Arial" w:hAnsi="Arial" w:cs="Arial"/>
          <w:sz w:val="22"/>
          <w:szCs w:val="22"/>
        </w:rPr>
        <w:t>Specifically it showed that</w:t>
      </w:r>
      <w:r w:rsidR="00EE708D">
        <w:rPr>
          <w:rFonts w:ascii="Arial" w:hAnsi="Arial" w:cs="Arial"/>
          <w:sz w:val="22"/>
          <w:szCs w:val="22"/>
        </w:rPr>
        <w:t xml:space="preserve"> </w:t>
      </w:r>
      <w:r w:rsidR="003764BC">
        <w:rPr>
          <w:rFonts w:ascii="Arial" w:hAnsi="Arial" w:cs="Arial"/>
          <w:sz w:val="22"/>
          <w:szCs w:val="22"/>
        </w:rPr>
        <w:t>there is a cost differential of</w:t>
      </w:r>
      <w:r w:rsidR="00AA4194">
        <w:rPr>
          <w:rFonts w:ascii="Arial" w:hAnsi="Arial" w:cs="Arial"/>
          <w:sz w:val="22"/>
          <w:szCs w:val="22"/>
        </w:rPr>
        <w:t xml:space="preserve"> 4 per cent for admitted episodes.</w:t>
      </w:r>
    </w:p>
    <w:p w:rsidR="00E3480C" w:rsidRDefault="00631E2E" w:rsidP="00E715C1">
      <w:pPr>
        <w:rPr>
          <w:rFonts w:ascii="Arial" w:hAnsi="Arial" w:cs="Arial"/>
          <w:sz w:val="22"/>
          <w:szCs w:val="22"/>
        </w:rPr>
      </w:pPr>
      <w:r>
        <w:rPr>
          <w:rFonts w:ascii="Arial" w:hAnsi="Arial" w:cs="Arial"/>
          <w:sz w:val="22"/>
          <w:szCs w:val="22"/>
        </w:rPr>
        <w:t xml:space="preserve">The analysis of </w:t>
      </w:r>
      <w:r w:rsidR="00952903">
        <w:rPr>
          <w:rFonts w:ascii="Arial" w:hAnsi="Arial" w:cs="Arial"/>
          <w:sz w:val="22"/>
          <w:szCs w:val="22"/>
        </w:rPr>
        <w:t xml:space="preserve">admitted </w:t>
      </w:r>
      <w:r>
        <w:rPr>
          <w:rFonts w:ascii="Arial" w:hAnsi="Arial" w:cs="Arial"/>
          <w:sz w:val="22"/>
          <w:szCs w:val="22"/>
        </w:rPr>
        <w:t>acute</w:t>
      </w:r>
      <w:r w:rsidR="00843CCE" w:rsidRPr="005E6149">
        <w:rPr>
          <w:rFonts w:ascii="Arial" w:hAnsi="Arial" w:cs="Arial"/>
          <w:sz w:val="22"/>
          <w:szCs w:val="22"/>
        </w:rPr>
        <w:t xml:space="preserve"> services </w:t>
      </w:r>
      <w:r w:rsidR="003C01D4">
        <w:rPr>
          <w:rFonts w:ascii="Arial" w:hAnsi="Arial" w:cs="Arial"/>
          <w:sz w:val="22"/>
          <w:szCs w:val="22"/>
        </w:rPr>
        <w:t>found that</w:t>
      </w:r>
      <w:r w:rsidR="003C01D4" w:rsidRPr="005E6149">
        <w:rPr>
          <w:rFonts w:ascii="Arial" w:hAnsi="Arial" w:cs="Arial"/>
          <w:sz w:val="22"/>
          <w:szCs w:val="22"/>
        </w:rPr>
        <w:t xml:space="preserve"> </w:t>
      </w:r>
      <w:r w:rsidR="00843CCE" w:rsidRPr="005E6149">
        <w:rPr>
          <w:rFonts w:ascii="Arial" w:hAnsi="Arial" w:cs="Arial"/>
          <w:sz w:val="22"/>
          <w:szCs w:val="22"/>
        </w:rPr>
        <w:t xml:space="preserve">a </w:t>
      </w:r>
      <w:r>
        <w:rPr>
          <w:rFonts w:ascii="Arial" w:hAnsi="Arial" w:cs="Arial"/>
          <w:sz w:val="22"/>
          <w:szCs w:val="22"/>
        </w:rPr>
        <w:t xml:space="preserve">number of </w:t>
      </w:r>
      <w:r w:rsidR="00D6289E">
        <w:rPr>
          <w:rFonts w:ascii="Arial" w:hAnsi="Arial" w:cs="Arial"/>
          <w:sz w:val="22"/>
          <w:szCs w:val="22"/>
        </w:rPr>
        <w:t>Australian Refined Diagnosis Related Groups (</w:t>
      </w:r>
      <w:r w:rsidR="00843CCE" w:rsidRPr="005E6149">
        <w:rPr>
          <w:rFonts w:ascii="Arial" w:hAnsi="Arial" w:cs="Arial"/>
          <w:sz w:val="22"/>
          <w:szCs w:val="22"/>
        </w:rPr>
        <w:t>AR-DRGs</w:t>
      </w:r>
      <w:r w:rsidR="00D6289E">
        <w:rPr>
          <w:rFonts w:ascii="Arial" w:hAnsi="Arial" w:cs="Arial"/>
          <w:sz w:val="22"/>
          <w:szCs w:val="22"/>
        </w:rPr>
        <w:t>)</w:t>
      </w:r>
      <w:r>
        <w:rPr>
          <w:rFonts w:ascii="Arial" w:hAnsi="Arial" w:cs="Arial"/>
          <w:sz w:val="22"/>
          <w:szCs w:val="22"/>
        </w:rPr>
        <w:t xml:space="preserve"> </w:t>
      </w:r>
      <w:r w:rsidR="003C01D4">
        <w:rPr>
          <w:rFonts w:ascii="Arial" w:hAnsi="Arial" w:cs="Arial"/>
          <w:sz w:val="22"/>
          <w:szCs w:val="22"/>
        </w:rPr>
        <w:t xml:space="preserve">had </w:t>
      </w:r>
      <w:r w:rsidR="00843CCE" w:rsidRPr="005E6149">
        <w:rPr>
          <w:rFonts w:ascii="Arial" w:hAnsi="Arial" w:cs="Arial"/>
          <w:sz w:val="22"/>
          <w:szCs w:val="22"/>
        </w:rPr>
        <w:t>statistically significant difference</w:t>
      </w:r>
      <w:r w:rsidR="00297F83">
        <w:rPr>
          <w:rFonts w:ascii="Arial" w:hAnsi="Arial" w:cs="Arial"/>
          <w:sz w:val="22"/>
          <w:szCs w:val="22"/>
        </w:rPr>
        <w:t>s</w:t>
      </w:r>
      <w:r w:rsidR="009F0081" w:rsidRPr="005E6149">
        <w:rPr>
          <w:rFonts w:ascii="Arial" w:hAnsi="Arial" w:cs="Arial"/>
          <w:sz w:val="22"/>
          <w:szCs w:val="22"/>
        </w:rPr>
        <w:t xml:space="preserve"> in cost profiles</w:t>
      </w:r>
      <w:r w:rsidR="00843CCE" w:rsidRPr="005E6149">
        <w:rPr>
          <w:rFonts w:ascii="Arial" w:hAnsi="Arial" w:cs="Arial"/>
          <w:sz w:val="22"/>
          <w:szCs w:val="22"/>
        </w:rPr>
        <w:t xml:space="preserve"> between the two patient </w:t>
      </w:r>
      <w:r w:rsidR="009F0081" w:rsidRPr="005E6149">
        <w:rPr>
          <w:rFonts w:ascii="Arial" w:hAnsi="Arial" w:cs="Arial"/>
          <w:sz w:val="22"/>
          <w:szCs w:val="22"/>
        </w:rPr>
        <w:t>cohorts</w:t>
      </w:r>
      <w:r w:rsidR="00297F83">
        <w:rPr>
          <w:rFonts w:ascii="Arial" w:hAnsi="Arial" w:cs="Arial"/>
          <w:sz w:val="22"/>
          <w:szCs w:val="22"/>
        </w:rPr>
        <w:t>,</w:t>
      </w:r>
      <w:r w:rsidR="007A7169">
        <w:rPr>
          <w:rFonts w:ascii="Arial" w:hAnsi="Arial" w:cs="Arial"/>
          <w:sz w:val="22"/>
          <w:szCs w:val="22"/>
        </w:rPr>
        <w:t xml:space="preserve"> with</w:t>
      </w:r>
      <w:r w:rsidR="00843CCE" w:rsidRPr="005E6149">
        <w:rPr>
          <w:rFonts w:ascii="Arial" w:hAnsi="Arial" w:cs="Arial"/>
          <w:sz w:val="22"/>
          <w:szCs w:val="22"/>
        </w:rPr>
        <w:t xml:space="preserve"> </w:t>
      </w:r>
      <w:r w:rsidR="00B70C32" w:rsidRPr="005E6149">
        <w:rPr>
          <w:rFonts w:ascii="Arial" w:hAnsi="Arial" w:cs="Arial"/>
          <w:sz w:val="22"/>
          <w:szCs w:val="22"/>
        </w:rPr>
        <w:t>a cost differential</w:t>
      </w:r>
      <w:r w:rsidR="007A7169">
        <w:rPr>
          <w:rFonts w:ascii="Arial" w:hAnsi="Arial" w:cs="Arial"/>
          <w:sz w:val="22"/>
          <w:szCs w:val="22"/>
        </w:rPr>
        <w:t xml:space="preserve"> of </w:t>
      </w:r>
      <w:r w:rsidR="00CC0A29">
        <w:rPr>
          <w:rFonts w:ascii="Arial" w:hAnsi="Arial" w:cs="Arial"/>
          <w:sz w:val="22"/>
          <w:szCs w:val="22"/>
        </w:rPr>
        <w:t xml:space="preserve">up to </w:t>
      </w:r>
      <w:r w:rsidR="007A7169">
        <w:rPr>
          <w:rFonts w:ascii="Arial" w:hAnsi="Arial" w:cs="Arial"/>
          <w:sz w:val="22"/>
          <w:szCs w:val="22"/>
        </w:rPr>
        <w:t>21%</w:t>
      </w:r>
      <w:r w:rsidR="00952903">
        <w:rPr>
          <w:rFonts w:ascii="Arial" w:hAnsi="Arial" w:cs="Arial"/>
          <w:sz w:val="22"/>
          <w:szCs w:val="22"/>
        </w:rPr>
        <w:t>.</w:t>
      </w:r>
    </w:p>
    <w:p w:rsidR="00CC0A29" w:rsidRDefault="00CC0A29" w:rsidP="00E715C1">
      <w:pPr>
        <w:rPr>
          <w:rFonts w:ascii="Arial" w:hAnsi="Arial" w:cs="Arial"/>
          <w:sz w:val="22"/>
          <w:szCs w:val="22"/>
        </w:rPr>
      </w:pPr>
    </w:p>
    <w:p w:rsidR="00CC0A29" w:rsidRDefault="00CC0A29" w:rsidP="00E715C1">
      <w:pPr>
        <w:rPr>
          <w:rFonts w:ascii="Arial" w:hAnsi="Arial" w:cs="Arial"/>
          <w:sz w:val="22"/>
          <w:szCs w:val="22"/>
        </w:rPr>
      </w:pPr>
      <w:r>
        <w:rPr>
          <w:rFonts w:ascii="Arial" w:hAnsi="Arial" w:cs="Arial"/>
          <w:sz w:val="22"/>
          <w:szCs w:val="22"/>
        </w:rPr>
        <w:t xml:space="preserve">Cost differentials for patients in emergency departments or accessing non-admitted services were not established. </w:t>
      </w:r>
    </w:p>
    <w:p w:rsidR="000F0773" w:rsidRPr="005E6149" w:rsidRDefault="006B6179" w:rsidP="000F0773">
      <w:pPr>
        <w:spacing w:before="120" w:after="120"/>
        <w:rPr>
          <w:rFonts w:ascii="Arial" w:hAnsi="Arial" w:cs="Arial"/>
          <w:sz w:val="22"/>
          <w:szCs w:val="22"/>
        </w:rPr>
      </w:pPr>
      <w:r>
        <w:rPr>
          <w:rFonts w:ascii="Arial" w:hAnsi="Arial" w:cs="Arial"/>
          <w:sz w:val="22"/>
          <w:szCs w:val="22"/>
        </w:rPr>
        <w:t xml:space="preserve">The main factors contributing to the higher costs </w:t>
      </w:r>
      <w:r w:rsidR="00952903">
        <w:rPr>
          <w:rFonts w:ascii="Arial" w:hAnsi="Arial" w:cs="Arial"/>
          <w:sz w:val="22"/>
          <w:szCs w:val="22"/>
        </w:rPr>
        <w:t xml:space="preserve">for </w:t>
      </w:r>
      <w:r>
        <w:rPr>
          <w:rFonts w:ascii="Arial" w:hAnsi="Arial" w:cs="Arial"/>
          <w:sz w:val="22"/>
          <w:szCs w:val="22"/>
        </w:rPr>
        <w:t>Indigenous patients</w:t>
      </w:r>
      <w:r w:rsidR="000F0773" w:rsidRPr="005E6149">
        <w:rPr>
          <w:rFonts w:ascii="Arial" w:hAnsi="Arial" w:cs="Arial"/>
          <w:sz w:val="22"/>
          <w:szCs w:val="22"/>
        </w:rPr>
        <w:t xml:space="preserve"> compared to </w:t>
      </w:r>
      <w:r w:rsidR="00F618BE">
        <w:rPr>
          <w:rFonts w:ascii="Arial" w:hAnsi="Arial" w:cs="Arial"/>
          <w:sz w:val="22"/>
          <w:szCs w:val="22"/>
        </w:rPr>
        <w:t>n</w:t>
      </w:r>
      <w:r w:rsidR="00C93E93" w:rsidRPr="005E6149">
        <w:rPr>
          <w:rFonts w:ascii="Arial" w:hAnsi="Arial" w:cs="Arial"/>
          <w:sz w:val="22"/>
          <w:szCs w:val="22"/>
        </w:rPr>
        <w:t>on-Indigenous</w:t>
      </w:r>
      <w:r w:rsidR="000F0773" w:rsidRPr="005E6149">
        <w:rPr>
          <w:rFonts w:ascii="Arial" w:hAnsi="Arial" w:cs="Arial"/>
          <w:sz w:val="22"/>
          <w:szCs w:val="22"/>
        </w:rPr>
        <w:t xml:space="preserve"> patients</w:t>
      </w:r>
      <w:r>
        <w:rPr>
          <w:rFonts w:ascii="Arial" w:hAnsi="Arial" w:cs="Arial"/>
          <w:sz w:val="22"/>
          <w:szCs w:val="22"/>
        </w:rPr>
        <w:t xml:space="preserve"> were</w:t>
      </w:r>
      <w:r w:rsidR="000F0773" w:rsidRPr="005E6149">
        <w:rPr>
          <w:rFonts w:ascii="Arial" w:hAnsi="Arial" w:cs="Arial"/>
          <w:sz w:val="22"/>
          <w:szCs w:val="22"/>
        </w:rPr>
        <w:t>:</w:t>
      </w:r>
    </w:p>
    <w:p w:rsidR="000F0773" w:rsidRPr="005E6149" w:rsidRDefault="000F0773"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number of comorbidities</w:t>
      </w:r>
      <w:r w:rsidR="00843CCE" w:rsidRPr="005E6149">
        <w:rPr>
          <w:rFonts w:ascii="Arial" w:hAnsi="Arial" w:cs="Arial"/>
          <w:sz w:val="22"/>
          <w:szCs w:val="22"/>
        </w:rPr>
        <w:t>;</w:t>
      </w:r>
    </w:p>
    <w:p w:rsidR="000F0773" w:rsidRPr="005E6149" w:rsidRDefault="000F0773"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separation mode</w:t>
      </w:r>
      <w:r w:rsidR="00843CCE" w:rsidRPr="005E6149">
        <w:rPr>
          <w:rFonts w:ascii="Arial" w:hAnsi="Arial" w:cs="Arial"/>
          <w:sz w:val="22"/>
          <w:szCs w:val="22"/>
        </w:rPr>
        <w:t>;</w:t>
      </w:r>
    </w:p>
    <w:p w:rsidR="000F0773" w:rsidRPr="005E6149" w:rsidRDefault="000F0773"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length of stay</w:t>
      </w:r>
      <w:r w:rsidR="00843CCE" w:rsidRPr="005E6149">
        <w:rPr>
          <w:rFonts w:ascii="Arial" w:hAnsi="Arial" w:cs="Arial"/>
          <w:sz w:val="22"/>
          <w:szCs w:val="22"/>
        </w:rPr>
        <w:t>;</w:t>
      </w:r>
      <w:r w:rsidR="00A117FC">
        <w:rPr>
          <w:rFonts w:ascii="Arial" w:hAnsi="Arial" w:cs="Arial"/>
          <w:sz w:val="22"/>
          <w:szCs w:val="22"/>
        </w:rPr>
        <w:t xml:space="preserve"> and</w:t>
      </w:r>
    </w:p>
    <w:p w:rsidR="000F0773" w:rsidRDefault="000F0773" w:rsidP="00E86862">
      <w:pPr>
        <w:pStyle w:val="ListParagraph"/>
        <w:numPr>
          <w:ilvl w:val="0"/>
          <w:numId w:val="37"/>
        </w:numPr>
        <w:spacing w:before="120" w:after="120"/>
        <w:rPr>
          <w:rFonts w:ascii="Arial" w:hAnsi="Arial" w:cs="Arial"/>
          <w:sz w:val="22"/>
          <w:szCs w:val="22"/>
        </w:rPr>
      </w:pPr>
      <w:proofErr w:type="gramStart"/>
      <w:r w:rsidRPr="005E6149">
        <w:rPr>
          <w:rFonts w:ascii="Arial" w:hAnsi="Arial" w:cs="Arial"/>
          <w:sz w:val="22"/>
          <w:szCs w:val="22"/>
        </w:rPr>
        <w:t>hours</w:t>
      </w:r>
      <w:proofErr w:type="gramEnd"/>
      <w:r w:rsidRPr="005E6149">
        <w:rPr>
          <w:rFonts w:ascii="Arial" w:hAnsi="Arial" w:cs="Arial"/>
          <w:sz w:val="22"/>
          <w:szCs w:val="22"/>
        </w:rPr>
        <w:t xml:space="preserve"> spen</w:t>
      </w:r>
      <w:r w:rsidR="004F6BAA" w:rsidRPr="005E6149">
        <w:rPr>
          <w:rFonts w:ascii="Arial" w:hAnsi="Arial" w:cs="Arial"/>
          <w:sz w:val="22"/>
          <w:szCs w:val="22"/>
        </w:rPr>
        <w:t>t</w:t>
      </w:r>
      <w:r w:rsidRPr="005E6149">
        <w:rPr>
          <w:rFonts w:ascii="Arial" w:hAnsi="Arial" w:cs="Arial"/>
          <w:sz w:val="22"/>
          <w:szCs w:val="22"/>
        </w:rPr>
        <w:t xml:space="preserve"> on continuous mechanical ventilation.</w:t>
      </w:r>
    </w:p>
    <w:p w:rsidR="001E22B8" w:rsidRPr="003042E5" w:rsidRDefault="006B6179" w:rsidP="00F63E3C">
      <w:pPr>
        <w:rPr>
          <w:sz w:val="22"/>
          <w:szCs w:val="22"/>
        </w:rPr>
      </w:pPr>
      <w:r>
        <w:rPr>
          <w:rFonts w:ascii="Arial" w:hAnsi="Arial" w:cs="Arial"/>
          <w:sz w:val="22"/>
          <w:szCs w:val="22"/>
        </w:rPr>
        <w:t xml:space="preserve">As </w:t>
      </w:r>
      <w:r w:rsidR="00642974" w:rsidRPr="005E6149">
        <w:rPr>
          <w:rFonts w:ascii="Arial" w:hAnsi="Arial" w:cs="Arial"/>
          <w:sz w:val="22"/>
          <w:szCs w:val="22"/>
        </w:rPr>
        <w:t xml:space="preserve">new data items are introduced and </w:t>
      </w:r>
      <w:r>
        <w:rPr>
          <w:rFonts w:ascii="Arial" w:hAnsi="Arial" w:cs="Arial"/>
          <w:sz w:val="22"/>
          <w:szCs w:val="22"/>
        </w:rPr>
        <w:t xml:space="preserve">the overall </w:t>
      </w:r>
      <w:r w:rsidR="00642974" w:rsidRPr="005E6149">
        <w:rPr>
          <w:rFonts w:ascii="Arial" w:hAnsi="Arial" w:cs="Arial"/>
          <w:sz w:val="22"/>
          <w:szCs w:val="22"/>
        </w:rPr>
        <w:t xml:space="preserve">data quality </w:t>
      </w:r>
      <w:r>
        <w:rPr>
          <w:rFonts w:ascii="Arial" w:hAnsi="Arial" w:cs="Arial"/>
          <w:sz w:val="22"/>
          <w:szCs w:val="22"/>
        </w:rPr>
        <w:t xml:space="preserve">of the NHCDC </w:t>
      </w:r>
      <w:r w:rsidR="00642974" w:rsidRPr="005E6149">
        <w:rPr>
          <w:rFonts w:ascii="Arial" w:hAnsi="Arial" w:cs="Arial"/>
          <w:sz w:val="22"/>
          <w:szCs w:val="22"/>
        </w:rPr>
        <w:t>improves</w:t>
      </w:r>
      <w:r>
        <w:rPr>
          <w:rFonts w:ascii="Arial" w:hAnsi="Arial" w:cs="Arial"/>
          <w:sz w:val="22"/>
          <w:szCs w:val="22"/>
        </w:rPr>
        <w:t xml:space="preserve">, </w:t>
      </w:r>
      <w:r w:rsidR="00642974" w:rsidRPr="005E6149">
        <w:rPr>
          <w:rFonts w:ascii="Arial" w:hAnsi="Arial" w:cs="Arial"/>
          <w:sz w:val="22"/>
          <w:szCs w:val="22"/>
        </w:rPr>
        <w:t xml:space="preserve">the </w:t>
      </w:r>
      <w:r>
        <w:rPr>
          <w:rFonts w:ascii="Arial" w:hAnsi="Arial" w:cs="Arial"/>
          <w:sz w:val="22"/>
          <w:szCs w:val="22"/>
        </w:rPr>
        <w:t xml:space="preserve">evidence base supporting </w:t>
      </w:r>
      <w:r w:rsidR="00295539">
        <w:rPr>
          <w:rFonts w:ascii="Arial" w:hAnsi="Arial" w:cs="Arial"/>
          <w:sz w:val="22"/>
          <w:szCs w:val="22"/>
        </w:rPr>
        <w:t xml:space="preserve">differences in cost </w:t>
      </w:r>
      <w:r w:rsidR="00642974" w:rsidRPr="005E6149">
        <w:rPr>
          <w:rFonts w:ascii="Arial" w:hAnsi="Arial" w:cs="Arial"/>
          <w:sz w:val="22"/>
          <w:szCs w:val="22"/>
        </w:rPr>
        <w:t>profile</w:t>
      </w:r>
      <w:r>
        <w:rPr>
          <w:rFonts w:ascii="Arial" w:hAnsi="Arial" w:cs="Arial"/>
          <w:sz w:val="22"/>
          <w:szCs w:val="22"/>
        </w:rPr>
        <w:t>s</w:t>
      </w:r>
      <w:r w:rsidR="00642974" w:rsidRPr="005E6149">
        <w:rPr>
          <w:rFonts w:ascii="Arial" w:hAnsi="Arial" w:cs="Arial"/>
          <w:sz w:val="22"/>
          <w:szCs w:val="22"/>
        </w:rPr>
        <w:t xml:space="preserve"> </w:t>
      </w:r>
      <w:r w:rsidR="00295539">
        <w:rPr>
          <w:rFonts w:ascii="Arial" w:hAnsi="Arial" w:cs="Arial"/>
          <w:sz w:val="22"/>
          <w:szCs w:val="22"/>
        </w:rPr>
        <w:t>between Indigenous and non-Indigenous</w:t>
      </w:r>
      <w:r w:rsidR="00642974" w:rsidRPr="005E6149">
        <w:rPr>
          <w:rFonts w:ascii="Arial" w:hAnsi="Arial" w:cs="Arial"/>
          <w:sz w:val="22"/>
          <w:szCs w:val="22"/>
        </w:rPr>
        <w:t xml:space="preserve"> patient</w:t>
      </w:r>
      <w:r w:rsidR="00075018">
        <w:rPr>
          <w:rFonts w:ascii="Arial" w:hAnsi="Arial" w:cs="Arial"/>
          <w:sz w:val="22"/>
          <w:szCs w:val="22"/>
        </w:rPr>
        <w:t>s</w:t>
      </w:r>
      <w:r w:rsidR="00642974" w:rsidRPr="005E6149">
        <w:rPr>
          <w:rFonts w:ascii="Arial" w:hAnsi="Arial" w:cs="Arial"/>
          <w:sz w:val="22"/>
          <w:szCs w:val="22"/>
        </w:rPr>
        <w:t xml:space="preserve"> </w:t>
      </w:r>
      <w:r w:rsidR="00952903">
        <w:rPr>
          <w:rFonts w:ascii="Arial" w:hAnsi="Arial" w:cs="Arial"/>
          <w:sz w:val="22"/>
          <w:szCs w:val="22"/>
        </w:rPr>
        <w:t xml:space="preserve">are likely to </w:t>
      </w:r>
      <w:r w:rsidR="00642974" w:rsidRPr="005E6149">
        <w:rPr>
          <w:rFonts w:ascii="Arial" w:hAnsi="Arial" w:cs="Arial"/>
          <w:sz w:val="22"/>
          <w:szCs w:val="22"/>
        </w:rPr>
        <w:t>improve and</w:t>
      </w:r>
      <w:r w:rsidR="00D9009E">
        <w:rPr>
          <w:rFonts w:ascii="Arial" w:hAnsi="Arial" w:cs="Arial"/>
          <w:sz w:val="22"/>
          <w:szCs w:val="22"/>
        </w:rPr>
        <w:t xml:space="preserve"> </w:t>
      </w:r>
      <w:r w:rsidR="00642974">
        <w:rPr>
          <w:rFonts w:ascii="Arial" w:hAnsi="Arial" w:cs="Arial"/>
          <w:sz w:val="22"/>
          <w:szCs w:val="22"/>
        </w:rPr>
        <w:t xml:space="preserve">more </w:t>
      </w:r>
      <w:r w:rsidR="00642974" w:rsidRPr="005E6149">
        <w:rPr>
          <w:rFonts w:ascii="Arial" w:hAnsi="Arial" w:cs="Arial"/>
          <w:sz w:val="22"/>
          <w:szCs w:val="22"/>
        </w:rPr>
        <w:t xml:space="preserve">closely </w:t>
      </w:r>
      <w:r w:rsidR="00295539">
        <w:rPr>
          <w:rFonts w:ascii="Arial" w:hAnsi="Arial" w:cs="Arial"/>
          <w:sz w:val="22"/>
          <w:szCs w:val="22"/>
        </w:rPr>
        <w:t xml:space="preserve">reflect </w:t>
      </w:r>
      <w:r w:rsidR="00952903">
        <w:rPr>
          <w:rFonts w:ascii="Arial" w:hAnsi="Arial" w:cs="Arial"/>
          <w:sz w:val="22"/>
          <w:szCs w:val="22"/>
        </w:rPr>
        <w:t xml:space="preserve">the </w:t>
      </w:r>
      <w:r w:rsidR="00295539">
        <w:rPr>
          <w:rFonts w:ascii="Arial" w:hAnsi="Arial" w:cs="Arial"/>
          <w:sz w:val="22"/>
          <w:szCs w:val="22"/>
        </w:rPr>
        <w:t xml:space="preserve">actual </w:t>
      </w:r>
      <w:r w:rsidR="00D522DA">
        <w:rPr>
          <w:rFonts w:ascii="Arial" w:hAnsi="Arial" w:cs="Arial"/>
          <w:sz w:val="22"/>
          <w:szCs w:val="22"/>
        </w:rPr>
        <w:t xml:space="preserve">cost </w:t>
      </w:r>
      <w:r w:rsidR="00295539">
        <w:rPr>
          <w:rFonts w:ascii="Arial" w:hAnsi="Arial" w:cs="Arial"/>
          <w:sz w:val="22"/>
          <w:szCs w:val="22"/>
        </w:rPr>
        <w:t xml:space="preserve">of </w:t>
      </w:r>
      <w:r w:rsidR="00952903">
        <w:rPr>
          <w:rFonts w:ascii="Arial" w:hAnsi="Arial" w:cs="Arial"/>
          <w:sz w:val="22"/>
          <w:szCs w:val="22"/>
        </w:rPr>
        <w:t xml:space="preserve">public </w:t>
      </w:r>
      <w:r w:rsidR="00295539">
        <w:rPr>
          <w:rFonts w:ascii="Arial" w:hAnsi="Arial" w:cs="Arial"/>
          <w:sz w:val="22"/>
          <w:szCs w:val="22"/>
        </w:rPr>
        <w:t>hospital services</w:t>
      </w:r>
      <w:r w:rsidR="00952903">
        <w:rPr>
          <w:rFonts w:ascii="Arial" w:hAnsi="Arial" w:cs="Arial"/>
          <w:sz w:val="22"/>
          <w:szCs w:val="22"/>
        </w:rPr>
        <w:t>.</w:t>
      </w:r>
    </w:p>
    <w:p w:rsidR="008D005B" w:rsidRPr="00E715C1" w:rsidRDefault="00383653" w:rsidP="00F63E3C">
      <w:pPr>
        <w:pStyle w:val="Heading1"/>
        <w:pageBreakBefore/>
        <w:ind w:left="0"/>
      </w:pPr>
      <w:bookmarkStart w:id="5" w:name="_Toc278480600"/>
      <w:r>
        <w:lastRenderedPageBreak/>
        <w:t xml:space="preserve"> </w:t>
      </w:r>
      <w:r w:rsidR="008D005B" w:rsidRPr="00E715C1">
        <w:t>Project Objectives and Methodology</w:t>
      </w:r>
      <w:bookmarkEnd w:id="5"/>
    </w:p>
    <w:p w:rsidR="004E61F9" w:rsidRDefault="004E61F9" w:rsidP="008D005B">
      <w:pPr>
        <w:spacing w:before="120" w:after="120"/>
        <w:rPr>
          <w:rFonts w:ascii="Arial" w:hAnsi="Arial" w:cs="Arial"/>
          <w:sz w:val="22"/>
          <w:szCs w:val="22"/>
        </w:rPr>
      </w:pPr>
      <w:r>
        <w:rPr>
          <w:rFonts w:ascii="Arial" w:hAnsi="Arial" w:cs="Arial"/>
          <w:sz w:val="22"/>
          <w:szCs w:val="22"/>
        </w:rPr>
        <w:t xml:space="preserve">In developing </w:t>
      </w:r>
      <w:r w:rsidR="0064319F">
        <w:rPr>
          <w:rFonts w:ascii="Arial" w:hAnsi="Arial" w:cs="Arial"/>
          <w:sz w:val="22"/>
          <w:szCs w:val="22"/>
        </w:rPr>
        <w:t>the NEP</w:t>
      </w:r>
      <w:r>
        <w:rPr>
          <w:rFonts w:ascii="Arial" w:hAnsi="Arial" w:cs="Arial"/>
          <w:sz w:val="22"/>
          <w:szCs w:val="22"/>
        </w:rPr>
        <w:t xml:space="preserve"> IHPA is required to have regard to the variables affecting the actual cost of providing health care services in a range of public hospitals. IHPA has commissioned this report to better understand the particular costs associated with providing hospital services to </w:t>
      </w:r>
      <w:r w:rsidR="007B2EDF">
        <w:rPr>
          <w:rFonts w:ascii="Arial" w:hAnsi="Arial" w:cs="Arial"/>
          <w:sz w:val="22"/>
          <w:szCs w:val="22"/>
        </w:rPr>
        <w:t>Indigenous patients.</w:t>
      </w:r>
    </w:p>
    <w:p w:rsidR="008D005B" w:rsidRPr="005E6149" w:rsidRDefault="008D005B" w:rsidP="008D005B">
      <w:pPr>
        <w:pStyle w:val="Heading2"/>
        <w:keepLines w:val="0"/>
        <w:tabs>
          <w:tab w:val="left" w:pos="851"/>
        </w:tabs>
        <w:spacing w:before="360" w:after="240"/>
        <w:ind w:left="851" w:hanging="851"/>
        <w:rPr>
          <w:rFonts w:ascii="Arial" w:hAnsi="Arial" w:cs="Arial"/>
          <w:color w:val="548DD4" w:themeColor="text2" w:themeTint="99"/>
        </w:rPr>
      </w:pPr>
      <w:r w:rsidRPr="005E6149">
        <w:rPr>
          <w:rFonts w:ascii="Arial" w:hAnsi="Arial" w:cs="Arial"/>
          <w:color w:val="548DD4" w:themeColor="text2" w:themeTint="99"/>
        </w:rPr>
        <w:t>Objectives of the Study</w:t>
      </w:r>
    </w:p>
    <w:p w:rsidR="008D005B" w:rsidRPr="005E6149" w:rsidRDefault="008D005B" w:rsidP="008D005B">
      <w:pPr>
        <w:spacing w:before="120" w:after="120"/>
        <w:rPr>
          <w:rFonts w:ascii="Arial" w:hAnsi="Arial" w:cs="Arial"/>
          <w:sz w:val="22"/>
          <w:szCs w:val="22"/>
        </w:rPr>
      </w:pPr>
      <w:r w:rsidRPr="005E6149">
        <w:rPr>
          <w:rFonts w:ascii="Arial" w:hAnsi="Arial" w:cs="Arial"/>
          <w:sz w:val="22"/>
          <w:szCs w:val="22"/>
        </w:rPr>
        <w:t>The objectives of this study were</w:t>
      </w:r>
      <w:r>
        <w:rPr>
          <w:rFonts w:ascii="Arial" w:hAnsi="Arial" w:cs="Arial"/>
          <w:sz w:val="22"/>
          <w:szCs w:val="22"/>
        </w:rPr>
        <w:t xml:space="preserve"> </w:t>
      </w:r>
      <w:r w:rsidRPr="005E6149">
        <w:rPr>
          <w:rFonts w:ascii="Arial" w:hAnsi="Arial" w:cs="Arial"/>
          <w:sz w:val="22"/>
          <w:szCs w:val="22"/>
        </w:rPr>
        <w:t xml:space="preserve">to undertake an in-depth review of </w:t>
      </w:r>
      <w:r w:rsidR="00952903">
        <w:rPr>
          <w:rFonts w:ascii="Arial" w:hAnsi="Arial" w:cs="Arial"/>
          <w:sz w:val="22"/>
          <w:szCs w:val="22"/>
        </w:rPr>
        <w:t xml:space="preserve">Indigenous patients </w:t>
      </w:r>
      <w:r w:rsidRPr="005E6149">
        <w:rPr>
          <w:rFonts w:ascii="Arial" w:hAnsi="Arial" w:cs="Arial"/>
          <w:sz w:val="22"/>
          <w:szCs w:val="22"/>
        </w:rPr>
        <w:t>the costs including:</w:t>
      </w:r>
    </w:p>
    <w:p w:rsidR="008D005B" w:rsidRPr="005E6149" w:rsidRDefault="008D005B" w:rsidP="00E86862">
      <w:pPr>
        <w:pStyle w:val="ListParagraph"/>
        <w:numPr>
          <w:ilvl w:val="0"/>
          <w:numId w:val="20"/>
        </w:numPr>
        <w:spacing w:after="120"/>
        <w:ind w:left="1463" w:hanging="357"/>
        <w:contextualSpacing w:val="0"/>
        <w:rPr>
          <w:rFonts w:ascii="Arial" w:hAnsi="Arial" w:cs="Arial"/>
          <w:sz w:val="22"/>
          <w:szCs w:val="22"/>
        </w:rPr>
      </w:pPr>
      <w:r w:rsidRPr="005E6149">
        <w:rPr>
          <w:rFonts w:ascii="Arial" w:hAnsi="Arial" w:cs="Arial"/>
          <w:sz w:val="22"/>
          <w:szCs w:val="22"/>
        </w:rPr>
        <w:t>the extent to which the costs associated with delivering public hospital services to Indigenous patients are identified and correctly allocated in hospital costing systems;</w:t>
      </w:r>
    </w:p>
    <w:p w:rsidR="008D005B" w:rsidRDefault="008D005B" w:rsidP="00E86862">
      <w:pPr>
        <w:pStyle w:val="ListParagraph"/>
        <w:numPr>
          <w:ilvl w:val="0"/>
          <w:numId w:val="20"/>
        </w:numPr>
        <w:spacing w:after="120"/>
        <w:ind w:left="1463" w:hanging="357"/>
        <w:contextualSpacing w:val="0"/>
        <w:rPr>
          <w:rFonts w:ascii="Arial" w:hAnsi="Arial" w:cs="Arial"/>
          <w:sz w:val="22"/>
          <w:szCs w:val="22"/>
        </w:rPr>
      </w:pPr>
      <w:r w:rsidRPr="005E6149">
        <w:rPr>
          <w:rFonts w:ascii="Arial" w:hAnsi="Arial" w:cs="Arial"/>
          <w:sz w:val="22"/>
          <w:szCs w:val="22"/>
        </w:rPr>
        <w:t>a review of the factors which may lead to increased costs for hospitals in delivering services to Indigenous patients;</w:t>
      </w:r>
      <w:r w:rsidR="00F05FED">
        <w:rPr>
          <w:rFonts w:ascii="Arial" w:hAnsi="Arial" w:cs="Arial"/>
          <w:sz w:val="22"/>
          <w:szCs w:val="22"/>
        </w:rPr>
        <w:t xml:space="preserve"> </w:t>
      </w:r>
    </w:p>
    <w:p w:rsidR="00712379" w:rsidRPr="005E6149" w:rsidRDefault="00712379" w:rsidP="00E86862">
      <w:pPr>
        <w:pStyle w:val="ListParagraph"/>
        <w:numPr>
          <w:ilvl w:val="0"/>
          <w:numId w:val="20"/>
        </w:numPr>
        <w:spacing w:after="120"/>
        <w:ind w:left="1463" w:hanging="357"/>
        <w:contextualSpacing w:val="0"/>
        <w:rPr>
          <w:rFonts w:ascii="Arial" w:hAnsi="Arial" w:cs="Arial"/>
          <w:sz w:val="22"/>
          <w:szCs w:val="22"/>
        </w:rPr>
      </w:pPr>
      <w:r>
        <w:rPr>
          <w:rFonts w:ascii="Arial" w:hAnsi="Arial" w:cs="Arial"/>
          <w:sz w:val="22"/>
          <w:szCs w:val="22"/>
        </w:rPr>
        <w:t>whether hospital based services incur a greater cost in providing treatment and services to an Indigenous patient compared to a non-Indigenous patient for the same condition; and</w:t>
      </w:r>
    </w:p>
    <w:p w:rsidR="008D005B" w:rsidRPr="00C42292" w:rsidRDefault="008D005B" w:rsidP="00E86862">
      <w:pPr>
        <w:pStyle w:val="ListParagraph"/>
        <w:numPr>
          <w:ilvl w:val="0"/>
          <w:numId w:val="20"/>
        </w:numPr>
        <w:spacing w:after="120"/>
        <w:ind w:left="1463" w:hanging="357"/>
        <w:contextualSpacing w:val="0"/>
        <w:rPr>
          <w:rFonts w:ascii="Arial" w:hAnsi="Arial" w:cs="Arial"/>
          <w:sz w:val="22"/>
          <w:szCs w:val="22"/>
        </w:rPr>
      </w:pPr>
      <w:proofErr w:type="gramStart"/>
      <w:r w:rsidRPr="005E6149">
        <w:rPr>
          <w:rFonts w:ascii="Arial" w:hAnsi="Arial" w:cs="Arial"/>
          <w:sz w:val="22"/>
          <w:szCs w:val="22"/>
        </w:rPr>
        <w:t>a</w:t>
      </w:r>
      <w:proofErr w:type="gramEnd"/>
      <w:r w:rsidRPr="005E6149">
        <w:rPr>
          <w:rFonts w:ascii="Arial" w:hAnsi="Arial" w:cs="Arial"/>
          <w:sz w:val="22"/>
          <w:szCs w:val="22"/>
        </w:rPr>
        <w:t xml:space="preserve"> review of the Productivity Commission report (2012 </w:t>
      </w:r>
      <w:r w:rsidRPr="005E6149">
        <w:rPr>
          <w:rFonts w:ascii="Arial" w:hAnsi="Arial" w:cs="Arial"/>
          <w:i/>
          <w:sz w:val="22"/>
          <w:szCs w:val="22"/>
        </w:rPr>
        <w:t>Indigenous Expenditure Report</w:t>
      </w:r>
      <w:r w:rsidRPr="005E6149">
        <w:rPr>
          <w:rFonts w:ascii="Arial" w:hAnsi="Arial" w:cs="Arial"/>
          <w:sz w:val="22"/>
          <w:szCs w:val="22"/>
        </w:rPr>
        <w:t>).</w:t>
      </w:r>
    </w:p>
    <w:p w:rsidR="008D005B" w:rsidRPr="005E6149" w:rsidRDefault="008D005B" w:rsidP="008D005B">
      <w:pPr>
        <w:pStyle w:val="Heading2"/>
        <w:keepLines w:val="0"/>
        <w:tabs>
          <w:tab w:val="left" w:pos="851"/>
        </w:tabs>
        <w:spacing w:before="360" w:after="240"/>
        <w:ind w:left="851" w:hanging="851"/>
        <w:rPr>
          <w:rFonts w:ascii="Arial" w:hAnsi="Arial" w:cs="Arial"/>
          <w:color w:val="548DD4" w:themeColor="text2" w:themeTint="99"/>
        </w:rPr>
      </w:pPr>
      <w:r w:rsidRPr="005E6149">
        <w:rPr>
          <w:rFonts w:ascii="Arial" w:hAnsi="Arial" w:cs="Arial"/>
          <w:color w:val="548DD4" w:themeColor="text2" w:themeTint="99"/>
        </w:rPr>
        <w:t>Methodology</w:t>
      </w:r>
    </w:p>
    <w:p w:rsidR="008D005B" w:rsidRPr="005E6149" w:rsidRDefault="008D005B" w:rsidP="008D005B">
      <w:pPr>
        <w:spacing w:before="120" w:after="120"/>
        <w:rPr>
          <w:rFonts w:ascii="Arial" w:hAnsi="Arial" w:cs="Arial"/>
          <w:color w:val="000000"/>
          <w:sz w:val="22"/>
          <w:szCs w:val="22"/>
        </w:rPr>
      </w:pPr>
      <w:r w:rsidRPr="005E6149">
        <w:rPr>
          <w:rFonts w:ascii="Arial" w:hAnsi="Arial" w:cs="Arial"/>
          <w:color w:val="000000"/>
          <w:sz w:val="22"/>
          <w:szCs w:val="22"/>
        </w:rPr>
        <w:t>The investigative study comprised four discrete components</w:t>
      </w:r>
      <w:r>
        <w:rPr>
          <w:rFonts w:ascii="Arial" w:hAnsi="Arial" w:cs="Arial"/>
          <w:color w:val="000000"/>
          <w:sz w:val="22"/>
          <w:szCs w:val="22"/>
        </w:rPr>
        <w:t xml:space="preserve">. </w:t>
      </w:r>
      <w:r w:rsidRPr="005E6149">
        <w:rPr>
          <w:rFonts w:ascii="Arial" w:hAnsi="Arial" w:cs="Arial"/>
          <w:color w:val="000000"/>
          <w:sz w:val="22"/>
          <w:szCs w:val="22"/>
        </w:rPr>
        <w:t>A</w:t>
      </w:r>
      <w:r w:rsidR="007B2EDF">
        <w:rPr>
          <w:rFonts w:ascii="Arial" w:hAnsi="Arial" w:cs="Arial"/>
          <w:color w:val="000000"/>
          <w:sz w:val="22"/>
          <w:szCs w:val="22"/>
        </w:rPr>
        <w:t>n</w:t>
      </w:r>
      <w:r w:rsidRPr="005E6149">
        <w:rPr>
          <w:rFonts w:ascii="Arial" w:hAnsi="Arial" w:cs="Arial"/>
          <w:color w:val="000000"/>
          <w:sz w:val="22"/>
          <w:szCs w:val="22"/>
        </w:rPr>
        <w:t xml:space="preserve"> assessment of the literature was undertaken to identify any definitive studies that would inform and quantify whether a cost differential exists in the treatment of Indigenous patients compared to </w:t>
      </w:r>
      <w:r w:rsidR="00F618BE">
        <w:rPr>
          <w:rFonts w:ascii="Arial" w:hAnsi="Arial" w:cs="Arial"/>
          <w:color w:val="000000"/>
          <w:sz w:val="22"/>
          <w:szCs w:val="22"/>
        </w:rPr>
        <w:t>n</w:t>
      </w:r>
      <w:r w:rsidRPr="005E6149">
        <w:rPr>
          <w:rFonts w:ascii="Arial" w:hAnsi="Arial" w:cs="Arial"/>
          <w:color w:val="000000"/>
          <w:sz w:val="22"/>
          <w:szCs w:val="22"/>
        </w:rPr>
        <w:t>on-Indigenous patients in hospital settings</w:t>
      </w:r>
      <w:r>
        <w:rPr>
          <w:rFonts w:ascii="Arial" w:hAnsi="Arial" w:cs="Arial"/>
          <w:color w:val="000000"/>
          <w:sz w:val="22"/>
          <w:szCs w:val="22"/>
        </w:rPr>
        <w:t xml:space="preserve">. </w:t>
      </w:r>
      <w:r w:rsidRPr="005E6149">
        <w:rPr>
          <w:rFonts w:ascii="Arial" w:hAnsi="Arial" w:cs="Arial"/>
          <w:color w:val="000000"/>
          <w:sz w:val="22"/>
          <w:szCs w:val="22"/>
        </w:rPr>
        <w:t>The review of the evidence base was also structured to identify potential cost drivers or factors that influence potential cost differences, with the objective of testing this on the Round 16</w:t>
      </w:r>
      <w:r w:rsidR="00F05FED">
        <w:rPr>
          <w:rFonts w:ascii="Arial" w:hAnsi="Arial" w:cs="Arial"/>
          <w:color w:val="000000"/>
          <w:sz w:val="22"/>
          <w:szCs w:val="22"/>
        </w:rPr>
        <w:t xml:space="preserve"> (financial year 2011-12)</w:t>
      </w:r>
      <w:r w:rsidRPr="005E6149">
        <w:rPr>
          <w:rFonts w:ascii="Arial" w:hAnsi="Arial" w:cs="Arial"/>
          <w:color w:val="000000"/>
          <w:sz w:val="22"/>
          <w:szCs w:val="22"/>
        </w:rPr>
        <w:t xml:space="preserve"> and Round 17 </w:t>
      </w:r>
      <w:r w:rsidR="00F05FED">
        <w:rPr>
          <w:rFonts w:ascii="Arial" w:hAnsi="Arial" w:cs="Arial"/>
          <w:color w:val="000000"/>
          <w:sz w:val="22"/>
          <w:szCs w:val="22"/>
        </w:rPr>
        <w:t xml:space="preserve">(Financial year 2012-13) </w:t>
      </w:r>
      <w:r w:rsidRPr="005E6149">
        <w:rPr>
          <w:rFonts w:ascii="Arial" w:hAnsi="Arial" w:cs="Arial"/>
          <w:color w:val="000000"/>
          <w:sz w:val="22"/>
          <w:szCs w:val="22"/>
        </w:rPr>
        <w:t>NHCDC datasets.</w:t>
      </w:r>
    </w:p>
    <w:p w:rsidR="008D005B" w:rsidRPr="005E6149" w:rsidRDefault="008D005B" w:rsidP="008D005B">
      <w:pPr>
        <w:spacing w:before="120" w:after="120"/>
        <w:rPr>
          <w:rFonts w:ascii="Arial" w:hAnsi="Arial" w:cs="Arial"/>
          <w:color w:val="000000"/>
          <w:sz w:val="22"/>
          <w:szCs w:val="22"/>
        </w:rPr>
      </w:pPr>
      <w:r w:rsidRPr="005E6149">
        <w:rPr>
          <w:rFonts w:ascii="Arial" w:hAnsi="Arial" w:cs="Arial"/>
          <w:color w:val="000000"/>
          <w:sz w:val="22"/>
          <w:szCs w:val="22"/>
        </w:rPr>
        <w:t>The second phase of work involved engagement with jurisdictions and nominated hospitals to:</w:t>
      </w:r>
    </w:p>
    <w:p w:rsidR="008D005B" w:rsidRPr="005E6149" w:rsidRDefault="008E1095" w:rsidP="00E86862">
      <w:pPr>
        <w:pStyle w:val="ListParagraph"/>
        <w:numPr>
          <w:ilvl w:val="0"/>
          <w:numId w:val="40"/>
        </w:numPr>
        <w:spacing w:before="120" w:after="120"/>
        <w:rPr>
          <w:rFonts w:ascii="Arial" w:hAnsi="Arial" w:cs="Arial"/>
          <w:color w:val="000000"/>
          <w:sz w:val="22"/>
          <w:szCs w:val="22"/>
        </w:rPr>
      </w:pPr>
      <w:r>
        <w:rPr>
          <w:rFonts w:ascii="Arial" w:hAnsi="Arial" w:cs="Arial"/>
          <w:color w:val="000000"/>
          <w:sz w:val="22"/>
          <w:szCs w:val="22"/>
        </w:rPr>
        <w:t>I</w:t>
      </w:r>
      <w:r w:rsidR="008D005B" w:rsidRPr="005E6149">
        <w:rPr>
          <w:rFonts w:ascii="Arial" w:hAnsi="Arial" w:cs="Arial"/>
          <w:color w:val="000000"/>
          <w:sz w:val="22"/>
          <w:szCs w:val="22"/>
        </w:rPr>
        <w:t xml:space="preserve">dentify cost </w:t>
      </w:r>
      <w:proofErr w:type="spellStart"/>
      <w:r w:rsidR="008D005B" w:rsidRPr="005E6149">
        <w:rPr>
          <w:rFonts w:ascii="Arial" w:hAnsi="Arial" w:cs="Arial"/>
          <w:color w:val="000000"/>
          <w:sz w:val="22"/>
          <w:szCs w:val="22"/>
        </w:rPr>
        <w:t>centres</w:t>
      </w:r>
      <w:proofErr w:type="spellEnd"/>
      <w:r w:rsidR="008D005B" w:rsidRPr="005E6149">
        <w:rPr>
          <w:rFonts w:ascii="Arial" w:hAnsi="Arial" w:cs="Arial"/>
          <w:color w:val="000000"/>
          <w:sz w:val="22"/>
          <w:szCs w:val="22"/>
        </w:rPr>
        <w:t xml:space="preserve"> that record costs incurred solely in the course of providing services to Indigenous patients</w:t>
      </w:r>
      <w:r w:rsidR="007B2EDF">
        <w:rPr>
          <w:rFonts w:ascii="Arial" w:hAnsi="Arial" w:cs="Arial"/>
          <w:color w:val="000000"/>
          <w:sz w:val="22"/>
          <w:szCs w:val="22"/>
        </w:rPr>
        <w:t>;</w:t>
      </w:r>
    </w:p>
    <w:p w:rsidR="008D005B" w:rsidRPr="005E6149" w:rsidRDefault="008E1095" w:rsidP="00E86862">
      <w:pPr>
        <w:pStyle w:val="ListParagraph"/>
        <w:numPr>
          <w:ilvl w:val="0"/>
          <w:numId w:val="40"/>
        </w:numPr>
        <w:spacing w:before="120" w:after="120"/>
        <w:rPr>
          <w:rFonts w:ascii="Arial" w:hAnsi="Arial" w:cs="Arial"/>
          <w:color w:val="000000"/>
          <w:sz w:val="22"/>
          <w:szCs w:val="22"/>
        </w:rPr>
      </w:pPr>
      <w:r>
        <w:rPr>
          <w:rFonts w:ascii="Arial" w:hAnsi="Arial" w:cs="Arial"/>
          <w:color w:val="000000"/>
          <w:sz w:val="22"/>
          <w:szCs w:val="22"/>
        </w:rPr>
        <w:t>I</w:t>
      </w:r>
      <w:r w:rsidR="008D005B" w:rsidRPr="005E6149">
        <w:rPr>
          <w:rFonts w:ascii="Arial" w:hAnsi="Arial" w:cs="Arial"/>
          <w:color w:val="000000"/>
          <w:sz w:val="22"/>
          <w:szCs w:val="22"/>
        </w:rPr>
        <w:t>dentify whether the costs are reported to the NHCDC;</w:t>
      </w:r>
    </w:p>
    <w:p w:rsidR="008D005B" w:rsidRPr="005E6149" w:rsidRDefault="008E1095" w:rsidP="00E86862">
      <w:pPr>
        <w:pStyle w:val="ListParagraph"/>
        <w:numPr>
          <w:ilvl w:val="0"/>
          <w:numId w:val="40"/>
        </w:numPr>
        <w:spacing w:before="120" w:after="120"/>
        <w:rPr>
          <w:rFonts w:ascii="Arial" w:hAnsi="Arial" w:cs="Arial"/>
          <w:color w:val="000000"/>
          <w:sz w:val="22"/>
          <w:szCs w:val="22"/>
        </w:rPr>
      </w:pPr>
      <w:r>
        <w:rPr>
          <w:rFonts w:ascii="Arial" w:hAnsi="Arial" w:cs="Arial"/>
          <w:color w:val="000000"/>
          <w:sz w:val="22"/>
          <w:szCs w:val="22"/>
        </w:rPr>
        <w:t>I</w:t>
      </w:r>
      <w:r w:rsidR="008D005B" w:rsidRPr="005E6149">
        <w:rPr>
          <w:rFonts w:ascii="Arial" w:hAnsi="Arial" w:cs="Arial"/>
          <w:color w:val="000000"/>
          <w:sz w:val="22"/>
          <w:szCs w:val="22"/>
        </w:rPr>
        <w:t>dentify whether the associated activity is reported to the NHCDC</w:t>
      </w:r>
      <w:r w:rsidR="007B2EDF">
        <w:rPr>
          <w:rFonts w:ascii="Arial" w:hAnsi="Arial" w:cs="Arial"/>
          <w:color w:val="000000"/>
          <w:sz w:val="22"/>
          <w:szCs w:val="22"/>
        </w:rPr>
        <w:t>; and</w:t>
      </w:r>
    </w:p>
    <w:p w:rsidR="008D005B" w:rsidRPr="005E6149" w:rsidRDefault="008E1095" w:rsidP="00E86862">
      <w:pPr>
        <w:pStyle w:val="ListParagraph"/>
        <w:numPr>
          <w:ilvl w:val="0"/>
          <w:numId w:val="40"/>
        </w:numPr>
        <w:spacing w:before="120" w:after="120"/>
        <w:rPr>
          <w:rFonts w:ascii="Arial" w:hAnsi="Arial" w:cs="Arial"/>
          <w:color w:val="000000"/>
          <w:sz w:val="22"/>
          <w:szCs w:val="22"/>
        </w:rPr>
      </w:pPr>
      <w:r>
        <w:rPr>
          <w:rFonts w:ascii="Arial" w:hAnsi="Arial" w:cs="Arial"/>
          <w:color w:val="000000"/>
          <w:sz w:val="22"/>
          <w:szCs w:val="22"/>
        </w:rPr>
        <w:t>I</w:t>
      </w:r>
      <w:r w:rsidR="008D005B" w:rsidRPr="005E6149">
        <w:rPr>
          <w:rFonts w:ascii="Arial" w:hAnsi="Arial" w:cs="Arial"/>
          <w:color w:val="000000"/>
          <w:sz w:val="22"/>
          <w:szCs w:val="22"/>
        </w:rPr>
        <w:t>dentify how the cost</w:t>
      </w:r>
      <w:r>
        <w:rPr>
          <w:rFonts w:ascii="Arial" w:hAnsi="Arial" w:cs="Arial"/>
          <w:color w:val="000000"/>
          <w:sz w:val="22"/>
          <w:szCs w:val="22"/>
        </w:rPr>
        <w:t>s</w:t>
      </w:r>
      <w:r w:rsidR="008D005B" w:rsidRPr="005E6149">
        <w:rPr>
          <w:rFonts w:ascii="Arial" w:hAnsi="Arial" w:cs="Arial"/>
          <w:color w:val="000000"/>
          <w:sz w:val="22"/>
          <w:szCs w:val="22"/>
        </w:rPr>
        <w:t xml:space="preserve"> are distributed to patients.</w:t>
      </w:r>
    </w:p>
    <w:p w:rsidR="008D005B" w:rsidRPr="005E6149" w:rsidRDefault="008D005B" w:rsidP="008D005B">
      <w:pPr>
        <w:spacing w:before="120" w:after="120"/>
        <w:rPr>
          <w:rFonts w:ascii="Arial" w:hAnsi="Arial" w:cs="Arial"/>
          <w:sz w:val="22"/>
          <w:szCs w:val="22"/>
        </w:rPr>
      </w:pPr>
      <w:r w:rsidRPr="005E6149">
        <w:rPr>
          <w:rFonts w:ascii="Arial" w:hAnsi="Arial" w:cs="Arial"/>
          <w:sz w:val="22"/>
          <w:szCs w:val="22"/>
        </w:rPr>
        <w:t xml:space="preserve">Further, if appropriate, the investigation was to consider the impact of alternate costing methodologies for these cost </w:t>
      </w:r>
      <w:proofErr w:type="spellStart"/>
      <w:r w:rsidRPr="005E6149">
        <w:rPr>
          <w:rFonts w:ascii="Arial" w:hAnsi="Arial" w:cs="Arial"/>
          <w:sz w:val="22"/>
          <w:szCs w:val="22"/>
        </w:rPr>
        <w:t>centres</w:t>
      </w:r>
      <w:proofErr w:type="spellEnd"/>
      <w:r w:rsidRPr="005E6149">
        <w:rPr>
          <w:rFonts w:ascii="Arial" w:hAnsi="Arial" w:cs="Arial"/>
          <w:sz w:val="22"/>
          <w:szCs w:val="22"/>
        </w:rPr>
        <w:t xml:space="preserve"> and the resultant distribution of costs to Indigenous patients.</w:t>
      </w:r>
    </w:p>
    <w:p w:rsidR="008D005B" w:rsidRPr="005E6149" w:rsidRDefault="008D005B" w:rsidP="008D005B">
      <w:pPr>
        <w:spacing w:before="120" w:after="120"/>
        <w:rPr>
          <w:rFonts w:ascii="Arial" w:hAnsi="Arial" w:cs="Arial"/>
          <w:sz w:val="22"/>
          <w:szCs w:val="22"/>
        </w:rPr>
      </w:pPr>
      <w:r w:rsidRPr="005E6149">
        <w:rPr>
          <w:rFonts w:ascii="Arial" w:hAnsi="Arial" w:cs="Arial"/>
          <w:sz w:val="22"/>
          <w:szCs w:val="22"/>
        </w:rPr>
        <w:t xml:space="preserve">The third phase of the study </w:t>
      </w:r>
      <w:r w:rsidR="008E1095">
        <w:rPr>
          <w:rFonts w:ascii="Arial" w:hAnsi="Arial" w:cs="Arial"/>
          <w:sz w:val="22"/>
          <w:szCs w:val="22"/>
        </w:rPr>
        <w:t>involved engagement</w:t>
      </w:r>
      <w:r w:rsidRPr="005E6149">
        <w:rPr>
          <w:rFonts w:ascii="Arial" w:hAnsi="Arial" w:cs="Arial"/>
          <w:sz w:val="22"/>
          <w:szCs w:val="22"/>
        </w:rPr>
        <w:t xml:space="preserve"> with clinicians, hospital administrators and jurisdiction</w:t>
      </w:r>
      <w:r w:rsidR="007B2EDF">
        <w:rPr>
          <w:rFonts w:ascii="Arial" w:hAnsi="Arial" w:cs="Arial"/>
          <w:sz w:val="22"/>
          <w:szCs w:val="22"/>
        </w:rPr>
        <w:t>s</w:t>
      </w:r>
      <w:r w:rsidRPr="005E6149">
        <w:rPr>
          <w:rFonts w:ascii="Arial" w:hAnsi="Arial" w:cs="Arial"/>
          <w:sz w:val="22"/>
          <w:szCs w:val="22"/>
        </w:rPr>
        <w:t xml:space="preserve"> to identify what</w:t>
      </w:r>
      <w:r w:rsidR="007B2EDF">
        <w:rPr>
          <w:rFonts w:ascii="Arial" w:hAnsi="Arial" w:cs="Arial"/>
          <w:sz w:val="22"/>
          <w:szCs w:val="22"/>
        </w:rPr>
        <w:t xml:space="preserve"> may</w:t>
      </w:r>
      <w:r w:rsidRPr="005E6149">
        <w:rPr>
          <w:rFonts w:ascii="Arial" w:hAnsi="Arial" w:cs="Arial"/>
          <w:sz w:val="22"/>
          <w:szCs w:val="22"/>
        </w:rPr>
        <w:t xml:space="preserve"> cause a differential to occur in the cost profiles of </w:t>
      </w:r>
      <w:r w:rsidRPr="005E6149">
        <w:rPr>
          <w:rFonts w:ascii="Arial" w:hAnsi="Arial" w:cs="Arial"/>
          <w:sz w:val="22"/>
          <w:szCs w:val="22"/>
        </w:rPr>
        <w:lastRenderedPageBreak/>
        <w:t xml:space="preserve">Indigenous patients compared to </w:t>
      </w:r>
      <w:r w:rsidR="007B2EDF">
        <w:rPr>
          <w:rFonts w:ascii="Arial" w:hAnsi="Arial" w:cs="Arial"/>
          <w:sz w:val="22"/>
          <w:szCs w:val="22"/>
        </w:rPr>
        <w:t>non-Indigenous patients</w:t>
      </w:r>
      <w:r>
        <w:rPr>
          <w:rFonts w:ascii="Arial" w:hAnsi="Arial" w:cs="Arial"/>
          <w:sz w:val="22"/>
          <w:szCs w:val="22"/>
        </w:rPr>
        <w:t xml:space="preserve">. </w:t>
      </w:r>
      <w:r w:rsidRPr="005E6149">
        <w:rPr>
          <w:rFonts w:ascii="Arial" w:hAnsi="Arial" w:cs="Arial"/>
          <w:sz w:val="22"/>
          <w:szCs w:val="22"/>
        </w:rPr>
        <w:t>Input was sought through survey methods, as well as face-to-face and telephone based interviews.</w:t>
      </w:r>
    </w:p>
    <w:p w:rsidR="008D005B" w:rsidRPr="005E6149" w:rsidRDefault="007B2EDF" w:rsidP="008D005B">
      <w:pPr>
        <w:spacing w:before="120" w:after="120"/>
        <w:rPr>
          <w:rFonts w:ascii="Arial" w:hAnsi="Arial" w:cs="Arial"/>
          <w:sz w:val="22"/>
          <w:szCs w:val="22"/>
        </w:rPr>
      </w:pPr>
      <w:r>
        <w:rPr>
          <w:rFonts w:ascii="Arial" w:hAnsi="Arial" w:cs="Arial"/>
          <w:sz w:val="22"/>
          <w:szCs w:val="22"/>
        </w:rPr>
        <w:t xml:space="preserve">In addition </w:t>
      </w:r>
      <w:r w:rsidR="008D005B" w:rsidRPr="005E6149">
        <w:rPr>
          <w:rFonts w:ascii="Arial" w:hAnsi="Arial" w:cs="Arial"/>
          <w:sz w:val="22"/>
          <w:szCs w:val="22"/>
        </w:rPr>
        <w:t xml:space="preserve">Round 16 and Round 17 </w:t>
      </w:r>
      <w:r w:rsidR="00190E37">
        <w:rPr>
          <w:rFonts w:ascii="Arial" w:hAnsi="Arial" w:cs="Arial"/>
          <w:sz w:val="22"/>
          <w:szCs w:val="22"/>
        </w:rPr>
        <w:t xml:space="preserve">of the NHCDC </w:t>
      </w:r>
      <w:r w:rsidR="008D005B" w:rsidRPr="005E6149">
        <w:rPr>
          <w:rFonts w:ascii="Arial" w:hAnsi="Arial" w:cs="Arial"/>
          <w:sz w:val="22"/>
          <w:szCs w:val="22"/>
        </w:rPr>
        <w:t xml:space="preserve">datasets </w:t>
      </w:r>
      <w:r w:rsidR="008E1095" w:rsidRPr="005E6149">
        <w:rPr>
          <w:rFonts w:ascii="Arial" w:hAnsi="Arial" w:cs="Arial"/>
          <w:sz w:val="22"/>
          <w:szCs w:val="22"/>
        </w:rPr>
        <w:t>w</w:t>
      </w:r>
      <w:r w:rsidR="008E1095">
        <w:rPr>
          <w:rFonts w:ascii="Arial" w:hAnsi="Arial" w:cs="Arial"/>
          <w:sz w:val="22"/>
          <w:szCs w:val="22"/>
        </w:rPr>
        <w:t>as</w:t>
      </w:r>
      <w:r w:rsidR="008E1095" w:rsidRPr="005E6149">
        <w:rPr>
          <w:rFonts w:ascii="Arial" w:hAnsi="Arial" w:cs="Arial"/>
          <w:sz w:val="22"/>
          <w:szCs w:val="22"/>
        </w:rPr>
        <w:t xml:space="preserve"> </w:t>
      </w:r>
      <w:proofErr w:type="spellStart"/>
      <w:r w:rsidR="008D005B" w:rsidRPr="005E6149">
        <w:rPr>
          <w:rFonts w:ascii="Arial" w:hAnsi="Arial" w:cs="Arial"/>
          <w:sz w:val="22"/>
          <w:szCs w:val="22"/>
        </w:rPr>
        <w:t>analysed</w:t>
      </w:r>
      <w:proofErr w:type="spellEnd"/>
      <w:r w:rsidR="008D005B" w:rsidRPr="005E6149">
        <w:rPr>
          <w:rFonts w:ascii="Arial" w:hAnsi="Arial" w:cs="Arial"/>
          <w:sz w:val="22"/>
          <w:szCs w:val="22"/>
        </w:rPr>
        <w:t xml:space="preserve"> to address whether:</w:t>
      </w:r>
    </w:p>
    <w:p w:rsidR="008D005B" w:rsidRPr="005E6149" w:rsidRDefault="00B30939" w:rsidP="00E86862">
      <w:pPr>
        <w:pStyle w:val="ListParagraph"/>
        <w:numPr>
          <w:ilvl w:val="0"/>
          <w:numId w:val="41"/>
        </w:numPr>
        <w:spacing w:before="120" w:after="120"/>
        <w:rPr>
          <w:rFonts w:ascii="Arial" w:hAnsi="Arial" w:cs="Arial"/>
          <w:sz w:val="22"/>
          <w:szCs w:val="22"/>
        </w:rPr>
      </w:pPr>
      <w:r>
        <w:rPr>
          <w:rFonts w:ascii="Arial" w:hAnsi="Arial" w:cs="Arial"/>
          <w:sz w:val="22"/>
          <w:szCs w:val="22"/>
        </w:rPr>
        <w:t>D</w:t>
      </w:r>
      <w:r w:rsidR="008D005B" w:rsidRPr="005E6149">
        <w:rPr>
          <w:rFonts w:ascii="Arial" w:hAnsi="Arial" w:cs="Arial"/>
          <w:sz w:val="22"/>
          <w:szCs w:val="22"/>
        </w:rPr>
        <w:t xml:space="preserve">ata exists to support the nomination of potential cost drivers that explain cost differentials that may occur between Indigenous and </w:t>
      </w:r>
      <w:r w:rsidR="00F618BE">
        <w:rPr>
          <w:rFonts w:ascii="Arial" w:hAnsi="Arial" w:cs="Arial"/>
          <w:sz w:val="22"/>
          <w:szCs w:val="22"/>
        </w:rPr>
        <w:t>n</w:t>
      </w:r>
      <w:r w:rsidR="008D005B" w:rsidRPr="005E6149">
        <w:rPr>
          <w:rFonts w:ascii="Arial" w:hAnsi="Arial" w:cs="Arial"/>
          <w:sz w:val="22"/>
          <w:szCs w:val="22"/>
        </w:rPr>
        <w:t>on-Indigenous patients</w:t>
      </w:r>
      <w:r w:rsidR="007B2EDF">
        <w:rPr>
          <w:rFonts w:ascii="Arial" w:hAnsi="Arial" w:cs="Arial"/>
          <w:sz w:val="22"/>
          <w:szCs w:val="22"/>
        </w:rPr>
        <w:t>;</w:t>
      </w:r>
    </w:p>
    <w:p w:rsidR="008D005B" w:rsidRPr="005E6149" w:rsidRDefault="00190E37" w:rsidP="00E86862">
      <w:pPr>
        <w:pStyle w:val="ListParagraph"/>
        <w:numPr>
          <w:ilvl w:val="0"/>
          <w:numId w:val="41"/>
        </w:numPr>
        <w:spacing w:before="120" w:after="120"/>
        <w:rPr>
          <w:rFonts w:ascii="Arial" w:hAnsi="Arial" w:cs="Arial"/>
          <w:sz w:val="22"/>
          <w:szCs w:val="22"/>
        </w:rPr>
      </w:pPr>
      <w:r>
        <w:rPr>
          <w:rFonts w:ascii="Arial" w:hAnsi="Arial" w:cs="Arial"/>
          <w:sz w:val="22"/>
          <w:szCs w:val="22"/>
        </w:rPr>
        <w:t>T</w:t>
      </w:r>
      <w:r w:rsidR="008D005B" w:rsidRPr="005E6149">
        <w:rPr>
          <w:rFonts w:ascii="Arial" w:hAnsi="Arial" w:cs="Arial"/>
          <w:sz w:val="22"/>
          <w:szCs w:val="22"/>
        </w:rPr>
        <w:t>hese cost drivers are similar to the ones identified in the literature and during the stakeholder consultations</w:t>
      </w:r>
      <w:r w:rsidR="007B2EDF">
        <w:rPr>
          <w:rFonts w:ascii="Arial" w:hAnsi="Arial" w:cs="Arial"/>
          <w:sz w:val="22"/>
          <w:szCs w:val="22"/>
        </w:rPr>
        <w:t>; and</w:t>
      </w:r>
    </w:p>
    <w:p w:rsidR="008D005B" w:rsidRPr="005E6149" w:rsidRDefault="00190E37" w:rsidP="00E86862">
      <w:pPr>
        <w:pStyle w:val="ListParagraph"/>
        <w:numPr>
          <w:ilvl w:val="0"/>
          <w:numId w:val="41"/>
        </w:numPr>
        <w:spacing w:before="120" w:after="120"/>
        <w:rPr>
          <w:rFonts w:ascii="Arial" w:hAnsi="Arial" w:cs="Arial"/>
          <w:sz w:val="22"/>
          <w:szCs w:val="22"/>
        </w:rPr>
      </w:pPr>
      <w:r>
        <w:rPr>
          <w:rFonts w:ascii="Arial" w:hAnsi="Arial" w:cs="Arial"/>
          <w:sz w:val="22"/>
          <w:szCs w:val="22"/>
        </w:rPr>
        <w:t>T</w:t>
      </w:r>
      <w:r w:rsidR="008D005B" w:rsidRPr="005E6149">
        <w:rPr>
          <w:rFonts w:ascii="Arial" w:hAnsi="Arial" w:cs="Arial"/>
          <w:sz w:val="22"/>
          <w:szCs w:val="22"/>
        </w:rPr>
        <w:t xml:space="preserve">he datasets are robust enough to quantify </w:t>
      </w:r>
      <w:r>
        <w:rPr>
          <w:rFonts w:ascii="Arial" w:hAnsi="Arial" w:cs="Arial"/>
          <w:sz w:val="22"/>
          <w:szCs w:val="22"/>
        </w:rPr>
        <w:t xml:space="preserve">any </w:t>
      </w:r>
      <w:r w:rsidR="008D005B" w:rsidRPr="005E6149">
        <w:rPr>
          <w:rFonts w:ascii="Arial" w:hAnsi="Arial" w:cs="Arial"/>
          <w:sz w:val="22"/>
          <w:szCs w:val="22"/>
        </w:rPr>
        <w:t>differential.</w:t>
      </w:r>
    </w:p>
    <w:p w:rsidR="008D005B" w:rsidRPr="005E6149" w:rsidRDefault="008D005B" w:rsidP="008D005B">
      <w:pPr>
        <w:pStyle w:val="Heading2"/>
        <w:keepLines w:val="0"/>
        <w:tabs>
          <w:tab w:val="left" w:pos="851"/>
        </w:tabs>
        <w:spacing w:before="360" w:after="240"/>
        <w:ind w:left="851" w:hanging="851"/>
        <w:rPr>
          <w:rFonts w:ascii="Arial" w:hAnsi="Arial" w:cs="Arial"/>
          <w:color w:val="548DD4" w:themeColor="text2" w:themeTint="99"/>
        </w:rPr>
      </w:pPr>
      <w:r w:rsidRPr="005E6149">
        <w:rPr>
          <w:rFonts w:ascii="Arial" w:hAnsi="Arial" w:cs="Arial"/>
          <w:color w:val="548DD4" w:themeColor="text2" w:themeTint="99"/>
        </w:rPr>
        <w:t>Data Sources</w:t>
      </w:r>
    </w:p>
    <w:p w:rsidR="008D005B" w:rsidRPr="005E6149" w:rsidRDefault="008D005B" w:rsidP="008D005B">
      <w:pPr>
        <w:spacing w:before="120" w:after="120"/>
        <w:rPr>
          <w:rFonts w:ascii="Arial" w:hAnsi="Arial" w:cs="Arial"/>
          <w:sz w:val="22"/>
          <w:szCs w:val="22"/>
        </w:rPr>
      </w:pPr>
      <w:r w:rsidRPr="005E6149">
        <w:rPr>
          <w:rFonts w:ascii="Arial" w:hAnsi="Arial" w:cs="Arial"/>
          <w:sz w:val="22"/>
          <w:szCs w:val="22"/>
        </w:rPr>
        <w:t>NHCDC</w:t>
      </w:r>
      <w:r w:rsidR="005375B2">
        <w:rPr>
          <w:rFonts w:ascii="Arial" w:hAnsi="Arial" w:cs="Arial"/>
          <w:sz w:val="22"/>
          <w:szCs w:val="22"/>
        </w:rPr>
        <w:t xml:space="preserve"> data</w:t>
      </w:r>
      <w:r w:rsidRPr="005E6149">
        <w:rPr>
          <w:rFonts w:ascii="Arial" w:hAnsi="Arial" w:cs="Arial"/>
          <w:sz w:val="22"/>
          <w:szCs w:val="22"/>
        </w:rPr>
        <w:t xml:space="preserve"> for both Round 16 (2011</w:t>
      </w:r>
      <w:r w:rsidR="0092593E">
        <w:rPr>
          <w:rFonts w:ascii="Arial" w:hAnsi="Arial" w:cs="Arial"/>
          <w:sz w:val="22"/>
          <w:szCs w:val="22"/>
        </w:rPr>
        <w:t>-</w:t>
      </w:r>
      <w:r w:rsidRPr="005E6149">
        <w:rPr>
          <w:rFonts w:ascii="Arial" w:hAnsi="Arial" w:cs="Arial"/>
          <w:sz w:val="22"/>
          <w:szCs w:val="22"/>
        </w:rPr>
        <w:t>12) and Round 17 (2012</w:t>
      </w:r>
      <w:r w:rsidR="0092593E">
        <w:rPr>
          <w:rFonts w:ascii="Arial" w:hAnsi="Arial" w:cs="Arial"/>
          <w:sz w:val="22"/>
          <w:szCs w:val="22"/>
        </w:rPr>
        <w:t>-13</w:t>
      </w:r>
      <w:r w:rsidRPr="005E6149">
        <w:rPr>
          <w:rFonts w:ascii="Arial" w:hAnsi="Arial" w:cs="Arial"/>
          <w:sz w:val="22"/>
          <w:szCs w:val="22"/>
        </w:rPr>
        <w:t xml:space="preserve">) </w:t>
      </w:r>
      <w:r w:rsidR="00C733B3">
        <w:rPr>
          <w:rFonts w:ascii="Arial" w:hAnsi="Arial" w:cs="Arial"/>
          <w:sz w:val="22"/>
          <w:szCs w:val="22"/>
        </w:rPr>
        <w:t>was</w:t>
      </w:r>
      <w:r w:rsidR="00C733B3" w:rsidRPr="005E6149">
        <w:rPr>
          <w:rFonts w:ascii="Arial" w:hAnsi="Arial" w:cs="Arial"/>
          <w:sz w:val="22"/>
          <w:szCs w:val="22"/>
        </w:rPr>
        <w:t xml:space="preserve"> </w:t>
      </w:r>
      <w:r w:rsidR="005375B2">
        <w:rPr>
          <w:rFonts w:ascii="Arial" w:hAnsi="Arial" w:cs="Arial"/>
          <w:sz w:val="22"/>
          <w:szCs w:val="22"/>
        </w:rPr>
        <w:t>used in the preparation of this report</w:t>
      </w:r>
      <w:r>
        <w:rPr>
          <w:rFonts w:ascii="Arial" w:hAnsi="Arial" w:cs="Arial"/>
          <w:sz w:val="22"/>
          <w:szCs w:val="22"/>
        </w:rPr>
        <w:t xml:space="preserve">. </w:t>
      </w:r>
      <w:r w:rsidRPr="005E6149">
        <w:rPr>
          <w:rFonts w:ascii="Arial" w:hAnsi="Arial" w:cs="Arial"/>
          <w:sz w:val="22"/>
          <w:szCs w:val="22"/>
        </w:rPr>
        <w:t xml:space="preserve">The datasets covered costing data for admitted services (acute and </w:t>
      </w:r>
      <w:proofErr w:type="spellStart"/>
      <w:r w:rsidR="00190E37">
        <w:rPr>
          <w:rFonts w:ascii="Arial" w:hAnsi="Arial" w:cs="Arial"/>
          <w:sz w:val="22"/>
          <w:szCs w:val="22"/>
        </w:rPr>
        <w:t>subacute</w:t>
      </w:r>
      <w:proofErr w:type="spellEnd"/>
      <w:r w:rsidRPr="005E6149">
        <w:rPr>
          <w:rFonts w:ascii="Arial" w:hAnsi="Arial" w:cs="Arial"/>
          <w:sz w:val="22"/>
          <w:szCs w:val="22"/>
        </w:rPr>
        <w:t>), emergency department services and non-admitted services.</w:t>
      </w:r>
    </w:p>
    <w:p w:rsidR="008D005B" w:rsidRDefault="008D005B" w:rsidP="008D005B">
      <w:pPr>
        <w:spacing w:before="120" w:after="120"/>
        <w:rPr>
          <w:rFonts w:ascii="Arial" w:hAnsi="Arial" w:cs="Arial"/>
          <w:sz w:val="22"/>
          <w:szCs w:val="22"/>
        </w:rPr>
      </w:pPr>
      <w:r w:rsidRPr="005E6149">
        <w:rPr>
          <w:rFonts w:ascii="Arial" w:hAnsi="Arial" w:cs="Arial"/>
          <w:sz w:val="22"/>
          <w:szCs w:val="22"/>
        </w:rPr>
        <w:t xml:space="preserve">Statistical analyses were </w:t>
      </w:r>
      <w:r w:rsidR="00223B11">
        <w:rPr>
          <w:rFonts w:ascii="Arial" w:hAnsi="Arial" w:cs="Arial"/>
          <w:sz w:val="22"/>
          <w:szCs w:val="22"/>
        </w:rPr>
        <w:t>performed using</w:t>
      </w:r>
      <w:r w:rsidRPr="005E6149">
        <w:rPr>
          <w:rFonts w:ascii="Arial" w:hAnsi="Arial" w:cs="Arial"/>
          <w:sz w:val="22"/>
          <w:szCs w:val="22"/>
        </w:rPr>
        <w:t xml:space="preserve"> the </w:t>
      </w:r>
      <w:r w:rsidR="00223B11">
        <w:rPr>
          <w:rFonts w:ascii="Arial" w:hAnsi="Arial" w:cs="Arial"/>
          <w:sz w:val="22"/>
          <w:szCs w:val="22"/>
        </w:rPr>
        <w:t>Statistical Analysis System (</w:t>
      </w:r>
      <w:r w:rsidRPr="005E6149">
        <w:rPr>
          <w:rFonts w:ascii="Arial" w:hAnsi="Arial" w:cs="Arial"/>
          <w:sz w:val="22"/>
          <w:szCs w:val="22"/>
        </w:rPr>
        <w:t>SAS</w:t>
      </w:r>
      <w:r w:rsidR="00223B11">
        <w:rPr>
          <w:rFonts w:ascii="Arial" w:hAnsi="Arial" w:cs="Arial"/>
          <w:sz w:val="22"/>
          <w:szCs w:val="22"/>
        </w:rPr>
        <w:t>)</w:t>
      </w:r>
      <w:r w:rsidRPr="005E6149">
        <w:rPr>
          <w:rFonts w:ascii="Arial" w:hAnsi="Arial" w:cs="Arial"/>
          <w:sz w:val="22"/>
          <w:szCs w:val="22"/>
        </w:rPr>
        <w:t xml:space="preserve"> application</w:t>
      </w:r>
      <w:r w:rsidR="00C733B3">
        <w:rPr>
          <w:rFonts w:ascii="Arial" w:hAnsi="Arial" w:cs="Arial"/>
          <w:sz w:val="22"/>
          <w:szCs w:val="22"/>
        </w:rPr>
        <w:t>.</w:t>
      </w:r>
    </w:p>
    <w:p w:rsidR="007A7169" w:rsidRPr="00A46AE7" w:rsidRDefault="007A7169"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Data Quality</w:t>
      </w:r>
    </w:p>
    <w:p w:rsidR="007A7169" w:rsidRPr="005E6149" w:rsidRDefault="00190E37" w:rsidP="007A7169">
      <w:pPr>
        <w:spacing w:before="120" w:after="120"/>
        <w:rPr>
          <w:rFonts w:ascii="Arial" w:hAnsi="Arial" w:cs="Arial"/>
          <w:sz w:val="22"/>
          <w:szCs w:val="22"/>
        </w:rPr>
      </w:pPr>
      <w:r>
        <w:rPr>
          <w:rFonts w:ascii="Arial" w:hAnsi="Arial" w:cs="Arial"/>
          <w:sz w:val="22"/>
          <w:szCs w:val="22"/>
        </w:rPr>
        <w:t>Some data quality issues were identified which limit the use of NHCDC for the purpose of identify</w:t>
      </w:r>
      <w:r w:rsidR="00465E16">
        <w:rPr>
          <w:rFonts w:ascii="Arial" w:hAnsi="Arial" w:cs="Arial"/>
          <w:sz w:val="22"/>
          <w:szCs w:val="22"/>
        </w:rPr>
        <w:t>ing</w:t>
      </w:r>
      <w:r>
        <w:rPr>
          <w:rFonts w:ascii="Arial" w:hAnsi="Arial" w:cs="Arial"/>
          <w:sz w:val="22"/>
          <w:szCs w:val="22"/>
        </w:rPr>
        <w:t xml:space="preserve"> cost differences between</w:t>
      </w:r>
      <w:r w:rsidR="00F8373F">
        <w:rPr>
          <w:rFonts w:ascii="Arial" w:hAnsi="Arial" w:cs="Arial"/>
          <w:sz w:val="22"/>
          <w:szCs w:val="22"/>
        </w:rPr>
        <w:t xml:space="preserve"> </w:t>
      </w:r>
      <w:r>
        <w:rPr>
          <w:rFonts w:ascii="Arial" w:hAnsi="Arial" w:cs="Arial"/>
          <w:sz w:val="22"/>
          <w:szCs w:val="22"/>
        </w:rPr>
        <w:t>the patient groups.</w:t>
      </w:r>
    </w:p>
    <w:p w:rsidR="008D005B" w:rsidRPr="005E6149" w:rsidRDefault="008D005B" w:rsidP="008D005B">
      <w:pPr>
        <w:pStyle w:val="Heading2"/>
        <w:keepLines w:val="0"/>
        <w:tabs>
          <w:tab w:val="left" w:pos="851"/>
        </w:tabs>
        <w:spacing w:before="360" w:after="240"/>
        <w:ind w:left="851" w:hanging="851"/>
        <w:rPr>
          <w:rFonts w:ascii="Arial" w:hAnsi="Arial" w:cs="Arial"/>
          <w:color w:val="548DD4" w:themeColor="text2" w:themeTint="99"/>
        </w:rPr>
      </w:pPr>
      <w:r w:rsidRPr="005E6149">
        <w:rPr>
          <w:rFonts w:ascii="Arial" w:hAnsi="Arial" w:cs="Arial"/>
          <w:color w:val="548DD4" w:themeColor="text2" w:themeTint="99"/>
        </w:rPr>
        <w:t>Participation</w:t>
      </w:r>
    </w:p>
    <w:p w:rsidR="00D3740C" w:rsidRPr="00E715C1" w:rsidRDefault="008D005B" w:rsidP="00D3740C">
      <w:pPr>
        <w:spacing w:before="120" w:after="120"/>
      </w:pPr>
      <w:r w:rsidRPr="005E6149">
        <w:rPr>
          <w:rFonts w:ascii="Arial" w:hAnsi="Arial" w:cs="Arial"/>
          <w:sz w:val="22"/>
          <w:szCs w:val="22"/>
        </w:rPr>
        <w:t xml:space="preserve">IHPA </w:t>
      </w:r>
      <w:r w:rsidR="00B67BEC">
        <w:rPr>
          <w:rFonts w:ascii="Arial" w:hAnsi="Arial" w:cs="Arial"/>
          <w:sz w:val="22"/>
          <w:szCs w:val="22"/>
        </w:rPr>
        <w:t>invited</w:t>
      </w:r>
      <w:r w:rsidR="00B67BEC" w:rsidRPr="005E6149">
        <w:rPr>
          <w:rFonts w:ascii="Arial" w:hAnsi="Arial" w:cs="Arial"/>
          <w:sz w:val="22"/>
          <w:szCs w:val="22"/>
        </w:rPr>
        <w:t xml:space="preserve"> </w:t>
      </w:r>
      <w:r w:rsidRPr="005E6149">
        <w:rPr>
          <w:rFonts w:ascii="Arial" w:hAnsi="Arial" w:cs="Arial"/>
          <w:sz w:val="22"/>
          <w:szCs w:val="22"/>
        </w:rPr>
        <w:t>jurisdictions to participate in the study</w:t>
      </w:r>
      <w:r w:rsidR="0033363C">
        <w:rPr>
          <w:rFonts w:ascii="Arial" w:hAnsi="Arial" w:cs="Arial"/>
          <w:sz w:val="22"/>
          <w:szCs w:val="22"/>
        </w:rPr>
        <w:t xml:space="preserve"> and f</w:t>
      </w:r>
      <w:r w:rsidRPr="005E6149">
        <w:rPr>
          <w:rFonts w:ascii="Arial" w:hAnsi="Arial" w:cs="Arial"/>
          <w:sz w:val="22"/>
          <w:szCs w:val="22"/>
        </w:rPr>
        <w:t>our jurisdictions</w:t>
      </w:r>
      <w:r w:rsidR="00223B11">
        <w:rPr>
          <w:rFonts w:ascii="Arial" w:hAnsi="Arial" w:cs="Arial"/>
          <w:sz w:val="22"/>
          <w:szCs w:val="22"/>
        </w:rPr>
        <w:t xml:space="preserve">, </w:t>
      </w:r>
      <w:r w:rsidRPr="005E6149">
        <w:rPr>
          <w:rFonts w:ascii="Arial" w:hAnsi="Arial" w:cs="Arial"/>
          <w:sz w:val="22"/>
          <w:szCs w:val="22"/>
        </w:rPr>
        <w:t>South Australia, Western Australia, Northern Territory, and Victoria elected to participate</w:t>
      </w:r>
      <w:r w:rsidR="0033363C">
        <w:rPr>
          <w:rFonts w:ascii="Arial" w:hAnsi="Arial" w:cs="Arial"/>
          <w:sz w:val="22"/>
          <w:szCs w:val="22"/>
        </w:rPr>
        <w:t>.</w:t>
      </w:r>
      <w:bookmarkStart w:id="6" w:name="_Toc127337011"/>
      <w:bookmarkStart w:id="7" w:name="_Toc221595830"/>
    </w:p>
    <w:p w:rsidR="00A564A7" w:rsidRPr="00E715C1" w:rsidRDefault="005E6149" w:rsidP="00287791">
      <w:pPr>
        <w:pStyle w:val="Heading1"/>
        <w:ind w:left="0"/>
      </w:pPr>
      <w:r w:rsidRPr="00E715C1">
        <w:t xml:space="preserve"> </w:t>
      </w:r>
      <w:bookmarkStart w:id="8" w:name="_Toc426117638"/>
      <w:r w:rsidRPr="00E715C1">
        <w:t>Qualitative Inputs and Considerations</w:t>
      </w:r>
      <w:bookmarkEnd w:id="8"/>
    </w:p>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t>The study team sought to gather qualitative information that:</w:t>
      </w:r>
    </w:p>
    <w:p w:rsidR="008E5E73" w:rsidRPr="00C628C4" w:rsidRDefault="008E5E73" w:rsidP="00E86862">
      <w:pPr>
        <w:pStyle w:val="ListParagraph"/>
        <w:numPr>
          <w:ilvl w:val="0"/>
          <w:numId w:val="44"/>
        </w:numPr>
        <w:spacing w:before="120" w:after="120"/>
        <w:rPr>
          <w:rFonts w:ascii="Arial" w:hAnsi="Arial" w:cs="Arial"/>
          <w:sz w:val="22"/>
          <w:szCs w:val="22"/>
        </w:rPr>
      </w:pPr>
      <w:r w:rsidRPr="00C628C4">
        <w:rPr>
          <w:rFonts w:ascii="Arial" w:hAnsi="Arial" w:cs="Arial"/>
          <w:sz w:val="22"/>
          <w:szCs w:val="22"/>
        </w:rPr>
        <w:t>established whether</w:t>
      </w:r>
      <w:r w:rsidR="00712379">
        <w:rPr>
          <w:rFonts w:ascii="Arial" w:hAnsi="Arial" w:cs="Arial"/>
          <w:sz w:val="22"/>
          <w:szCs w:val="22"/>
        </w:rPr>
        <w:t>,</w:t>
      </w:r>
      <w:r w:rsidRPr="00C628C4">
        <w:rPr>
          <w:rFonts w:ascii="Arial" w:hAnsi="Arial" w:cs="Arial"/>
          <w:sz w:val="22"/>
          <w:szCs w:val="22"/>
        </w:rPr>
        <w:t xml:space="preserve"> for the same condition, a cost differential exist</w:t>
      </w:r>
      <w:r w:rsidR="00712379">
        <w:rPr>
          <w:rFonts w:ascii="Arial" w:hAnsi="Arial" w:cs="Arial"/>
          <w:sz w:val="22"/>
          <w:szCs w:val="22"/>
        </w:rPr>
        <w:t>s</w:t>
      </w:r>
      <w:r w:rsidRPr="00C628C4">
        <w:rPr>
          <w:rFonts w:ascii="Arial" w:hAnsi="Arial" w:cs="Arial"/>
          <w:sz w:val="22"/>
          <w:szCs w:val="22"/>
        </w:rPr>
        <w:t xml:space="preserve"> </w:t>
      </w:r>
      <w:r w:rsidR="00190E37">
        <w:rPr>
          <w:rFonts w:ascii="Arial" w:hAnsi="Arial" w:cs="Arial"/>
          <w:sz w:val="22"/>
          <w:szCs w:val="22"/>
        </w:rPr>
        <w:t xml:space="preserve">for </w:t>
      </w:r>
      <w:r w:rsidRPr="00C628C4">
        <w:rPr>
          <w:rFonts w:ascii="Arial" w:hAnsi="Arial" w:cs="Arial"/>
          <w:sz w:val="22"/>
          <w:szCs w:val="22"/>
        </w:rPr>
        <w:t>Indigenous patients compared to non-Indigenous patients;</w:t>
      </w:r>
    </w:p>
    <w:p w:rsidR="008E5E73" w:rsidRPr="00C628C4" w:rsidRDefault="008E5E73" w:rsidP="00E86862">
      <w:pPr>
        <w:pStyle w:val="ListParagraph"/>
        <w:numPr>
          <w:ilvl w:val="0"/>
          <w:numId w:val="44"/>
        </w:numPr>
        <w:spacing w:before="120" w:after="120"/>
        <w:rPr>
          <w:rFonts w:ascii="Arial" w:hAnsi="Arial" w:cs="Arial"/>
          <w:sz w:val="22"/>
          <w:szCs w:val="22"/>
        </w:rPr>
      </w:pPr>
      <w:r w:rsidRPr="00C628C4">
        <w:rPr>
          <w:rFonts w:ascii="Arial" w:hAnsi="Arial" w:cs="Arial"/>
          <w:sz w:val="22"/>
          <w:szCs w:val="22"/>
        </w:rPr>
        <w:t>if such a differential exists, what the magnitude of the differential is; and</w:t>
      </w:r>
    </w:p>
    <w:p w:rsidR="008E5E73" w:rsidRPr="00C628C4" w:rsidRDefault="008E5E73" w:rsidP="00E86862">
      <w:pPr>
        <w:pStyle w:val="ListParagraph"/>
        <w:numPr>
          <w:ilvl w:val="0"/>
          <w:numId w:val="44"/>
        </w:numPr>
        <w:spacing w:before="120" w:after="120"/>
        <w:rPr>
          <w:rFonts w:ascii="Arial" w:hAnsi="Arial" w:cs="Arial"/>
          <w:sz w:val="22"/>
          <w:szCs w:val="22"/>
        </w:rPr>
      </w:pPr>
      <w:proofErr w:type="gramStart"/>
      <w:r w:rsidRPr="00C628C4">
        <w:rPr>
          <w:rFonts w:ascii="Arial" w:hAnsi="Arial" w:cs="Arial"/>
          <w:sz w:val="22"/>
          <w:szCs w:val="22"/>
        </w:rPr>
        <w:t>what</w:t>
      </w:r>
      <w:proofErr w:type="gramEnd"/>
      <w:r w:rsidRPr="00C628C4">
        <w:rPr>
          <w:rFonts w:ascii="Arial" w:hAnsi="Arial" w:cs="Arial"/>
          <w:sz w:val="22"/>
          <w:szCs w:val="22"/>
        </w:rPr>
        <w:t xml:space="preserve"> are the underlying reasons</w:t>
      </w:r>
      <w:r w:rsidR="00190E37">
        <w:rPr>
          <w:rFonts w:ascii="Arial" w:hAnsi="Arial" w:cs="Arial"/>
          <w:sz w:val="22"/>
          <w:szCs w:val="22"/>
        </w:rPr>
        <w:t xml:space="preserve"> that explain the differential</w:t>
      </w:r>
      <w:r w:rsidRPr="00C628C4">
        <w:rPr>
          <w:rFonts w:ascii="Arial" w:hAnsi="Arial" w:cs="Arial"/>
          <w:sz w:val="22"/>
          <w:szCs w:val="22"/>
        </w:rPr>
        <w:t>.</w:t>
      </w:r>
    </w:p>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t xml:space="preserve">This evidence </w:t>
      </w:r>
      <w:r w:rsidR="00CC7C5F">
        <w:rPr>
          <w:rFonts w:ascii="Arial" w:hAnsi="Arial" w:cs="Arial"/>
          <w:sz w:val="22"/>
          <w:szCs w:val="22"/>
        </w:rPr>
        <w:t xml:space="preserve">obtained </w:t>
      </w:r>
      <w:r w:rsidR="00190E37">
        <w:rPr>
          <w:rFonts w:ascii="Arial" w:hAnsi="Arial" w:cs="Arial"/>
          <w:sz w:val="22"/>
          <w:szCs w:val="22"/>
        </w:rPr>
        <w:t xml:space="preserve">informed </w:t>
      </w:r>
      <w:r w:rsidRPr="00C628C4">
        <w:rPr>
          <w:rFonts w:ascii="Arial" w:hAnsi="Arial" w:cs="Arial"/>
          <w:sz w:val="22"/>
          <w:szCs w:val="22"/>
        </w:rPr>
        <w:t xml:space="preserve">the </w:t>
      </w:r>
      <w:r w:rsidR="00190E37">
        <w:rPr>
          <w:rFonts w:ascii="Arial" w:hAnsi="Arial" w:cs="Arial"/>
          <w:sz w:val="22"/>
          <w:szCs w:val="22"/>
        </w:rPr>
        <w:t xml:space="preserve">quantitative </w:t>
      </w:r>
      <w:r w:rsidRPr="00C628C4">
        <w:rPr>
          <w:rFonts w:ascii="Arial" w:hAnsi="Arial" w:cs="Arial"/>
          <w:sz w:val="22"/>
          <w:szCs w:val="22"/>
        </w:rPr>
        <w:t>analysis.</w:t>
      </w:r>
    </w:p>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t xml:space="preserve">This chapter reports on what data exists to substantiate the claim that </w:t>
      </w:r>
      <w:r w:rsidR="00190E37">
        <w:rPr>
          <w:rFonts w:ascii="Arial" w:hAnsi="Arial" w:cs="Arial"/>
          <w:sz w:val="22"/>
          <w:szCs w:val="22"/>
        </w:rPr>
        <w:t>there is</w:t>
      </w:r>
      <w:r w:rsidR="00190E37" w:rsidRPr="00C628C4">
        <w:rPr>
          <w:rFonts w:ascii="Arial" w:hAnsi="Arial" w:cs="Arial"/>
          <w:sz w:val="22"/>
          <w:szCs w:val="22"/>
        </w:rPr>
        <w:t xml:space="preserve"> </w:t>
      </w:r>
      <w:r w:rsidRPr="00C628C4">
        <w:rPr>
          <w:rFonts w:ascii="Arial" w:hAnsi="Arial" w:cs="Arial"/>
          <w:sz w:val="22"/>
          <w:szCs w:val="22"/>
        </w:rPr>
        <w:t xml:space="preserve">cost differential </w:t>
      </w:r>
      <w:r w:rsidR="00190E37">
        <w:rPr>
          <w:rFonts w:ascii="Arial" w:hAnsi="Arial" w:cs="Arial"/>
          <w:sz w:val="22"/>
          <w:szCs w:val="22"/>
        </w:rPr>
        <w:t xml:space="preserve">for </w:t>
      </w:r>
      <w:r w:rsidRPr="00C628C4">
        <w:rPr>
          <w:rFonts w:ascii="Arial" w:hAnsi="Arial" w:cs="Arial"/>
          <w:sz w:val="22"/>
          <w:szCs w:val="22"/>
        </w:rPr>
        <w:t>Indigenous patients compared to non-Indigenous patients for the same condition.</w:t>
      </w:r>
    </w:p>
    <w:p w:rsidR="008E5E73" w:rsidRPr="00C628C4" w:rsidRDefault="008E5E73" w:rsidP="003320C4">
      <w:pPr>
        <w:pStyle w:val="Heading2"/>
        <w:keepLines w:val="0"/>
        <w:tabs>
          <w:tab w:val="left" w:pos="851"/>
        </w:tabs>
        <w:spacing w:before="240" w:after="120"/>
        <w:rPr>
          <w:rFonts w:ascii="Arial" w:hAnsi="Arial" w:cs="Arial"/>
          <w:color w:val="548DD4" w:themeColor="text2" w:themeTint="99"/>
        </w:rPr>
      </w:pPr>
      <w:r w:rsidRPr="00C628C4">
        <w:rPr>
          <w:rFonts w:ascii="Arial" w:hAnsi="Arial" w:cs="Arial"/>
          <w:color w:val="548DD4" w:themeColor="text2" w:themeTint="99"/>
        </w:rPr>
        <w:t>Findings of the literature</w:t>
      </w:r>
    </w:p>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t>The literature review was unable to identify a single study conducted post 2000 that focused specifically on answering the research question:</w:t>
      </w:r>
    </w:p>
    <w:p w:rsidR="008E5E73" w:rsidRPr="00C628C4" w:rsidRDefault="008E5E73" w:rsidP="008E5E73">
      <w:pPr>
        <w:widowControl w:val="0"/>
        <w:autoSpaceDE w:val="0"/>
        <w:autoSpaceDN w:val="0"/>
        <w:adjustRightInd w:val="0"/>
        <w:spacing w:before="120" w:after="120"/>
        <w:ind w:left="720"/>
        <w:rPr>
          <w:rFonts w:ascii="Arial" w:hAnsi="Arial" w:cs="Arial"/>
          <w:i/>
          <w:sz w:val="22"/>
          <w:szCs w:val="22"/>
        </w:rPr>
      </w:pPr>
      <w:r w:rsidRPr="00C628C4">
        <w:rPr>
          <w:rFonts w:ascii="Arial" w:hAnsi="Arial" w:cs="Arial"/>
          <w:i/>
          <w:sz w:val="22"/>
          <w:szCs w:val="22"/>
        </w:rPr>
        <w:t xml:space="preserve">Do hospital based services incur a greater cost in providing treatment and </w:t>
      </w:r>
      <w:r w:rsidRPr="00C628C4">
        <w:rPr>
          <w:rFonts w:ascii="Arial" w:hAnsi="Arial" w:cs="Arial"/>
          <w:i/>
          <w:sz w:val="22"/>
          <w:szCs w:val="22"/>
        </w:rPr>
        <w:lastRenderedPageBreak/>
        <w:t xml:space="preserve">services to an Indigenous patient compared to a </w:t>
      </w:r>
      <w:r w:rsidR="007A097D" w:rsidRPr="00C628C4">
        <w:rPr>
          <w:rFonts w:ascii="Arial" w:hAnsi="Arial" w:cs="Arial"/>
          <w:i/>
          <w:sz w:val="22"/>
          <w:szCs w:val="22"/>
        </w:rPr>
        <w:t>non-Indigenous</w:t>
      </w:r>
      <w:r w:rsidRPr="00C628C4">
        <w:rPr>
          <w:rFonts w:ascii="Arial" w:hAnsi="Arial" w:cs="Arial"/>
          <w:i/>
          <w:sz w:val="22"/>
          <w:szCs w:val="22"/>
        </w:rPr>
        <w:t xml:space="preserve"> patient for the same condition?</w:t>
      </w:r>
    </w:p>
    <w:p w:rsidR="008E5E73" w:rsidRPr="00194D81" w:rsidRDefault="008E5E73" w:rsidP="008E5E73">
      <w:pPr>
        <w:spacing w:before="120" w:after="120"/>
        <w:rPr>
          <w:rFonts w:ascii="Arial" w:hAnsi="Arial" w:cs="Arial"/>
          <w:sz w:val="22"/>
          <w:szCs w:val="22"/>
        </w:rPr>
      </w:pPr>
      <w:r w:rsidRPr="00C628C4">
        <w:rPr>
          <w:rFonts w:ascii="Arial" w:hAnsi="Arial" w:cs="Arial"/>
          <w:sz w:val="22"/>
          <w:szCs w:val="22"/>
        </w:rPr>
        <w:t>The</w:t>
      </w:r>
      <w:r w:rsidR="00190E37">
        <w:rPr>
          <w:rFonts w:ascii="Arial" w:hAnsi="Arial" w:cs="Arial"/>
          <w:sz w:val="22"/>
          <w:szCs w:val="22"/>
        </w:rPr>
        <w:t xml:space="preserve"> 2012 Productivity Commission’s</w:t>
      </w:r>
      <w:r w:rsidRPr="00C628C4">
        <w:rPr>
          <w:rFonts w:ascii="Arial" w:hAnsi="Arial" w:cs="Arial"/>
          <w:sz w:val="22"/>
          <w:szCs w:val="22"/>
        </w:rPr>
        <w:t xml:space="preserve"> Indigenous Expenditure Report</w:t>
      </w:r>
      <w:r w:rsidRPr="00C628C4">
        <w:rPr>
          <w:rStyle w:val="FootnoteReference"/>
          <w:rFonts w:ascii="Arial" w:hAnsi="Arial" w:cs="Arial"/>
          <w:sz w:val="22"/>
          <w:szCs w:val="22"/>
        </w:rPr>
        <w:footnoteReference w:id="1"/>
      </w:r>
      <w:r w:rsidRPr="00C628C4">
        <w:rPr>
          <w:rFonts w:ascii="Arial" w:hAnsi="Arial" w:cs="Arial"/>
          <w:sz w:val="22"/>
          <w:szCs w:val="22"/>
        </w:rPr>
        <w:t xml:space="preserve"> identifies </w:t>
      </w:r>
      <w:r w:rsidR="00194D81">
        <w:rPr>
          <w:rFonts w:ascii="Arial" w:hAnsi="Arial" w:cs="Arial"/>
          <w:sz w:val="22"/>
          <w:szCs w:val="22"/>
        </w:rPr>
        <w:t xml:space="preserve">that </w:t>
      </w:r>
      <w:r w:rsidRPr="00C628C4">
        <w:rPr>
          <w:rFonts w:ascii="Arial" w:hAnsi="Arial" w:cs="Arial"/>
          <w:sz w:val="22"/>
          <w:szCs w:val="22"/>
        </w:rPr>
        <w:t xml:space="preserve">for every $1 spent on health related services for </w:t>
      </w:r>
      <w:r w:rsidR="007A097D" w:rsidRPr="00C628C4">
        <w:rPr>
          <w:rFonts w:ascii="Arial" w:hAnsi="Arial" w:cs="Arial"/>
          <w:sz w:val="22"/>
          <w:szCs w:val="22"/>
        </w:rPr>
        <w:t>non-Indigenous</w:t>
      </w:r>
      <w:r w:rsidRPr="00C628C4">
        <w:rPr>
          <w:rFonts w:ascii="Arial" w:hAnsi="Arial" w:cs="Arial"/>
          <w:sz w:val="22"/>
          <w:szCs w:val="22"/>
        </w:rPr>
        <w:t xml:space="preserve"> Australians, $2.22 is spent on Indigenous Australians.</w:t>
      </w:r>
    </w:p>
    <w:p w:rsidR="008E5E73" w:rsidRPr="00194D81" w:rsidRDefault="008E5E73" w:rsidP="003320C4">
      <w:pPr>
        <w:pStyle w:val="Heading2"/>
        <w:keepLines w:val="0"/>
        <w:tabs>
          <w:tab w:val="left" w:pos="851"/>
        </w:tabs>
        <w:spacing w:before="240" w:after="120"/>
        <w:rPr>
          <w:rFonts w:ascii="Arial" w:hAnsi="Arial" w:cs="Arial"/>
          <w:color w:val="548DD4" w:themeColor="text2" w:themeTint="99"/>
        </w:rPr>
      </w:pPr>
      <w:r w:rsidRPr="00194D81">
        <w:rPr>
          <w:rFonts w:ascii="Arial" w:hAnsi="Arial" w:cs="Arial"/>
          <w:color w:val="548DD4" w:themeColor="text2" w:themeTint="99"/>
        </w:rPr>
        <w:t>Qualitative Feedback</w:t>
      </w:r>
    </w:p>
    <w:p w:rsidR="008E5E73" w:rsidRPr="00194D81" w:rsidRDefault="00A117FC" w:rsidP="008E5E73">
      <w:pPr>
        <w:spacing w:before="120" w:after="120"/>
        <w:rPr>
          <w:rFonts w:ascii="Arial" w:hAnsi="Arial" w:cs="Arial"/>
          <w:sz w:val="22"/>
          <w:szCs w:val="22"/>
        </w:rPr>
      </w:pPr>
      <w:r w:rsidRPr="00194D81">
        <w:rPr>
          <w:rFonts w:ascii="Arial" w:hAnsi="Arial" w:cs="Arial"/>
          <w:sz w:val="22"/>
          <w:szCs w:val="22"/>
        </w:rPr>
        <w:t xml:space="preserve">A survey </w:t>
      </w:r>
      <w:r w:rsidR="008E5E73" w:rsidRPr="00194D81">
        <w:rPr>
          <w:rFonts w:ascii="Arial" w:hAnsi="Arial" w:cs="Arial"/>
          <w:sz w:val="22"/>
          <w:szCs w:val="22"/>
        </w:rPr>
        <w:t>targeting clinicians and administrators of hospital services from the participating jurisdictions was developed in consultation with IHPA</w:t>
      </w:r>
      <w:r w:rsidR="00D873D2" w:rsidRPr="00194D81">
        <w:rPr>
          <w:rFonts w:ascii="Arial" w:hAnsi="Arial" w:cs="Arial"/>
          <w:sz w:val="22"/>
          <w:szCs w:val="22"/>
        </w:rPr>
        <w:t xml:space="preserve">. </w:t>
      </w:r>
      <w:r w:rsidR="008E5E73" w:rsidRPr="00194D81">
        <w:rPr>
          <w:rFonts w:ascii="Arial" w:hAnsi="Arial" w:cs="Arial"/>
          <w:sz w:val="22"/>
          <w:szCs w:val="22"/>
        </w:rPr>
        <w:t>The survey was distributed to a sample of hospitals, particularly those that report</w:t>
      </w:r>
      <w:r w:rsidR="006E7D7C">
        <w:rPr>
          <w:rFonts w:ascii="Arial" w:hAnsi="Arial" w:cs="Arial"/>
          <w:sz w:val="22"/>
          <w:szCs w:val="22"/>
        </w:rPr>
        <w:t>ed</w:t>
      </w:r>
      <w:r w:rsidR="008E5E73" w:rsidRPr="00194D81">
        <w:rPr>
          <w:rFonts w:ascii="Arial" w:hAnsi="Arial" w:cs="Arial"/>
          <w:sz w:val="22"/>
          <w:szCs w:val="22"/>
        </w:rPr>
        <w:t xml:space="preserve"> a substantive </w:t>
      </w:r>
      <w:r w:rsidR="00190E37">
        <w:rPr>
          <w:rFonts w:ascii="Arial" w:hAnsi="Arial" w:cs="Arial"/>
          <w:sz w:val="22"/>
          <w:szCs w:val="22"/>
        </w:rPr>
        <w:t>number of Indigenous patients</w:t>
      </w:r>
      <w:r w:rsidR="008E5E73" w:rsidRPr="00194D81">
        <w:rPr>
          <w:rFonts w:ascii="Arial" w:hAnsi="Arial" w:cs="Arial"/>
          <w:sz w:val="22"/>
          <w:szCs w:val="22"/>
        </w:rPr>
        <w:t>.</w:t>
      </w:r>
    </w:p>
    <w:p w:rsidR="008E5E73" w:rsidRPr="00194D81" w:rsidRDefault="008E5E73" w:rsidP="008E5E73">
      <w:pPr>
        <w:spacing w:before="120" w:after="120"/>
        <w:rPr>
          <w:rFonts w:ascii="Arial" w:hAnsi="Arial" w:cs="Arial"/>
          <w:sz w:val="18"/>
          <w:szCs w:val="18"/>
        </w:rPr>
      </w:pPr>
      <w:r w:rsidRPr="00194D81">
        <w:rPr>
          <w:rFonts w:ascii="Arial" w:hAnsi="Arial" w:cs="Arial"/>
          <w:sz w:val="22"/>
          <w:szCs w:val="22"/>
        </w:rPr>
        <w:t>A total of 64 responses were received from various hospitals, health services and health departments</w:t>
      </w:r>
      <w:r w:rsidR="00D873D2" w:rsidRPr="00194D81">
        <w:rPr>
          <w:rFonts w:ascii="Arial" w:hAnsi="Arial" w:cs="Arial"/>
          <w:sz w:val="22"/>
          <w:szCs w:val="22"/>
        </w:rPr>
        <w:t xml:space="preserve">. </w:t>
      </w:r>
      <w:r w:rsidRPr="00194D81">
        <w:rPr>
          <w:rFonts w:ascii="Arial" w:hAnsi="Arial" w:cs="Arial"/>
          <w:sz w:val="22"/>
          <w:szCs w:val="22"/>
        </w:rPr>
        <w:t>Western Australia accounted for 64% of the responses; South Australia followed with 26% of the responses; Northern Territory represented 8% of responses and Victoria 2%.</w:t>
      </w:r>
    </w:p>
    <w:p w:rsidR="008E5E73" w:rsidRPr="00194D81" w:rsidRDefault="008E5E73" w:rsidP="008E5E73">
      <w:pPr>
        <w:spacing w:before="120" w:after="120"/>
        <w:rPr>
          <w:rFonts w:ascii="Arial" w:hAnsi="Arial" w:cs="Arial"/>
          <w:sz w:val="22"/>
          <w:szCs w:val="22"/>
        </w:rPr>
      </w:pPr>
      <w:r w:rsidRPr="00194D81">
        <w:rPr>
          <w:rFonts w:ascii="Arial" w:hAnsi="Arial" w:cs="Arial"/>
          <w:sz w:val="22"/>
          <w:szCs w:val="22"/>
        </w:rPr>
        <w:t xml:space="preserve">Health professionals responding to the survey included medical staff, nursing staff, allied </w:t>
      </w:r>
      <w:r w:rsidR="000F5F4E" w:rsidRPr="00194D81">
        <w:rPr>
          <w:rFonts w:ascii="Arial" w:hAnsi="Arial" w:cs="Arial"/>
          <w:sz w:val="22"/>
          <w:szCs w:val="22"/>
        </w:rPr>
        <w:t>health</w:t>
      </w:r>
      <w:r w:rsidRPr="00194D81">
        <w:rPr>
          <w:rFonts w:ascii="Arial" w:hAnsi="Arial" w:cs="Arial"/>
          <w:sz w:val="22"/>
          <w:szCs w:val="22"/>
        </w:rPr>
        <w:t xml:space="preserve"> professionals, Aboriginal liaison officers and administrators from hospitals, health services and </w:t>
      </w:r>
      <w:r w:rsidR="006E7D7C">
        <w:rPr>
          <w:rFonts w:ascii="Arial" w:hAnsi="Arial" w:cs="Arial"/>
          <w:sz w:val="22"/>
          <w:szCs w:val="22"/>
        </w:rPr>
        <w:t>s</w:t>
      </w:r>
      <w:r w:rsidRPr="00194D81">
        <w:rPr>
          <w:rFonts w:ascii="Arial" w:hAnsi="Arial" w:cs="Arial"/>
          <w:sz w:val="22"/>
          <w:szCs w:val="22"/>
        </w:rPr>
        <w:t>tate</w:t>
      </w:r>
      <w:r w:rsidR="006E7D7C">
        <w:rPr>
          <w:rFonts w:ascii="Arial" w:hAnsi="Arial" w:cs="Arial"/>
          <w:sz w:val="22"/>
          <w:szCs w:val="22"/>
        </w:rPr>
        <w:t xml:space="preserve"> and t</w:t>
      </w:r>
      <w:r w:rsidRPr="00194D81">
        <w:rPr>
          <w:rFonts w:ascii="Arial" w:hAnsi="Arial" w:cs="Arial"/>
          <w:sz w:val="22"/>
          <w:szCs w:val="22"/>
        </w:rPr>
        <w:t xml:space="preserve">erritory </w:t>
      </w:r>
      <w:r w:rsidR="006E7D7C">
        <w:rPr>
          <w:rFonts w:ascii="Arial" w:hAnsi="Arial" w:cs="Arial"/>
          <w:sz w:val="22"/>
          <w:szCs w:val="22"/>
        </w:rPr>
        <w:t>health d</w:t>
      </w:r>
      <w:r w:rsidRPr="00194D81">
        <w:rPr>
          <w:rFonts w:ascii="Arial" w:hAnsi="Arial" w:cs="Arial"/>
          <w:sz w:val="22"/>
          <w:szCs w:val="22"/>
        </w:rPr>
        <w:t>epartments (refer Figure 3.1).</w:t>
      </w:r>
    </w:p>
    <w:p w:rsidR="008E5E73" w:rsidRPr="00194D81" w:rsidRDefault="008E5E73" w:rsidP="008E5E73">
      <w:pPr>
        <w:pStyle w:val="FigureCaption"/>
        <w:spacing w:after="120"/>
        <w:rPr>
          <w:rFonts w:ascii="Arial" w:hAnsi="Arial" w:cs="Arial"/>
          <w:sz w:val="18"/>
          <w:szCs w:val="18"/>
        </w:rPr>
      </w:pPr>
      <w:bookmarkStart w:id="9" w:name="_Toc278480694"/>
      <w:r w:rsidRPr="00194D81">
        <w:rPr>
          <w:rFonts w:ascii="Arial" w:hAnsi="Arial" w:cs="Arial"/>
          <w:sz w:val="18"/>
          <w:szCs w:val="18"/>
        </w:rPr>
        <w:t>Figure 3.1: Proportion of survey responses by health profession category</w:t>
      </w:r>
      <w:bookmarkEnd w:id="9"/>
    </w:p>
    <w:p w:rsidR="008E5E73" w:rsidRPr="00C628C4" w:rsidRDefault="008E5E73" w:rsidP="008E5E73">
      <w:pPr>
        <w:spacing w:before="120" w:after="120"/>
        <w:jc w:val="center"/>
        <w:rPr>
          <w:rFonts w:ascii="Arial" w:hAnsi="Arial" w:cs="Arial"/>
          <w:sz w:val="22"/>
          <w:szCs w:val="22"/>
        </w:rPr>
      </w:pPr>
      <w:r w:rsidRPr="00C628C4">
        <w:rPr>
          <w:rFonts w:ascii="Arial" w:hAnsi="Arial" w:cs="Arial"/>
          <w:noProof/>
          <w:sz w:val="22"/>
          <w:szCs w:val="22"/>
          <w:lang w:val="en-AU" w:eastAsia="en-AU"/>
        </w:rPr>
        <w:drawing>
          <wp:inline distT="0" distB="0" distL="0" distR="0" wp14:anchorId="4E95B95D" wp14:editId="60F501C5">
            <wp:extent cx="3140064" cy="2334695"/>
            <wp:effectExtent l="0" t="0" r="10160" b="2540"/>
            <wp:docPr id="102" name="Picture 102" descr="The health profession category of survey respondents is depicted in this graph.  The majority of respondents to the survey identified themselves as being nursing staff (35.82% of all respondents)." title="Figure 3.1: Pproportion of survey responses by health professional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428" cy="2334966"/>
                    </a:xfrm>
                    <a:prstGeom prst="rect">
                      <a:avLst/>
                    </a:prstGeom>
                    <a:noFill/>
                    <a:ln>
                      <a:noFill/>
                    </a:ln>
                  </pic:spPr>
                </pic:pic>
              </a:graphicData>
            </a:graphic>
          </wp:inline>
        </w:drawing>
      </w:r>
    </w:p>
    <w:p w:rsidR="008E5E73" w:rsidRPr="006E7D7C" w:rsidRDefault="008E5E73" w:rsidP="008E5E73">
      <w:pPr>
        <w:spacing w:before="120" w:after="120"/>
        <w:rPr>
          <w:rFonts w:ascii="Arial" w:hAnsi="Arial" w:cs="Arial"/>
          <w:sz w:val="22"/>
          <w:szCs w:val="22"/>
        </w:rPr>
      </w:pPr>
      <w:r w:rsidRPr="00C628C4">
        <w:rPr>
          <w:rFonts w:ascii="Arial" w:hAnsi="Arial" w:cs="Arial"/>
          <w:sz w:val="22"/>
          <w:szCs w:val="22"/>
        </w:rPr>
        <w:t xml:space="preserve">The majority of respondents identified as working directly with patients and there were variable views as to whether a cost differential exists in the treatment of Indigenous patients compared to </w:t>
      </w:r>
      <w:r w:rsidR="006E7D7C">
        <w:rPr>
          <w:rFonts w:ascii="Arial" w:hAnsi="Arial" w:cs="Arial"/>
          <w:sz w:val="22"/>
          <w:szCs w:val="22"/>
        </w:rPr>
        <w:t>n</w:t>
      </w:r>
      <w:r w:rsidRPr="006E7D7C">
        <w:rPr>
          <w:rFonts w:ascii="Arial" w:hAnsi="Arial" w:cs="Arial"/>
          <w:sz w:val="22"/>
          <w:szCs w:val="22"/>
        </w:rPr>
        <w:t>on-Indigenous patients across the respondents (</w:t>
      </w:r>
      <w:r w:rsidR="0062298C" w:rsidRPr="006E7D7C">
        <w:rPr>
          <w:rFonts w:ascii="Arial" w:hAnsi="Arial" w:cs="Arial"/>
          <w:sz w:val="22"/>
          <w:szCs w:val="22"/>
        </w:rPr>
        <w:t>Table</w:t>
      </w:r>
      <w:r w:rsidRPr="006E7D7C">
        <w:rPr>
          <w:rFonts w:ascii="Arial" w:hAnsi="Arial" w:cs="Arial"/>
          <w:sz w:val="22"/>
          <w:szCs w:val="22"/>
        </w:rPr>
        <w:t xml:space="preserve"> 3.1).</w:t>
      </w:r>
    </w:p>
    <w:p w:rsidR="008E5E73" w:rsidRPr="006E7D7C" w:rsidRDefault="008E5E73" w:rsidP="008E5E73">
      <w:pPr>
        <w:pStyle w:val="TableCaption"/>
        <w:spacing w:after="120"/>
        <w:rPr>
          <w:rFonts w:ascii="Arial" w:hAnsi="Arial" w:cs="Arial"/>
          <w:sz w:val="18"/>
          <w:szCs w:val="18"/>
        </w:rPr>
      </w:pPr>
      <w:bookmarkStart w:id="10" w:name="_Toc278480655"/>
      <w:r w:rsidRPr="006E7D7C">
        <w:rPr>
          <w:rFonts w:ascii="Arial" w:hAnsi="Arial" w:cs="Arial"/>
          <w:sz w:val="18"/>
          <w:szCs w:val="18"/>
        </w:rPr>
        <w:lastRenderedPageBreak/>
        <w:t xml:space="preserve">Table 3.1: Does a cost differential exist in the treatment of Indigenous patients compared to </w:t>
      </w:r>
      <w:r w:rsidR="006E7D7C">
        <w:rPr>
          <w:rFonts w:ascii="Arial" w:hAnsi="Arial" w:cs="Arial"/>
          <w:sz w:val="18"/>
          <w:szCs w:val="18"/>
        </w:rPr>
        <w:t>n</w:t>
      </w:r>
      <w:r w:rsidRPr="006E7D7C">
        <w:rPr>
          <w:rFonts w:ascii="Arial" w:hAnsi="Arial" w:cs="Arial"/>
          <w:sz w:val="18"/>
          <w:szCs w:val="18"/>
        </w:rPr>
        <w:t>on-Indigenous patients by settings</w:t>
      </w:r>
      <w:bookmarkEnd w:id="10"/>
    </w:p>
    <w:tbl>
      <w:tblPr>
        <w:tblW w:w="10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3.1: Does a cost differential exist in the treatment of Indigenous patients compared to Non-Indigenous patients by setting"/>
        <w:tblDescription w:val="Respondents to the survey indicated that across all hospital settings, they expected there to be a cost differential in providing treatment to an Indigenous patient compared to a non-Indigenous patient with the same condition.  Of note, a greater proportion (91.84% of respondents) thought that the cost differential was more pronounced amongst acute overnight cases than for acute same day cases (86.54% of respondents)."/>
      </w:tblPr>
      <w:tblGrid>
        <w:gridCol w:w="1608"/>
        <w:gridCol w:w="959"/>
        <w:gridCol w:w="425"/>
        <w:gridCol w:w="851"/>
        <w:gridCol w:w="425"/>
        <w:gridCol w:w="850"/>
        <w:gridCol w:w="426"/>
        <w:gridCol w:w="850"/>
        <w:gridCol w:w="425"/>
        <w:gridCol w:w="851"/>
        <w:gridCol w:w="425"/>
        <w:gridCol w:w="992"/>
        <w:gridCol w:w="426"/>
        <w:gridCol w:w="850"/>
        <w:gridCol w:w="425"/>
      </w:tblGrid>
      <w:tr w:rsidR="008E5E73" w:rsidRPr="006E7D7C" w:rsidTr="008E5E73">
        <w:trPr>
          <w:trHeight w:val="1320"/>
          <w:tblHeader/>
          <w:jc w:val="center"/>
        </w:trPr>
        <w:tc>
          <w:tcPr>
            <w:tcW w:w="1608" w:type="dxa"/>
            <w:shd w:val="clear" w:color="auto" w:fill="E0E0E0"/>
            <w:noWrap/>
            <w:vAlign w:val="bottom"/>
            <w:hideMark/>
          </w:tcPr>
          <w:p w:rsidR="008E5E73" w:rsidRPr="00C628C4" w:rsidRDefault="008E5E73" w:rsidP="008E5E73">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Settings</w:t>
            </w:r>
          </w:p>
        </w:tc>
        <w:tc>
          <w:tcPr>
            <w:tcW w:w="1384" w:type="dxa"/>
            <w:gridSpan w:val="2"/>
            <w:shd w:val="clear" w:color="auto" w:fill="E0E0E0"/>
            <w:vAlign w:val="center"/>
            <w:hideMark/>
          </w:tcPr>
          <w:p w:rsidR="008E5E73" w:rsidRPr="00C628C4" w:rsidRDefault="008E5E73" w:rsidP="008E5E73">
            <w:pPr>
              <w:jc w:val="cente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Acute same-day inpatient</w:t>
            </w:r>
          </w:p>
        </w:tc>
        <w:tc>
          <w:tcPr>
            <w:tcW w:w="1276" w:type="dxa"/>
            <w:gridSpan w:val="2"/>
            <w:shd w:val="clear" w:color="auto" w:fill="E0E0E0"/>
            <w:vAlign w:val="center"/>
            <w:hideMark/>
          </w:tcPr>
          <w:p w:rsidR="008E5E73" w:rsidRPr="00C628C4" w:rsidRDefault="008E5E73" w:rsidP="008E5E73">
            <w:pPr>
              <w:jc w:val="cente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Acute overnight inpatient</w:t>
            </w:r>
          </w:p>
        </w:tc>
        <w:tc>
          <w:tcPr>
            <w:tcW w:w="1276" w:type="dxa"/>
            <w:gridSpan w:val="2"/>
            <w:shd w:val="clear" w:color="auto" w:fill="E0E0E0"/>
            <w:vAlign w:val="center"/>
            <w:hideMark/>
          </w:tcPr>
          <w:p w:rsidR="008E5E73" w:rsidRPr="00C628C4" w:rsidRDefault="008E5E73" w:rsidP="008E5E73">
            <w:pPr>
              <w:jc w:val="cente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Emergency Department (ED) admitted patient</w:t>
            </w:r>
          </w:p>
        </w:tc>
        <w:tc>
          <w:tcPr>
            <w:tcW w:w="1275" w:type="dxa"/>
            <w:gridSpan w:val="2"/>
            <w:shd w:val="clear" w:color="auto" w:fill="E0E0E0"/>
            <w:vAlign w:val="center"/>
            <w:hideMark/>
          </w:tcPr>
          <w:p w:rsidR="008E5E73" w:rsidRPr="00C628C4" w:rsidRDefault="008E5E73" w:rsidP="008E5E73">
            <w:pPr>
              <w:jc w:val="cente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 xml:space="preserve">Emergency Department </w:t>
            </w:r>
            <w:r w:rsidR="00F618BE" w:rsidRPr="00C628C4">
              <w:rPr>
                <w:rFonts w:asciiTheme="majorHAnsi" w:eastAsia="Times New Roman" w:hAnsiTheme="majorHAnsi" w:cs="Arial"/>
                <w:b/>
                <w:bCs/>
                <w:color w:val="000000"/>
                <w:sz w:val="20"/>
                <w:szCs w:val="20"/>
                <w:lang w:val="en-AU"/>
              </w:rPr>
              <w:t>non</w:t>
            </w:r>
            <w:r w:rsidRPr="00C628C4">
              <w:rPr>
                <w:rFonts w:asciiTheme="majorHAnsi" w:eastAsia="Times New Roman" w:hAnsiTheme="majorHAnsi" w:cs="Arial"/>
                <w:b/>
                <w:bCs/>
                <w:color w:val="000000"/>
                <w:sz w:val="20"/>
                <w:szCs w:val="20"/>
                <w:lang w:val="en-AU"/>
              </w:rPr>
              <w:t>-admitted patient</w:t>
            </w:r>
          </w:p>
        </w:tc>
        <w:tc>
          <w:tcPr>
            <w:tcW w:w="1276" w:type="dxa"/>
            <w:gridSpan w:val="2"/>
            <w:shd w:val="clear" w:color="auto" w:fill="E0E0E0"/>
            <w:vAlign w:val="center"/>
            <w:hideMark/>
          </w:tcPr>
          <w:p w:rsidR="008E5E73" w:rsidRPr="00C628C4" w:rsidRDefault="00190E37" w:rsidP="008E5E73">
            <w:pPr>
              <w:jc w:val="center"/>
              <w:rPr>
                <w:rFonts w:asciiTheme="majorHAnsi" w:eastAsia="Times New Roman" w:hAnsiTheme="majorHAnsi" w:cs="Arial"/>
                <w:b/>
                <w:bCs/>
                <w:color w:val="000000"/>
                <w:sz w:val="20"/>
                <w:szCs w:val="20"/>
                <w:lang w:val="en-AU"/>
              </w:rPr>
            </w:pPr>
            <w:r>
              <w:rPr>
                <w:rFonts w:asciiTheme="majorHAnsi" w:eastAsia="Times New Roman" w:hAnsiTheme="majorHAnsi" w:cs="Arial"/>
                <w:b/>
                <w:bCs/>
                <w:color w:val="000000"/>
                <w:sz w:val="20"/>
                <w:szCs w:val="20"/>
                <w:lang w:val="en-AU"/>
              </w:rPr>
              <w:t>Subacute</w:t>
            </w:r>
            <w:r w:rsidR="008E5E73" w:rsidRPr="00C628C4">
              <w:rPr>
                <w:rFonts w:asciiTheme="majorHAnsi" w:eastAsia="Times New Roman" w:hAnsiTheme="majorHAnsi" w:cs="Arial"/>
                <w:b/>
                <w:bCs/>
                <w:color w:val="000000"/>
                <w:sz w:val="20"/>
                <w:szCs w:val="20"/>
                <w:lang w:val="en-AU"/>
              </w:rPr>
              <w:t xml:space="preserve"> admitted patient</w:t>
            </w:r>
          </w:p>
        </w:tc>
        <w:tc>
          <w:tcPr>
            <w:tcW w:w="1418" w:type="dxa"/>
            <w:gridSpan w:val="2"/>
            <w:shd w:val="clear" w:color="auto" w:fill="E0E0E0"/>
            <w:vAlign w:val="center"/>
            <w:hideMark/>
          </w:tcPr>
          <w:p w:rsidR="008E5E73" w:rsidRPr="00C628C4" w:rsidRDefault="00190E37" w:rsidP="008E5E73">
            <w:pPr>
              <w:jc w:val="center"/>
              <w:rPr>
                <w:rFonts w:asciiTheme="majorHAnsi" w:eastAsia="Times New Roman" w:hAnsiTheme="majorHAnsi" w:cs="Arial"/>
                <w:b/>
                <w:bCs/>
                <w:color w:val="000000"/>
                <w:sz w:val="20"/>
                <w:szCs w:val="20"/>
                <w:lang w:val="en-AU"/>
              </w:rPr>
            </w:pPr>
            <w:r>
              <w:rPr>
                <w:rFonts w:asciiTheme="majorHAnsi" w:eastAsia="Times New Roman" w:hAnsiTheme="majorHAnsi" w:cs="Arial"/>
                <w:b/>
                <w:bCs/>
                <w:color w:val="000000"/>
                <w:sz w:val="20"/>
                <w:szCs w:val="20"/>
                <w:lang w:val="en-AU"/>
              </w:rPr>
              <w:t>Subacute</w:t>
            </w:r>
            <w:r w:rsidR="008E5E73" w:rsidRPr="00C628C4">
              <w:rPr>
                <w:rFonts w:asciiTheme="majorHAnsi" w:eastAsia="Times New Roman" w:hAnsiTheme="majorHAnsi" w:cs="Arial"/>
                <w:b/>
                <w:bCs/>
                <w:color w:val="000000"/>
                <w:sz w:val="20"/>
                <w:szCs w:val="20"/>
                <w:lang w:val="en-AU"/>
              </w:rPr>
              <w:t xml:space="preserve"> </w:t>
            </w:r>
            <w:r w:rsidR="00F618BE" w:rsidRPr="00C628C4">
              <w:rPr>
                <w:rFonts w:asciiTheme="majorHAnsi" w:eastAsia="Times New Roman" w:hAnsiTheme="majorHAnsi" w:cs="Arial"/>
                <w:b/>
                <w:bCs/>
                <w:color w:val="000000"/>
                <w:sz w:val="20"/>
                <w:szCs w:val="20"/>
                <w:lang w:val="en-AU"/>
              </w:rPr>
              <w:t>non</w:t>
            </w:r>
            <w:r w:rsidR="008E5E73" w:rsidRPr="00C628C4">
              <w:rPr>
                <w:rFonts w:asciiTheme="majorHAnsi" w:eastAsia="Times New Roman" w:hAnsiTheme="majorHAnsi" w:cs="Arial"/>
                <w:b/>
                <w:bCs/>
                <w:color w:val="000000"/>
                <w:sz w:val="20"/>
                <w:szCs w:val="20"/>
                <w:lang w:val="en-AU"/>
              </w:rPr>
              <w:t>-admitted patient</w:t>
            </w:r>
          </w:p>
        </w:tc>
        <w:tc>
          <w:tcPr>
            <w:tcW w:w="1275" w:type="dxa"/>
            <w:gridSpan w:val="2"/>
            <w:shd w:val="clear" w:color="auto" w:fill="E0E0E0"/>
            <w:vAlign w:val="center"/>
            <w:hideMark/>
          </w:tcPr>
          <w:p w:rsidR="008E5E73" w:rsidRPr="00C628C4" w:rsidRDefault="00F618BE" w:rsidP="008E5E73">
            <w:pPr>
              <w:jc w:val="cente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Non</w:t>
            </w:r>
            <w:r w:rsidR="008E5E73" w:rsidRPr="00C628C4">
              <w:rPr>
                <w:rFonts w:asciiTheme="majorHAnsi" w:eastAsia="Times New Roman" w:hAnsiTheme="majorHAnsi" w:cs="Arial"/>
                <w:b/>
                <w:bCs/>
                <w:color w:val="000000"/>
                <w:sz w:val="20"/>
                <w:szCs w:val="20"/>
                <w:lang w:val="en-AU"/>
              </w:rPr>
              <w:t>-admitted patient</w:t>
            </w:r>
          </w:p>
        </w:tc>
      </w:tr>
      <w:tr w:rsidR="008E5E73" w:rsidRPr="006E7D7C" w:rsidTr="008E5E73">
        <w:trPr>
          <w:trHeight w:val="872"/>
          <w:jc w:val="center"/>
        </w:trPr>
        <w:tc>
          <w:tcPr>
            <w:tcW w:w="1608" w:type="dxa"/>
            <w:shd w:val="clear" w:color="auto" w:fill="auto"/>
            <w:noWrap/>
            <w:vAlign w:val="bottom"/>
          </w:tcPr>
          <w:p w:rsidR="008E5E73" w:rsidRPr="00C628C4" w:rsidRDefault="008E5E73" w:rsidP="008E5E73">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Cost Differential exists</w:t>
            </w:r>
          </w:p>
        </w:tc>
        <w:tc>
          <w:tcPr>
            <w:tcW w:w="959"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5"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c>
          <w:tcPr>
            <w:tcW w:w="851"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5"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c>
          <w:tcPr>
            <w:tcW w:w="850"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6"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c>
          <w:tcPr>
            <w:tcW w:w="850"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5"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c>
          <w:tcPr>
            <w:tcW w:w="851"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u w:val="single"/>
                <w:lang w:val="en-AU"/>
              </w:rPr>
            </w:pPr>
            <w:r w:rsidRPr="00C628C4">
              <w:rPr>
                <w:rFonts w:asciiTheme="majorHAnsi" w:eastAsia="Times New Roman" w:hAnsiTheme="majorHAnsi" w:cs="Arial"/>
                <w:bCs/>
                <w:color w:val="000000"/>
                <w:sz w:val="20"/>
                <w:szCs w:val="20"/>
                <w:lang w:val="en-AU"/>
              </w:rPr>
              <w:t>%</w:t>
            </w:r>
          </w:p>
        </w:tc>
        <w:tc>
          <w:tcPr>
            <w:tcW w:w="425"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u w:val="single"/>
                <w:lang w:val="en-AU"/>
              </w:rPr>
            </w:pPr>
            <w:r w:rsidRPr="00C628C4">
              <w:rPr>
                <w:rFonts w:asciiTheme="majorHAnsi" w:eastAsia="Times New Roman" w:hAnsiTheme="majorHAnsi" w:cs="Arial"/>
                <w:bCs/>
                <w:color w:val="000000"/>
                <w:sz w:val="20"/>
                <w:szCs w:val="20"/>
                <w:lang w:val="en-AU"/>
              </w:rPr>
              <w:t>N</w:t>
            </w:r>
          </w:p>
        </w:tc>
        <w:tc>
          <w:tcPr>
            <w:tcW w:w="992"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6"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c>
          <w:tcPr>
            <w:tcW w:w="850"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w:t>
            </w:r>
          </w:p>
        </w:tc>
        <w:tc>
          <w:tcPr>
            <w:tcW w:w="425" w:type="dxa"/>
            <w:shd w:val="clear" w:color="000000" w:fill="FDFDFD"/>
            <w:vAlign w:val="center"/>
          </w:tcPr>
          <w:p w:rsidR="008E5E73" w:rsidRPr="00C628C4" w:rsidRDefault="008E5E73" w:rsidP="008E5E73">
            <w:pPr>
              <w:jc w:val="center"/>
              <w:rPr>
                <w:rFonts w:asciiTheme="majorHAnsi" w:eastAsia="Times New Roman" w:hAnsiTheme="majorHAnsi" w:cs="Arial"/>
                <w:bCs/>
                <w:color w:val="000000"/>
                <w:sz w:val="20"/>
                <w:szCs w:val="20"/>
                <w:lang w:val="en-AU"/>
              </w:rPr>
            </w:pPr>
            <w:r w:rsidRPr="00C628C4">
              <w:rPr>
                <w:rFonts w:asciiTheme="majorHAnsi" w:eastAsia="Times New Roman" w:hAnsiTheme="majorHAnsi" w:cs="Arial"/>
                <w:bCs/>
                <w:color w:val="000000"/>
                <w:sz w:val="20"/>
                <w:szCs w:val="20"/>
                <w:lang w:val="en-AU"/>
              </w:rPr>
              <w:t>N</w:t>
            </w:r>
          </w:p>
        </w:tc>
      </w:tr>
      <w:tr w:rsidR="008E5E73" w:rsidRPr="006E7D7C" w:rsidTr="008E5E73">
        <w:trPr>
          <w:trHeight w:val="300"/>
          <w:jc w:val="center"/>
        </w:trPr>
        <w:tc>
          <w:tcPr>
            <w:tcW w:w="1608" w:type="dxa"/>
            <w:shd w:val="clear" w:color="auto" w:fill="auto"/>
            <w:noWrap/>
            <w:vAlign w:val="bottom"/>
            <w:hideMark/>
          </w:tcPr>
          <w:p w:rsidR="008E5E73" w:rsidRPr="00C628C4" w:rsidRDefault="008E5E73" w:rsidP="008E5E73">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Yes</w:t>
            </w:r>
          </w:p>
        </w:tc>
        <w:tc>
          <w:tcPr>
            <w:tcW w:w="959"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w:t>
            </w:r>
            <w:r w:rsidR="003B1BDE" w:rsidRPr="00C628C4">
              <w:rPr>
                <w:rFonts w:asciiTheme="majorHAnsi" w:eastAsia="Times New Roman" w:hAnsiTheme="majorHAnsi" w:cs="Arial"/>
                <w:color w:val="000000"/>
                <w:sz w:val="20"/>
                <w:szCs w:val="20"/>
                <w:lang w:val="en-AU"/>
              </w:rPr>
              <w:t>7</w:t>
            </w:r>
            <w:r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45</w:t>
            </w:r>
          </w:p>
        </w:tc>
        <w:tc>
          <w:tcPr>
            <w:tcW w:w="851"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w:t>
            </w:r>
            <w:r w:rsidR="003B1BDE" w:rsidRPr="00C628C4">
              <w:rPr>
                <w:rFonts w:asciiTheme="majorHAnsi" w:eastAsia="Times New Roman" w:hAnsiTheme="majorHAnsi" w:cs="Arial"/>
                <w:color w:val="000000"/>
                <w:sz w:val="20"/>
                <w:szCs w:val="20"/>
                <w:lang w:val="en-AU"/>
              </w:rPr>
              <w:t>2</w:t>
            </w:r>
            <w:r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45</w:t>
            </w:r>
          </w:p>
        </w:tc>
        <w:tc>
          <w:tcPr>
            <w:tcW w:w="850"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90%</w:t>
            </w:r>
          </w:p>
        </w:tc>
        <w:tc>
          <w:tcPr>
            <w:tcW w:w="426"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45</w:t>
            </w:r>
          </w:p>
        </w:tc>
        <w:tc>
          <w:tcPr>
            <w:tcW w:w="850"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84</w:t>
            </w:r>
            <w:r w:rsidR="008E5E73"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w:t>
            </w:r>
          </w:p>
        </w:tc>
        <w:tc>
          <w:tcPr>
            <w:tcW w:w="851"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91%</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42</w:t>
            </w:r>
          </w:p>
        </w:tc>
        <w:tc>
          <w:tcPr>
            <w:tcW w:w="992"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89%</w:t>
            </w:r>
          </w:p>
        </w:tc>
        <w:tc>
          <w:tcPr>
            <w:tcW w:w="426"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49</w:t>
            </w:r>
          </w:p>
        </w:tc>
        <w:tc>
          <w:tcPr>
            <w:tcW w:w="850"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88</w:t>
            </w:r>
            <w:r w:rsidR="008E5E73"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52</w:t>
            </w:r>
          </w:p>
        </w:tc>
      </w:tr>
      <w:tr w:rsidR="008E5E73" w:rsidRPr="006E7D7C" w:rsidTr="008E5E73">
        <w:trPr>
          <w:trHeight w:val="300"/>
          <w:jc w:val="center"/>
        </w:trPr>
        <w:tc>
          <w:tcPr>
            <w:tcW w:w="1608" w:type="dxa"/>
            <w:shd w:val="clear" w:color="auto" w:fill="auto"/>
            <w:noWrap/>
            <w:vAlign w:val="bottom"/>
            <w:hideMark/>
          </w:tcPr>
          <w:p w:rsidR="008E5E73" w:rsidRPr="00C628C4" w:rsidRDefault="008E5E73" w:rsidP="008E5E73">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No</w:t>
            </w:r>
          </w:p>
        </w:tc>
        <w:tc>
          <w:tcPr>
            <w:tcW w:w="959"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p>
        </w:tc>
        <w:tc>
          <w:tcPr>
            <w:tcW w:w="851"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w:t>
            </w:r>
            <w:r w:rsidR="008E5E73"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p>
        </w:tc>
        <w:tc>
          <w:tcPr>
            <w:tcW w:w="850"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w:t>
            </w:r>
            <w:r w:rsidR="008E5E73" w:rsidRPr="00C628C4">
              <w:rPr>
                <w:rFonts w:asciiTheme="majorHAnsi" w:eastAsia="Times New Roman" w:hAnsiTheme="majorHAnsi" w:cs="Arial"/>
                <w:color w:val="000000"/>
                <w:sz w:val="20"/>
                <w:szCs w:val="20"/>
                <w:lang w:val="en-AU"/>
              </w:rPr>
              <w:t>%</w:t>
            </w:r>
          </w:p>
        </w:tc>
        <w:tc>
          <w:tcPr>
            <w:tcW w:w="426"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w:t>
            </w:r>
          </w:p>
        </w:tc>
        <w:tc>
          <w:tcPr>
            <w:tcW w:w="850" w:type="dxa"/>
            <w:shd w:val="clear" w:color="auto" w:fill="auto"/>
            <w:noWrap/>
            <w:vAlign w:val="bottom"/>
            <w:hideMark/>
          </w:tcPr>
          <w:p w:rsidR="008E5E73" w:rsidRPr="00C628C4" w:rsidRDefault="008E5E73"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w:t>
            </w:r>
          </w:p>
        </w:tc>
        <w:tc>
          <w:tcPr>
            <w:tcW w:w="851"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w:t>
            </w:r>
            <w:r w:rsidR="008E5E73"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w:t>
            </w:r>
          </w:p>
        </w:tc>
        <w:tc>
          <w:tcPr>
            <w:tcW w:w="992" w:type="dxa"/>
            <w:shd w:val="clear" w:color="auto" w:fill="auto"/>
            <w:noWrap/>
            <w:vAlign w:val="bottom"/>
            <w:hideMark/>
          </w:tcPr>
          <w:p w:rsidR="008E5E73" w:rsidRPr="00C628C4" w:rsidRDefault="003B1BDE"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w:t>
            </w:r>
            <w:r w:rsidR="008E5E73" w:rsidRPr="00C628C4">
              <w:rPr>
                <w:rFonts w:asciiTheme="majorHAnsi" w:eastAsia="Times New Roman" w:hAnsiTheme="majorHAnsi" w:cs="Arial"/>
                <w:color w:val="000000"/>
                <w:sz w:val="20"/>
                <w:szCs w:val="20"/>
                <w:lang w:val="en-AU"/>
              </w:rPr>
              <w:t>%</w:t>
            </w:r>
          </w:p>
        </w:tc>
        <w:tc>
          <w:tcPr>
            <w:tcW w:w="426"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w:t>
            </w:r>
          </w:p>
        </w:tc>
        <w:tc>
          <w:tcPr>
            <w:tcW w:w="850" w:type="dxa"/>
            <w:shd w:val="clear" w:color="auto" w:fill="auto"/>
            <w:noWrap/>
            <w:vAlign w:val="bottom"/>
            <w:hideMark/>
          </w:tcPr>
          <w:p w:rsidR="008E5E73" w:rsidRPr="00C628C4" w:rsidRDefault="003B1BDE" w:rsidP="003B1BDE">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w:t>
            </w:r>
            <w:r w:rsidR="008E5E73" w:rsidRPr="00C628C4">
              <w:rPr>
                <w:rFonts w:asciiTheme="majorHAnsi" w:eastAsia="Times New Roman" w:hAnsiTheme="majorHAnsi" w:cs="Arial"/>
                <w:color w:val="000000"/>
                <w:sz w:val="20"/>
                <w:szCs w:val="20"/>
                <w:lang w:val="en-AU"/>
              </w:rPr>
              <w:t>%</w:t>
            </w:r>
          </w:p>
        </w:tc>
        <w:tc>
          <w:tcPr>
            <w:tcW w:w="425" w:type="dxa"/>
            <w:shd w:val="clear" w:color="auto" w:fill="auto"/>
            <w:vAlign w:val="bottom"/>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p>
        </w:tc>
      </w:tr>
      <w:tr w:rsidR="008E5E73" w:rsidRPr="006E7D7C" w:rsidTr="008E5E73">
        <w:trPr>
          <w:trHeight w:val="300"/>
          <w:jc w:val="center"/>
        </w:trPr>
        <w:tc>
          <w:tcPr>
            <w:tcW w:w="1608" w:type="dxa"/>
            <w:shd w:val="clear" w:color="auto" w:fill="auto"/>
            <w:noWrap/>
            <w:vAlign w:val="bottom"/>
            <w:hideMark/>
          </w:tcPr>
          <w:p w:rsidR="008E5E73" w:rsidRPr="00C628C4" w:rsidRDefault="008E5E73" w:rsidP="008E5E73">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Total Responses</w:t>
            </w:r>
          </w:p>
        </w:tc>
        <w:tc>
          <w:tcPr>
            <w:tcW w:w="1384"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52</w:t>
            </w:r>
          </w:p>
        </w:tc>
        <w:tc>
          <w:tcPr>
            <w:tcW w:w="1276"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49</w:t>
            </w:r>
          </w:p>
        </w:tc>
        <w:tc>
          <w:tcPr>
            <w:tcW w:w="1276"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50</w:t>
            </w:r>
          </w:p>
        </w:tc>
        <w:tc>
          <w:tcPr>
            <w:tcW w:w="1275"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51</w:t>
            </w:r>
          </w:p>
        </w:tc>
        <w:tc>
          <w:tcPr>
            <w:tcW w:w="1276"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46</w:t>
            </w:r>
          </w:p>
        </w:tc>
        <w:tc>
          <w:tcPr>
            <w:tcW w:w="1418"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55</w:t>
            </w:r>
          </w:p>
        </w:tc>
        <w:tc>
          <w:tcPr>
            <w:tcW w:w="1275" w:type="dxa"/>
            <w:gridSpan w:val="2"/>
            <w:shd w:val="clear" w:color="auto" w:fill="auto"/>
            <w:noWrap/>
            <w:vAlign w:val="bottom"/>
            <w:hideMark/>
          </w:tcPr>
          <w:p w:rsidR="008E5E73" w:rsidRPr="00C628C4" w:rsidRDefault="008E5E73" w:rsidP="008E5E73">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59</w:t>
            </w:r>
          </w:p>
        </w:tc>
      </w:tr>
    </w:tbl>
    <w:p w:rsidR="008E5E73" w:rsidRPr="00C628C4" w:rsidRDefault="008E5E73" w:rsidP="008E5E73">
      <w:pPr>
        <w:widowControl w:val="0"/>
        <w:autoSpaceDE w:val="0"/>
        <w:autoSpaceDN w:val="0"/>
        <w:adjustRightInd w:val="0"/>
        <w:spacing w:before="120" w:after="120"/>
        <w:rPr>
          <w:rFonts w:ascii="Arial" w:hAnsi="Arial" w:cs="Arial"/>
          <w:sz w:val="22"/>
          <w:szCs w:val="22"/>
        </w:rPr>
      </w:pPr>
      <w:r w:rsidRPr="006E7D7C">
        <w:rPr>
          <w:rFonts w:ascii="Arial" w:hAnsi="Arial" w:cs="Arial"/>
          <w:sz w:val="22"/>
          <w:szCs w:val="22"/>
        </w:rPr>
        <w:t>Some respondents, albeit in the minority, indicated that they did not think cost differentials were driven by Indigenous status, but rather by the medical condition and needs of the patient</w:t>
      </w:r>
      <w:r w:rsidR="00A55E78">
        <w:rPr>
          <w:rFonts w:ascii="Arial" w:hAnsi="Arial" w:cs="Arial"/>
          <w:sz w:val="22"/>
          <w:szCs w:val="22"/>
        </w:rPr>
        <w:t>,</w:t>
      </w:r>
      <w:r w:rsidRPr="006E7D7C">
        <w:rPr>
          <w:rFonts w:ascii="Arial" w:hAnsi="Arial" w:cs="Arial"/>
          <w:sz w:val="22"/>
          <w:szCs w:val="22"/>
        </w:rPr>
        <w:t xml:space="preserve"> as </w:t>
      </w:r>
      <w:r w:rsidR="00A55E78">
        <w:rPr>
          <w:rFonts w:ascii="Arial" w:hAnsi="Arial" w:cs="Arial"/>
          <w:sz w:val="22"/>
          <w:szCs w:val="22"/>
        </w:rPr>
        <w:t>shown</w:t>
      </w:r>
      <w:r w:rsidRPr="006E7D7C">
        <w:rPr>
          <w:rFonts w:ascii="Arial" w:hAnsi="Arial" w:cs="Arial"/>
          <w:sz w:val="22"/>
          <w:szCs w:val="22"/>
        </w:rPr>
        <w:t xml:space="preserve"> in Table 3.2</w:t>
      </w:r>
      <w:r w:rsidR="00D873D2" w:rsidRPr="006E7D7C">
        <w:rPr>
          <w:rFonts w:ascii="Arial" w:hAnsi="Arial" w:cs="Arial"/>
          <w:sz w:val="22"/>
          <w:szCs w:val="22"/>
        </w:rPr>
        <w:t xml:space="preserve">. </w:t>
      </w:r>
      <w:r w:rsidRPr="006E7D7C">
        <w:rPr>
          <w:rFonts w:ascii="Arial" w:hAnsi="Arial" w:cs="Arial"/>
          <w:sz w:val="22"/>
          <w:szCs w:val="22"/>
        </w:rPr>
        <w:t>The link between clinical need</w:t>
      </w:r>
      <w:r w:rsidR="00A55E78">
        <w:rPr>
          <w:rFonts w:ascii="Arial" w:hAnsi="Arial" w:cs="Arial"/>
          <w:sz w:val="22"/>
          <w:szCs w:val="22"/>
        </w:rPr>
        <w:t xml:space="preserve">, </w:t>
      </w:r>
      <w:r w:rsidRPr="006E7D7C">
        <w:rPr>
          <w:rFonts w:ascii="Arial" w:hAnsi="Arial" w:cs="Arial"/>
          <w:sz w:val="22"/>
          <w:szCs w:val="22"/>
        </w:rPr>
        <w:t xml:space="preserve">complexity of a patient and the cost of service provision is echoed in the literature by </w:t>
      </w:r>
      <w:proofErr w:type="spellStart"/>
      <w:r w:rsidRPr="006E7D7C">
        <w:rPr>
          <w:rFonts w:ascii="Arial" w:hAnsi="Arial" w:cs="Arial"/>
          <w:sz w:val="22"/>
          <w:szCs w:val="22"/>
        </w:rPr>
        <w:t>Deeble</w:t>
      </w:r>
      <w:proofErr w:type="spellEnd"/>
      <w:r w:rsidRPr="00C628C4">
        <w:rPr>
          <w:rStyle w:val="FootnoteReference"/>
          <w:rFonts w:ascii="Arial" w:hAnsi="Arial" w:cs="Arial"/>
          <w:sz w:val="22"/>
          <w:szCs w:val="22"/>
        </w:rPr>
        <w:footnoteReference w:id="2"/>
      </w:r>
      <w:r w:rsidR="00A55E78">
        <w:rPr>
          <w:rFonts w:ascii="Arial" w:hAnsi="Arial" w:cs="Arial"/>
          <w:sz w:val="22"/>
          <w:szCs w:val="22"/>
        </w:rPr>
        <w:t>.</w:t>
      </w:r>
      <w:r w:rsidRPr="00C628C4">
        <w:rPr>
          <w:rFonts w:ascii="Arial" w:hAnsi="Arial" w:cs="Arial"/>
          <w:sz w:val="22"/>
          <w:szCs w:val="22"/>
        </w:rPr>
        <w:t xml:space="preserve"> </w:t>
      </w:r>
      <w:r w:rsidR="00A55E78">
        <w:rPr>
          <w:rFonts w:ascii="Arial" w:hAnsi="Arial" w:cs="Arial"/>
          <w:sz w:val="22"/>
          <w:szCs w:val="22"/>
        </w:rPr>
        <w:t>I</w:t>
      </w:r>
      <w:r w:rsidRPr="00C628C4">
        <w:rPr>
          <w:rFonts w:ascii="Arial" w:hAnsi="Arial" w:cs="Arial"/>
          <w:sz w:val="22"/>
          <w:szCs w:val="22"/>
        </w:rPr>
        <w:t xml:space="preserve">n his review of the Indigenous Cost Expenditure Report, </w:t>
      </w:r>
      <w:proofErr w:type="spellStart"/>
      <w:r w:rsidR="00A55E78">
        <w:rPr>
          <w:rFonts w:ascii="Arial" w:hAnsi="Arial" w:cs="Arial"/>
          <w:sz w:val="22"/>
          <w:szCs w:val="22"/>
        </w:rPr>
        <w:t>Deeble</w:t>
      </w:r>
      <w:proofErr w:type="spellEnd"/>
      <w:r w:rsidR="00A55E78">
        <w:rPr>
          <w:rFonts w:ascii="Arial" w:hAnsi="Arial" w:cs="Arial"/>
          <w:sz w:val="22"/>
          <w:szCs w:val="22"/>
        </w:rPr>
        <w:t xml:space="preserve"> </w:t>
      </w:r>
      <w:r w:rsidRPr="00C628C4">
        <w:rPr>
          <w:rFonts w:ascii="Arial" w:hAnsi="Arial" w:cs="Arial"/>
          <w:sz w:val="22"/>
          <w:szCs w:val="22"/>
        </w:rPr>
        <w:t xml:space="preserve">observes that the public expenditure </w:t>
      </w:r>
      <w:r w:rsidR="00A55E78">
        <w:rPr>
          <w:rFonts w:ascii="Arial" w:hAnsi="Arial" w:cs="Arial"/>
          <w:sz w:val="22"/>
          <w:szCs w:val="22"/>
        </w:rPr>
        <w:t xml:space="preserve">for an </w:t>
      </w:r>
      <w:r w:rsidRPr="00C628C4">
        <w:rPr>
          <w:rFonts w:ascii="Arial" w:hAnsi="Arial" w:cs="Arial"/>
          <w:sz w:val="22"/>
          <w:szCs w:val="22"/>
        </w:rPr>
        <w:t xml:space="preserve">Aboriginal person </w:t>
      </w:r>
      <w:r w:rsidR="00A55E78">
        <w:rPr>
          <w:rFonts w:ascii="Arial" w:hAnsi="Arial" w:cs="Arial"/>
          <w:sz w:val="22"/>
          <w:szCs w:val="22"/>
        </w:rPr>
        <w:t>is</w:t>
      </w:r>
      <w:r w:rsidR="00A55E78" w:rsidRPr="00C628C4">
        <w:rPr>
          <w:rFonts w:ascii="Arial" w:hAnsi="Arial" w:cs="Arial"/>
          <w:sz w:val="22"/>
          <w:szCs w:val="22"/>
        </w:rPr>
        <w:t xml:space="preserve"> </w:t>
      </w:r>
      <w:r w:rsidRPr="00C628C4">
        <w:rPr>
          <w:rFonts w:ascii="Arial" w:hAnsi="Arial" w:cs="Arial"/>
          <w:sz w:val="22"/>
          <w:szCs w:val="22"/>
        </w:rPr>
        <w:t>almost the same as those for all Australians in the same income group.</w:t>
      </w:r>
      <w:r w:rsidRPr="00C628C4">
        <w:rPr>
          <w:rStyle w:val="FootnoteReference"/>
          <w:rFonts w:ascii="Arial" w:hAnsi="Arial" w:cs="Arial"/>
          <w:sz w:val="22"/>
          <w:szCs w:val="22"/>
        </w:rPr>
        <w:footnoteReference w:id="3"/>
      </w:r>
      <w:r w:rsidRPr="00C628C4">
        <w:rPr>
          <w:rFonts w:ascii="Arial" w:hAnsi="Arial" w:cs="Arial"/>
          <w:sz w:val="22"/>
          <w:szCs w:val="22"/>
        </w:rPr>
        <w:t xml:space="preserve"> He concludes that more direct measures of hospital use are needed</w:t>
      </w:r>
      <w:r w:rsidR="00A55E78">
        <w:rPr>
          <w:rFonts w:ascii="Arial" w:hAnsi="Arial" w:cs="Arial"/>
          <w:sz w:val="22"/>
          <w:szCs w:val="22"/>
        </w:rPr>
        <w:t>,</w:t>
      </w:r>
      <w:r w:rsidRPr="00C628C4">
        <w:rPr>
          <w:rFonts w:ascii="Arial" w:hAnsi="Arial" w:cs="Arial"/>
          <w:sz w:val="22"/>
          <w:szCs w:val="22"/>
        </w:rPr>
        <w:t xml:space="preserve"> as it would be very surprising if both the mix of services and the costs per unit of service were the same for the two population cohorts. </w:t>
      </w:r>
    </w:p>
    <w:p w:rsidR="008E5E73" w:rsidRPr="00C628C4" w:rsidRDefault="008E5E73" w:rsidP="008E5E73">
      <w:pPr>
        <w:pStyle w:val="TableCaption"/>
        <w:rPr>
          <w:rFonts w:ascii="Arial" w:hAnsi="Arial" w:cs="Arial"/>
          <w:sz w:val="18"/>
          <w:szCs w:val="18"/>
        </w:rPr>
      </w:pPr>
      <w:r w:rsidRPr="00C628C4">
        <w:rPr>
          <w:rFonts w:ascii="Arial" w:hAnsi="Arial" w:cs="Arial"/>
          <w:sz w:val="18"/>
          <w:szCs w:val="18"/>
        </w:rPr>
        <w:t xml:space="preserve">Table 3.2: Respondent views as to why a cost differential does not exist between Indigenous and </w:t>
      </w:r>
      <w:r w:rsidR="007A097D" w:rsidRPr="00C628C4">
        <w:rPr>
          <w:rFonts w:ascii="Arial" w:hAnsi="Arial" w:cs="Arial"/>
          <w:sz w:val="18"/>
          <w:szCs w:val="18"/>
        </w:rPr>
        <w:t>Non-Indigenous</w:t>
      </w:r>
      <w:r w:rsidRPr="00C628C4">
        <w:rPr>
          <w:rFonts w:ascii="Arial" w:hAnsi="Arial" w:cs="Arial"/>
          <w:sz w:val="18"/>
          <w:szCs w:val="18"/>
        </w:rPr>
        <w:t xml:space="preserve"> patients</w:t>
      </w:r>
    </w:p>
    <w:tbl>
      <w:tblPr>
        <w:tblStyle w:val="TableGrid"/>
        <w:tblW w:w="0" w:type="auto"/>
        <w:tblLook w:val="04A0" w:firstRow="1" w:lastRow="0" w:firstColumn="1" w:lastColumn="0" w:noHBand="0" w:noVBand="1"/>
        <w:tblCaption w:val="Table 3.2: Respondent views as to why a cost differential does not exist between Indigenous and Non-Indigenous patients"/>
        <w:tblDescription w:val="Reasons provided by respondents as to why they did not expect to see a cost differential between the two patient cohorts."/>
      </w:tblPr>
      <w:tblGrid>
        <w:gridCol w:w="8516"/>
      </w:tblGrid>
      <w:tr w:rsidR="008E5E73" w:rsidRPr="0033363C" w:rsidTr="008E5E73">
        <w:trPr>
          <w:tblHeader/>
        </w:trPr>
        <w:tc>
          <w:tcPr>
            <w:tcW w:w="8516" w:type="dxa"/>
            <w:shd w:val="clear" w:color="auto" w:fill="D9D9D9"/>
          </w:tcPr>
          <w:p w:rsidR="008E5E73" w:rsidRPr="00C628C4" w:rsidRDefault="008E5E73" w:rsidP="008E5E73">
            <w:pPr>
              <w:jc w:val="center"/>
              <w:rPr>
                <w:rFonts w:asciiTheme="majorHAnsi" w:hAnsiTheme="majorHAnsi" w:cs="Arial"/>
                <w:sz w:val="22"/>
                <w:szCs w:val="22"/>
              </w:rPr>
            </w:pPr>
            <w:r w:rsidRPr="00C628C4">
              <w:rPr>
                <w:rFonts w:asciiTheme="majorHAnsi" w:hAnsiTheme="majorHAnsi" w:cs="Arial"/>
                <w:b/>
                <w:sz w:val="22"/>
                <w:szCs w:val="22"/>
              </w:rPr>
              <w:t>Respondent views on why a cost differential does not exist</w:t>
            </w:r>
          </w:p>
        </w:tc>
      </w:tr>
      <w:tr w:rsidR="008E5E73" w:rsidRPr="0033363C" w:rsidTr="008E5E73">
        <w:trPr>
          <w:trHeight w:val="4508"/>
        </w:trPr>
        <w:tc>
          <w:tcPr>
            <w:tcW w:w="8516" w:type="dxa"/>
            <w:vAlign w:val="center"/>
          </w:tcPr>
          <w:p w:rsidR="008E5E73" w:rsidRPr="00C628C4"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Acute setting is more uniform</w:t>
            </w:r>
            <w:r w:rsidR="00A55E78">
              <w:rPr>
                <w:rFonts w:asciiTheme="majorHAnsi" w:hAnsiTheme="majorHAnsi" w:cs="Arial"/>
                <w:sz w:val="22"/>
                <w:szCs w:val="22"/>
              </w:rPr>
              <w:t>.</w:t>
            </w:r>
          </w:p>
          <w:p w:rsidR="008E5E73" w:rsidRPr="00C628C4"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 xml:space="preserve">Co-morbidities </w:t>
            </w:r>
            <w:r w:rsidR="00A55E78">
              <w:rPr>
                <w:rFonts w:asciiTheme="majorHAnsi" w:hAnsiTheme="majorHAnsi" w:cs="Arial"/>
                <w:sz w:val="22"/>
                <w:szCs w:val="22"/>
              </w:rPr>
              <w:t xml:space="preserve">are </w:t>
            </w:r>
            <w:r w:rsidRPr="00C628C4">
              <w:rPr>
                <w:rFonts w:asciiTheme="majorHAnsi" w:hAnsiTheme="majorHAnsi" w:cs="Arial"/>
                <w:sz w:val="22"/>
                <w:szCs w:val="22"/>
              </w:rPr>
              <w:t xml:space="preserve">less of a cost in </w:t>
            </w:r>
            <w:r w:rsidR="00F618BE" w:rsidRPr="00C628C4">
              <w:rPr>
                <w:rFonts w:asciiTheme="majorHAnsi" w:hAnsiTheme="majorHAnsi" w:cs="Arial"/>
                <w:sz w:val="22"/>
                <w:szCs w:val="22"/>
              </w:rPr>
              <w:t>non</w:t>
            </w:r>
            <w:r w:rsidRPr="00C628C4">
              <w:rPr>
                <w:rFonts w:asciiTheme="majorHAnsi" w:hAnsiTheme="majorHAnsi" w:cs="Arial"/>
                <w:sz w:val="22"/>
                <w:szCs w:val="22"/>
              </w:rPr>
              <w:t>-admitted</w:t>
            </w:r>
            <w:r w:rsidR="00A55E78">
              <w:rPr>
                <w:rFonts w:asciiTheme="majorHAnsi" w:hAnsiTheme="majorHAnsi" w:cs="Arial"/>
                <w:sz w:val="22"/>
                <w:szCs w:val="22"/>
              </w:rPr>
              <w:t>.</w:t>
            </w:r>
          </w:p>
          <w:p w:rsidR="008E5E73" w:rsidRPr="00C628C4"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 xml:space="preserve">All treatment and medical/nursing interventions are according to clinical need if the patient has co-morbidities then this is where the cost drivers </w:t>
            </w:r>
            <w:proofErr w:type="gramStart"/>
            <w:r w:rsidRPr="00C628C4">
              <w:rPr>
                <w:rFonts w:asciiTheme="majorHAnsi" w:hAnsiTheme="majorHAnsi" w:cs="Arial"/>
                <w:sz w:val="22"/>
                <w:szCs w:val="22"/>
              </w:rPr>
              <w:t>is</w:t>
            </w:r>
            <w:proofErr w:type="gramEnd"/>
            <w:r w:rsidR="00A55E78">
              <w:rPr>
                <w:rFonts w:asciiTheme="majorHAnsi" w:hAnsiTheme="majorHAnsi" w:cs="Arial"/>
                <w:sz w:val="22"/>
                <w:szCs w:val="22"/>
              </w:rPr>
              <w:t xml:space="preserve"> – </w:t>
            </w:r>
            <w:r w:rsidRPr="00C628C4">
              <w:rPr>
                <w:rFonts w:asciiTheme="majorHAnsi" w:hAnsiTheme="majorHAnsi" w:cs="Arial"/>
                <w:sz w:val="22"/>
                <w:szCs w:val="22"/>
              </w:rPr>
              <w:t xml:space="preserve">not because of ethnicity. However, outreach services are sometimes required for </w:t>
            </w:r>
            <w:r w:rsidR="00F618BE" w:rsidRPr="00C628C4">
              <w:rPr>
                <w:rFonts w:asciiTheme="majorHAnsi" w:hAnsiTheme="majorHAnsi" w:cs="Arial"/>
                <w:sz w:val="22"/>
                <w:szCs w:val="22"/>
              </w:rPr>
              <w:t>non</w:t>
            </w:r>
            <w:r w:rsidRPr="00C628C4">
              <w:rPr>
                <w:rFonts w:asciiTheme="majorHAnsi" w:hAnsiTheme="majorHAnsi" w:cs="Arial"/>
                <w:sz w:val="22"/>
                <w:szCs w:val="22"/>
              </w:rPr>
              <w:t xml:space="preserve">-urgent transport to referral services/out-patient appointments either locally or to regional resource </w:t>
            </w:r>
            <w:proofErr w:type="spellStart"/>
            <w:r w:rsidRPr="00C628C4">
              <w:rPr>
                <w:rFonts w:asciiTheme="majorHAnsi" w:hAnsiTheme="majorHAnsi" w:cs="Arial"/>
                <w:sz w:val="22"/>
                <w:szCs w:val="22"/>
              </w:rPr>
              <w:t>centre</w:t>
            </w:r>
            <w:proofErr w:type="spellEnd"/>
            <w:r w:rsidRPr="00C628C4">
              <w:rPr>
                <w:rFonts w:asciiTheme="majorHAnsi" w:hAnsiTheme="majorHAnsi" w:cs="Arial"/>
                <w:sz w:val="22"/>
                <w:szCs w:val="22"/>
              </w:rPr>
              <w:t>.</w:t>
            </w:r>
          </w:p>
          <w:p w:rsidR="00A55E78"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 xml:space="preserve">Straightforward, short interactions usually similar for Indigenous and </w:t>
            </w:r>
            <w:r w:rsidR="007A097D" w:rsidRPr="00C628C4">
              <w:rPr>
                <w:rFonts w:asciiTheme="majorHAnsi" w:hAnsiTheme="majorHAnsi" w:cs="Arial"/>
                <w:sz w:val="22"/>
                <w:szCs w:val="22"/>
              </w:rPr>
              <w:t>non-Indigenous</w:t>
            </w:r>
            <w:r w:rsidRPr="00C628C4">
              <w:rPr>
                <w:rFonts w:asciiTheme="majorHAnsi" w:hAnsiTheme="majorHAnsi" w:cs="Arial"/>
                <w:sz w:val="22"/>
                <w:szCs w:val="22"/>
              </w:rPr>
              <w:t xml:space="preserve"> patients. Longer more complex interaction </w:t>
            </w:r>
            <w:r w:rsidR="00A55E78">
              <w:rPr>
                <w:rFonts w:asciiTheme="majorHAnsi" w:hAnsiTheme="majorHAnsi" w:cs="Arial"/>
                <w:sz w:val="22"/>
                <w:szCs w:val="22"/>
              </w:rPr>
              <w:t xml:space="preserve">is </w:t>
            </w:r>
            <w:r w:rsidRPr="00C628C4">
              <w:rPr>
                <w:rFonts w:asciiTheme="majorHAnsi" w:hAnsiTheme="majorHAnsi" w:cs="Arial"/>
                <w:sz w:val="22"/>
                <w:szCs w:val="22"/>
              </w:rPr>
              <w:t xml:space="preserve">more likely to require assistance with language, family and socio-economic concerns, </w:t>
            </w:r>
            <w:proofErr w:type="gramStart"/>
            <w:r w:rsidRPr="00C628C4">
              <w:rPr>
                <w:rFonts w:asciiTheme="majorHAnsi" w:hAnsiTheme="majorHAnsi" w:cs="Arial"/>
                <w:sz w:val="22"/>
                <w:szCs w:val="22"/>
              </w:rPr>
              <w:t>liaison</w:t>
            </w:r>
            <w:proofErr w:type="gramEnd"/>
            <w:r w:rsidRPr="00C628C4">
              <w:rPr>
                <w:rFonts w:asciiTheme="majorHAnsi" w:hAnsiTheme="majorHAnsi" w:cs="Arial"/>
                <w:sz w:val="22"/>
                <w:szCs w:val="22"/>
              </w:rPr>
              <w:t xml:space="preserve"> with aboriginal health and contact with liaison officer. </w:t>
            </w:r>
          </w:p>
          <w:p w:rsidR="008E5E73" w:rsidRPr="00C628C4" w:rsidRDefault="00F618BE"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Non</w:t>
            </w:r>
            <w:r w:rsidR="008E5E73" w:rsidRPr="00C628C4">
              <w:rPr>
                <w:rFonts w:asciiTheme="majorHAnsi" w:hAnsiTheme="majorHAnsi" w:cs="Arial"/>
                <w:sz w:val="22"/>
                <w:szCs w:val="22"/>
              </w:rPr>
              <w:t xml:space="preserve">-admitted ED patients more likely that Indigenous patients </w:t>
            </w:r>
            <w:r w:rsidR="00A55E78">
              <w:rPr>
                <w:rFonts w:asciiTheme="majorHAnsi" w:hAnsiTheme="majorHAnsi" w:cs="Arial"/>
                <w:sz w:val="22"/>
                <w:szCs w:val="22"/>
              </w:rPr>
              <w:t>to</w:t>
            </w:r>
            <w:r w:rsidR="00A55E78" w:rsidRPr="00C628C4">
              <w:rPr>
                <w:rFonts w:asciiTheme="majorHAnsi" w:hAnsiTheme="majorHAnsi" w:cs="Arial"/>
                <w:sz w:val="22"/>
                <w:szCs w:val="22"/>
              </w:rPr>
              <w:t xml:space="preserve"> </w:t>
            </w:r>
            <w:r w:rsidR="008E5E73" w:rsidRPr="00C628C4">
              <w:rPr>
                <w:rFonts w:asciiTheme="majorHAnsi" w:hAnsiTheme="majorHAnsi" w:cs="Arial"/>
                <w:sz w:val="22"/>
                <w:szCs w:val="22"/>
              </w:rPr>
              <w:t xml:space="preserve">have significant co-morbidities impacting on their care. </w:t>
            </w:r>
          </w:p>
          <w:p w:rsidR="008E5E73" w:rsidRPr="00C628C4"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t xml:space="preserve">I don't see how the cost can vary. Each patient receives the same care. Perhaps in [another region] where RFDS transfers are common for patients with unmanaged chronic conditions who are also constantly admitted to the local hospital for treatment (this happens to </w:t>
            </w:r>
            <w:r w:rsidR="007A097D" w:rsidRPr="00C628C4">
              <w:rPr>
                <w:rFonts w:asciiTheme="majorHAnsi" w:hAnsiTheme="majorHAnsi" w:cs="Arial"/>
                <w:sz w:val="22"/>
                <w:szCs w:val="22"/>
              </w:rPr>
              <w:t>non-Indigenous</w:t>
            </w:r>
            <w:r w:rsidRPr="00C628C4">
              <w:rPr>
                <w:rFonts w:asciiTheme="majorHAnsi" w:hAnsiTheme="majorHAnsi" w:cs="Arial"/>
                <w:sz w:val="22"/>
                <w:szCs w:val="22"/>
              </w:rPr>
              <w:t xml:space="preserve"> patients as well)</w:t>
            </w:r>
            <w:r w:rsidR="00A55E78">
              <w:rPr>
                <w:rFonts w:asciiTheme="majorHAnsi" w:hAnsiTheme="majorHAnsi" w:cs="Arial"/>
                <w:sz w:val="22"/>
                <w:szCs w:val="22"/>
              </w:rPr>
              <w:t>.</w:t>
            </w:r>
          </w:p>
          <w:p w:rsidR="008E5E73" w:rsidRPr="00C628C4" w:rsidRDefault="008E5E73" w:rsidP="00E86862">
            <w:pPr>
              <w:pStyle w:val="ListParagraph"/>
              <w:numPr>
                <w:ilvl w:val="0"/>
                <w:numId w:val="22"/>
              </w:numPr>
              <w:rPr>
                <w:rFonts w:asciiTheme="majorHAnsi" w:hAnsiTheme="majorHAnsi" w:cs="Arial"/>
                <w:sz w:val="22"/>
                <w:szCs w:val="22"/>
              </w:rPr>
            </w:pPr>
            <w:r w:rsidRPr="00C628C4">
              <w:rPr>
                <w:rFonts w:asciiTheme="majorHAnsi" w:hAnsiTheme="majorHAnsi" w:cs="Arial"/>
                <w:sz w:val="22"/>
                <w:szCs w:val="22"/>
              </w:rPr>
              <w:lastRenderedPageBreak/>
              <w:t>It is usually the medical condition that determines the cost of treatment not being Caucasian or Aboriginal</w:t>
            </w:r>
            <w:r w:rsidR="00A55E78">
              <w:rPr>
                <w:rFonts w:asciiTheme="majorHAnsi" w:hAnsiTheme="majorHAnsi" w:cs="Arial"/>
                <w:sz w:val="22"/>
                <w:szCs w:val="22"/>
              </w:rPr>
              <w:t>.</w:t>
            </w:r>
          </w:p>
        </w:tc>
      </w:tr>
    </w:tbl>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lastRenderedPageBreak/>
        <w:t>The feedback provided through the consultations and the experience of the majority of health care providers responding to the survey is</w:t>
      </w:r>
      <w:r w:rsidR="0079729A">
        <w:rPr>
          <w:rFonts w:ascii="Arial" w:hAnsi="Arial" w:cs="Arial"/>
          <w:sz w:val="22"/>
          <w:szCs w:val="22"/>
        </w:rPr>
        <w:t xml:space="preserve"> anecdotal</w:t>
      </w:r>
      <w:r w:rsidRPr="00C628C4">
        <w:rPr>
          <w:rFonts w:ascii="Arial" w:hAnsi="Arial" w:cs="Arial"/>
          <w:sz w:val="22"/>
          <w:szCs w:val="22"/>
        </w:rPr>
        <w:t xml:space="preserve"> </w:t>
      </w:r>
      <w:r w:rsidR="00A55E78">
        <w:rPr>
          <w:rFonts w:ascii="Arial" w:hAnsi="Arial" w:cs="Arial"/>
          <w:sz w:val="22"/>
          <w:szCs w:val="22"/>
        </w:rPr>
        <w:t>evidence of</w:t>
      </w:r>
      <w:r w:rsidRPr="00C628C4">
        <w:rPr>
          <w:rFonts w:ascii="Arial" w:hAnsi="Arial" w:cs="Arial"/>
          <w:sz w:val="22"/>
          <w:szCs w:val="22"/>
        </w:rPr>
        <w:t xml:space="preserve"> some form of cost differential in treating Indigenous patients compared to </w:t>
      </w:r>
      <w:r w:rsidR="007A097D" w:rsidRPr="00C628C4">
        <w:rPr>
          <w:rFonts w:ascii="Arial" w:hAnsi="Arial" w:cs="Arial"/>
          <w:sz w:val="22"/>
          <w:szCs w:val="22"/>
        </w:rPr>
        <w:t>non-Indigenous</w:t>
      </w:r>
      <w:r w:rsidRPr="00C628C4">
        <w:rPr>
          <w:rFonts w:ascii="Arial" w:hAnsi="Arial" w:cs="Arial"/>
          <w:sz w:val="22"/>
          <w:szCs w:val="22"/>
        </w:rPr>
        <w:t xml:space="preserve"> patients for the same condition</w:t>
      </w:r>
      <w:r w:rsidR="00D873D2" w:rsidRPr="00C628C4">
        <w:rPr>
          <w:rFonts w:ascii="Arial" w:hAnsi="Arial" w:cs="Arial"/>
          <w:sz w:val="22"/>
          <w:szCs w:val="22"/>
        </w:rPr>
        <w:t xml:space="preserve">. </w:t>
      </w:r>
      <w:r w:rsidRPr="00C628C4">
        <w:rPr>
          <w:rFonts w:ascii="Arial" w:hAnsi="Arial" w:cs="Arial"/>
          <w:sz w:val="22"/>
          <w:szCs w:val="22"/>
        </w:rPr>
        <w:t>Of those health care professionals that observed a cost differential, the majority indicated that they anticipated the magnitude to be considerably more tha</w:t>
      </w:r>
      <w:r w:rsidR="00A55E78">
        <w:rPr>
          <w:rFonts w:ascii="Arial" w:hAnsi="Arial" w:cs="Arial"/>
          <w:sz w:val="22"/>
          <w:szCs w:val="22"/>
        </w:rPr>
        <w:t>n</w:t>
      </w:r>
      <w:r w:rsidRPr="00C628C4">
        <w:rPr>
          <w:rFonts w:ascii="Arial" w:hAnsi="Arial" w:cs="Arial"/>
          <w:sz w:val="22"/>
          <w:szCs w:val="22"/>
        </w:rPr>
        <w:t xml:space="preserve"> the 4% differential identified by IHPA</w:t>
      </w:r>
      <w:r w:rsidR="00D873D2" w:rsidRPr="00C628C4">
        <w:rPr>
          <w:rFonts w:ascii="Arial" w:hAnsi="Arial" w:cs="Arial"/>
          <w:sz w:val="22"/>
          <w:szCs w:val="22"/>
        </w:rPr>
        <w:t xml:space="preserve">. </w:t>
      </w:r>
    </w:p>
    <w:p w:rsidR="008E5E73" w:rsidRPr="00C628C4" w:rsidRDefault="008E5E73" w:rsidP="008E5E73">
      <w:pPr>
        <w:spacing w:before="120" w:after="120"/>
        <w:rPr>
          <w:rFonts w:ascii="Arial" w:hAnsi="Arial" w:cs="Arial"/>
          <w:sz w:val="22"/>
          <w:szCs w:val="22"/>
        </w:rPr>
      </w:pPr>
      <w:r w:rsidRPr="00C628C4">
        <w:rPr>
          <w:rFonts w:ascii="Arial" w:hAnsi="Arial" w:cs="Arial"/>
          <w:sz w:val="22"/>
          <w:szCs w:val="22"/>
        </w:rPr>
        <w:t>Further, the differential is reportedly observed across all hospital treatment modalities and as such</w:t>
      </w:r>
      <w:r w:rsidR="00A55E78">
        <w:rPr>
          <w:rFonts w:ascii="Arial" w:hAnsi="Arial" w:cs="Arial"/>
          <w:sz w:val="22"/>
          <w:szCs w:val="22"/>
        </w:rPr>
        <w:t>,</w:t>
      </w:r>
      <w:r w:rsidRPr="00C628C4">
        <w:rPr>
          <w:rFonts w:ascii="Arial" w:hAnsi="Arial" w:cs="Arial"/>
          <w:sz w:val="22"/>
          <w:szCs w:val="22"/>
        </w:rPr>
        <w:t xml:space="preserve"> cost data from each area reported through the NHCDC was sourced and </w:t>
      </w:r>
      <w:proofErr w:type="spellStart"/>
      <w:r w:rsidRPr="00C628C4">
        <w:rPr>
          <w:rFonts w:ascii="Arial" w:hAnsi="Arial" w:cs="Arial"/>
          <w:sz w:val="22"/>
          <w:szCs w:val="22"/>
        </w:rPr>
        <w:t>analysed</w:t>
      </w:r>
      <w:proofErr w:type="spellEnd"/>
      <w:r w:rsidRPr="00C628C4">
        <w:rPr>
          <w:rFonts w:ascii="Arial" w:hAnsi="Arial" w:cs="Arial"/>
          <w:sz w:val="22"/>
          <w:szCs w:val="22"/>
        </w:rPr>
        <w:t xml:space="preserve"> to:</w:t>
      </w:r>
    </w:p>
    <w:p w:rsidR="008E5E73" w:rsidRPr="00C628C4" w:rsidRDefault="008E5E73" w:rsidP="00E86862">
      <w:pPr>
        <w:pStyle w:val="ListParagraph"/>
        <w:numPr>
          <w:ilvl w:val="0"/>
          <w:numId w:val="45"/>
        </w:numPr>
        <w:spacing w:before="120" w:after="120"/>
        <w:rPr>
          <w:rFonts w:ascii="Arial" w:hAnsi="Arial" w:cs="Arial"/>
          <w:sz w:val="22"/>
          <w:szCs w:val="22"/>
        </w:rPr>
      </w:pPr>
      <w:r w:rsidRPr="00C628C4">
        <w:rPr>
          <w:rFonts w:ascii="Arial" w:hAnsi="Arial" w:cs="Arial"/>
          <w:sz w:val="22"/>
          <w:szCs w:val="22"/>
        </w:rPr>
        <w:t>establish a quantitative evidence base supporting the reported observations of the health care professionals, and</w:t>
      </w:r>
    </w:p>
    <w:p w:rsidR="008E5E73" w:rsidRPr="00C628C4" w:rsidRDefault="008E5E73" w:rsidP="00E86862">
      <w:pPr>
        <w:pStyle w:val="ListParagraph"/>
        <w:numPr>
          <w:ilvl w:val="0"/>
          <w:numId w:val="45"/>
        </w:numPr>
        <w:spacing w:before="120" w:after="120"/>
        <w:rPr>
          <w:rFonts w:ascii="Arial" w:hAnsi="Arial" w:cs="Arial"/>
          <w:sz w:val="22"/>
          <w:szCs w:val="22"/>
        </w:rPr>
      </w:pPr>
      <w:proofErr w:type="gramStart"/>
      <w:r w:rsidRPr="00C628C4">
        <w:rPr>
          <w:rFonts w:ascii="Arial" w:hAnsi="Arial" w:cs="Arial"/>
          <w:sz w:val="22"/>
          <w:szCs w:val="22"/>
        </w:rPr>
        <w:t>determine</w:t>
      </w:r>
      <w:proofErr w:type="gramEnd"/>
      <w:r w:rsidRPr="00C628C4">
        <w:rPr>
          <w:rFonts w:ascii="Arial" w:hAnsi="Arial" w:cs="Arial"/>
          <w:sz w:val="22"/>
          <w:szCs w:val="22"/>
        </w:rPr>
        <w:t xml:space="preserve"> the magnitude of the cost differential where it exists. </w:t>
      </w:r>
    </w:p>
    <w:p w:rsidR="008E5E73" w:rsidRPr="008E5E73" w:rsidRDefault="008E5E73" w:rsidP="008E5E73"/>
    <w:p w:rsidR="0054362F" w:rsidRDefault="0054362F">
      <w:pPr>
        <w:rPr>
          <w:rFonts w:ascii="Arial" w:eastAsiaTheme="majorEastAsia" w:hAnsi="Arial" w:cs="Arial"/>
          <w:b/>
          <w:bCs/>
          <w:color w:val="943634" w:themeColor="accent2" w:themeShade="BF"/>
          <w:sz w:val="32"/>
          <w:szCs w:val="32"/>
        </w:rPr>
      </w:pPr>
      <w:bookmarkStart w:id="11" w:name="_Toc278480609"/>
      <w:bookmarkStart w:id="12" w:name="_Toc342395326"/>
      <w:bookmarkStart w:id="13" w:name="_Toc342396445"/>
      <w:bookmarkStart w:id="14" w:name="_Toc342400138"/>
      <w:bookmarkStart w:id="15" w:name="_Toc342400401"/>
      <w:bookmarkStart w:id="16" w:name="_Ref342401051"/>
      <w:bookmarkStart w:id="17" w:name="_Ref342401520"/>
      <w:bookmarkStart w:id="18" w:name="_Ref342401739"/>
      <w:bookmarkStart w:id="19" w:name="_Ref342401785"/>
      <w:bookmarkStart w:id="20" w:name="_Ref342401864"/>
      <w:bookmarkStart w:id="21" w:name="_Ref342401886"/>
      <w:bookmarkStart w:id="22" w:name="_Ref342401918"/>
      <w:bookmarkStart w:id="23" w:name="_Ref342401980"/>
      <w:bookmarkStart w:id="24" w:name="_Ref342401990"/>
      <w:bookmarkStart w:id="25" w:name="_Ref342402058"/>
      <w:bookmarkStart w:id="26" w:name="_Ref342402087"/>
      <w:bookmarkStart w:id="27" w:name="_Ref342402147"/>
      <w:bookmarkStart w:id="28" w:name="_Ref342403298"/>
      <w:r>
        <w:rPr>
          <w:rFonts w:ascii="Arial" w:hAnsi="Arial" w:cs="Arial"/>
          <w:color w:val="943634" w:themeColor="accent2" w:themeShade="BF"/>
        </w:rPr>
        <w:br w:type="page"/>
      </w:r>
    </w:p>
    <w:p w:rsidR="00D50DA6" w:rsidRPr="00FD775F" w:rsidRDefault="00D50DA6" w:rsidP="00287791">
      <w:pPr>
        <w:pStyle w:val="Heading1"/>
        <w:ind w:left="0"/>
      </w:pPr>
      <w:bookmarkStart w:id="29" w:name="_Toc426117639"/>
      <w:r w:rsidRPr="00FD775F">
        <w:lastRenderedPageBreak/>
        <w:t xml:space="preserve">Dedicated </w:t>
      </w:r>
      <w:r w:rsidR="00D4435C" w:rsidRPr="00FD775F">
        <w:t xml:space="preserve">Cost </w:t>
      </w:r>
      <w:proofErr w:type="spellStart"/>
      <w:r w:rsidR="00D4435C" w:rsidRPr="00FD775F">
        <w:t>Centres</w:t>
      </w:r>
      <w:proofErr w:type="spellEnd"/>
      <w:r w:rsidR="00D4435C" w:rsidRPr="00FD775F">
        <w:t xml:space="preserve"> - </w:t>
      </w:r>
      <w:r w:rsidRPr="00FD775F">
        <w:t>Service Provision to Indigenous Patients Only</w:t>
      </w:r>
      <w:bookmarkEnd w:id="11"/>
      <w:bookmarkEnd w:id="29"/>
    </w:p>
    <w:p w:rsidR="009868C1" w:rsidRPr="005E6149" w:rsidRDefault="009868C1" w:rsidP="009868C1">
      <w:pPr>
        <w:spacing w:before="120" w:after="120"/>
        <w:rPr>
          <w:rFonts w:ascii="Arial" w:hAnsi="Arial" w:cs="Arial"/>
          <w:sz w:val="22"/>
          <w:szCs w:val="22"/>
        </w:rPr>
      </w:pPr>
      <w:r w:rsidRPr="005E6149">
        <w:rPr>
          <w:rFonts w:ascii="Arial" w:hAnsi="Arial" w:cs="Arial"/>
          <w:sz w:val="22"/>
          <w:szCs w:val="22"/>
        </w:rPr>
        <w:t xml:space="preserve">Jurisdictions have </w:t>
      </w:r>
      <w:proofErr w:type="spellStart"/>
      <w:r w:rsidRPr="005E6149">
        <w:rPr>
          <w:rFonts w:ascii="Arial" w:hAnsi="Arial" w:cs="Arial"/>
          <w:sz w:val="22"/>
          <w:szCs w:val="22"/>
        </w:rPr>
        <w:t>hypothesi</w:t>
      </w:r>
      <w:r w:rsidR="00A93392" w:rsidRPr="005E6149">
        <w:rPr>
          <w:rFonts w:ascii="Arial" w:hAnsi="Arial" w:cs="Arial"/>
          <w:sz w:val="22"/>
          <w:szCs w:val="22"/>
        </w:rPr>
        <w:t>s</w:t>
      </w:r>
      <w:r w:rsidRPr="005E6149">
        <w:rPr>
          <w:rFonts w:ascii="Arial" w:hAnsi="Arial" w:cs="Arial"/>
          <w:sz w:val="22"/>
          <w:szCs w:val="22"/>
        </w:rPr>
        <w:t>ed</w:t>
      </w:r>
      <w:proofErr w:type="spellEnd"/>
      <w:r w:rsidRPr="005E6149">
        <w:rPr>
          <w:rFonts w:ascii="Arial" w:hAnsi="Arial" w:cs="Arial"/>
          <w:sz w:val="22"/>
          <w:szCs w:val="22"/>
        </w:rPr>
        <w:t xml:space="preserve"> that the potential difference in the cost profile of treating Indigenous patients when compared to their </w:t>
      </w:r>
      <w:r w:rsidR="007A097D">
        <w:rPr>
          <w:rFonts w:ascii="Arial" w:hAnsi="Arial" w:cs="Arial"/>
          <w:sz w:val="22"/>
          <w:szCs w:val="22"/>
        </w:rPr>
        <w:t>non-Indigenous</w:t>
      </w:r>
      <w:r w:rsidRPr="005E6149">
        <w:rPr>
          <w:rFonts w:ascii="Arial" w:hAnsi="Arial" w:cs="Arial"/>
          <w:sz w:val="22"/>
          <w:szCs w:val="22"/>
        </w:rPr>
        <w:t xml:space="preserve"> counterparts </w:t>
      </w:r>
      <w:r w:rsidR="00456541">
        <w:rPr>
          <w:rFonts w:ascii="Arial" w:hAnsi="Arial" w:cs="Arial"/>
          <w:sz w:val="22"/>
          <w:szCs w:val="22"/>
        </w:rPr>
        <w:t>is</w:t>
      </w:r>
      <w:r w:rsidR="00456541" w:rsidRPr="005E6149">
        <w:rPr>
          <w:rFonts w:ascii="Arial" w:hAnsi="Arial" w:cs="Arial"/>
          <w:sz w:val="22"/>
          <w:szCs w:val="22"/>
        </w:rPr>
        <w:t xml:space="preserve"> </w:t>
      </w:r>
      <w:r w:rsidRPr="005E6149">
        <w:rPr>
          <w:rFonts w:ascii="Arial" w:hAnsi="Arial" w:cs="Arial"/>
          <w:sz w:val="22"/>
          <w:szCs w:val="22"/>
        </w:rPr>
        <w:t xml:space="preserve">masked </w:t>
      </w:r>
      <w:r w:rsidR="00456541">
        <w:rPr>
          <w:rFonts w:ascii="Arial" w:hAnsi="Arial" w:cs="Arial"/>
          <w:sz w:val="22"/>
          <w:szCs w:val="22"/>
        </w:rPr>
        <w:t>by</w:t>
      </w:r>
      <w:r w:rsidRPr="005E6149">
        <w:rPr>
          <w:rFonts w:ascii="Arial" w:hAnsi="Arial" w:cs="Arial"/>
          <w:sz w:val="22"/>
          <w:szCs w:val="22"/>
        </w:rPr>
        <w:t xml:space="preserve"> poor cost allocation methodologies</w:t>
      </w:r>
      <w:r w:rsidR="00D4435C" w:rsidRPr="005E6149">
        <w:rPr>
          <w:rFonts w:ascii="Arial" w:hAnsi="Arial" w:cs="Arial"/>
          <w:sz w:val="22"/>
          <w:szCs w:val="22"/>
        </w:rPr>
        <w:t xml:space="preserve"> being adopted by hospitals and hospital or area health service networks</w:t>
      </w:r>
      <w:r w:rsidR="00D873D2">
        <w:rPr>
          <w:rFonts w:ascii="Arial" w:hAnsi="Arial" w:cs="Arial"/>
          <w:sz w:val="22"/>
          <w:szCs w:val="22"/>
        </w:rPr>
        <w:t xml:space="preserve">. </w:t>
      </w:r>
      <w:r w:rsidRPr="005E6149">
        <w:rPr>
          <w:rFonts w:ascii="Arial" w:hAnsi="Arial" w:cs="Arial"/>
          <w:sz w:val="22"/>
          <w:szCs w:val="22"/>
        </w:rPr>
        <w:t xml:space="preserve">Specifically, it has been postulated that for those cost </w:t>
      </w:r>
      <w:proofErr w:type="spellStart"/>
      <w:r w:rsidRPr="005E6149">
        <w:rPr>
          <w:rFonts w:ascii="Arial" w:hAnsi="Arial" w:cs="Arial"/>
          <w:sz w:val="22"/>
          <w:szCs w:val="22"/>
        </w:rPr>
        <w:t>centres</w:t>
      </w:r>
      <w:proofErr w:type="spellEnd"/>
      <w:r w:rsidRPr="005E6149">
        <w:rPr>
          <w:rFonts w:ascii="Arial" w:hAnsi="Arial" w:cs="Arial"/>
          <w:sz w:val="22"/>
          <w:szCs w:val="22"/>
        </w:rPr>
        <w:t xml:space="preserve"> singularly related to service provision to Indigenous patients, the cost allocation statistics used by some hospitals result in the costs being attributed to all activity rather than solely to Indigenous patients.</w:t>
      </w:r>
    </w:p>
    <w:p w:rsidR="009868C1" w:rsidRPr="005E6149" w:rsidRDefault="00A16110" w:rsidP="009868C1">
      <w:pPr>
        <w:spacing w:before="120" w:after="120"/>
        <w:rPr>
          <w:rFonts w:ascii="Arial" w:hAnsi="Arial" w:cs="Arial"/>
          <w:sz w:val="22"/>
          <w:szCs w:val="22"/>
        </w:rPr>
      </w:pPr>
      <w:r w:rsidRPr="005E6149">
        <w:rPr>
          <w:rFonts w:ascii="Arial" w:hAnsi="Arial" w:cs="Arial"/>
          <w:sz w:val="22"/>
          <w:szCs w:val="22"/>
        </w:rPr>
        <w:t>One of the lines of inquiry adopted in this investigative study sought to collect data from participating jurisdictions or costing teams to explore</w:t>
      </w:r>
      <w:r w:rsidR="00C629F1">
        <w:rPr>
          <w:rFonts w:ascii="Arial" w:hAnsi="Arial" w:cs="Arial"/>
          <w:sz w:val="22"/>
          <w:szCs w:val="22"/>
        </w:rPr>
        <w:t xml:space="preserve"> the following questions</w:t>
      </w:r>
      <w:r w:rsidRPr="005E6149">
        <w:rPr>
          <w:rFonts w:ascii="Arial" w:hAnsi="Arial" w:cs="Arial"/>
          <w:sz w:val="22"/>
          <w:szCs w:val="22"/>
        </w:rPr>
        <w:t>:</w:t>
      </w:r>
    </w:p>
    <w:p w:rsidR="00A16110" w:rsidRPr="005E6149" w:rsidRDefault="00A16110" w:rsidP="00E86862">
      <w:pPr>
        <w:pStyle w:val="ListParagraph"/>
        <w:numPr>
          <w:ilvl w:val="0"/>
          <w:numId w:val="25"/>
        </w:numPr>
        <w:spacing w:before="120" w:after="120"/>
        <w:rPr>
          <w:rFonts w:ascii="Arial" w:hAnsi="Arial" w:cs="Arial"/>
          <w:sz w:val="22"/>
          <w:szCs w:val="22"/>
        </w:rPr>
      </w:pPr>
      <w:r w:rsidRPr="005E6149">
        <w:rPr>
          <w:rFonts w:ascii="Arial" w:hAnsi="Arial" w:cs="Arial"/>
          <w:sz w:val="22"/>
          <w:szCs w:val="22"/>
        </w:rPr>
        <w:t xml:space="preserve">What cost </w:t>
      </w:r>
      <w:proofErr w:type="spellStart"/>
      <w:r w:rsidRPr="005E6149">
        <w:rPr>
          <w:rFonts w:ascii="Arial" w:hAnsi="Arial" w:cs="Arial"/>
          <w:sz w:val="22"/>
          <w:szCs w:val="22"/>
        </w:rPr>
        <w:t>centres</w:t>
      </w:r>
      <w:proofErr w:type="spellEnd"/>
      <w:r w:rsidRPr="005E6149">
        <w:rPr>
          <w:rFonts w:ascii="Arial" w:hAnsi="Arial" w:cs="Arial"/>
          <w:sz w:val="22"/>
          <w:szCs w:val="22"/>
        </w:rPr>
        <w:t xml:space="preserve"> are singularly related to costs incurred in providing services to Indigenous patients only?</w:t>
      </w:r>
    </w:p>
    <w:p w:rsidR="00A16110" w:rsidRPr="005E6149" w:rsidRDefault="00A16110" w:rsidP="00E86862">
      <w:pPr>
        <w:pStyle w:val="ListParagraph"/>
        <w:numPr>
          <w:ilvl w:val="0"/>
          <w:numId w:val="25"/>
        </w:numPr>
        <w:spacing w:before="120" w:after="120"/>
        <w:rPr>
          <w:rFonts w:ascii="Arial" w:hAnsi="Arial" w:cs="Arial"/>
          <w:sz w:val="22"/>
          <w:szCs w:val="22"/>
        </w:rPr>
      </w:pPr>
      <w:r w:rsidRPr="005E6149">
        <w:rPr>
          <w:rFonts w:ascii="Arial" w:hAnsi="Arial" w:cs="Arial"/>
          <w:sz w:val="22"/>
          <w:szCs w:val="22"/>
        </w:rPr>
        <w:t xml:space="preserve">From a costing perspective, are these cost </w:t>
      </w:r>
      <w:proofErr w:type="spellStart"/>
      <w:r w:rsidRPr="005E6149">
        <w:rPr>
          <w:rFonts w:ascii="Arial" w:hAnsi="Arial" w:cs="Arial"/>
          <w:sz w:val="22"/>
          <w:szCs w:val="22"/>
        </w:rPr>
        <w:t>centres</w:t>
      </w:r>
      <w:proofErr w:type="spellEnd"/>
      <w:r w:rsidRPr="005E6149">
        <w:rPr>
          <w:rFonts w:ascii="Arial" w:hAnsi="Arial" w:cs="Arial"/>
          <w:sz w:val="22"/>
          <w:szCs w:val="22"/>
        </w:rPr>
        <w:t xml:space="preserve"> treated as overheads, intermediate or final cost </w:t>
      </w:r>
      <w:proofErr w:type="spellStart"/>
      <w:r w:rsidRPr="005E6149">
        <w:rPr>
          <w:rFonts w:ascii="Arial" w:hAnsi="Arial" w:cs="Arial"/>
          <w:sz w:val="22"/>
          <w:szCs w:val="22"/>
        </w:rPr>
        <w:t>ce</w:t>
      </w:r>
      <w:r w:rsidR="005C1911" w:rsidRPr="005E6149">
        <w:rPr>
          <w:rFonts w:ascii="Arial" w:hAnsi="Arial" w:cs="Arial"/>
          <w:sz w:val="22"/>
          <w:szCs w:val="22"/>
        </w:rPr>
        <w:t>n</w:t>
      </w:r>
      <w:r w:rsidRPr="005E6149">
        <w:rPr>
          <w:rFonts w:ascii="Arial" w:hAnsi="Arial" w:cs="Arial"/>
          <w:sz w:val="22"/>
          <w:szCs w:val="22"/>
        </w:rPr>
        <w:t>tres</w:t>
      </w:r>
      <w:proofErr w:type="spellEnd"/>
      <w:r w:rsidRPr="005E6149">
        <w:rPr>
          <w:rFonts w:ascii="Arial" w:hAnsi="Arial" w:cs="Arial"/>
          <w:sz w:val="22"/>
          <w:szCs w:val="22"/>
        </w:rPr>
        <w:t>?</w:t>
      </w:r>
    </w:p>
    <w:p w:rsidR="00A16110" w:rsidRPr="005E6149" w:rsidRDefault="00A16110" w:rsidP="00E86862">
      <w:pPr>
        <w:pStyle w:val="ListParagraph"/>
        <w:numPr>
          <w:ilvl w:val="0"/>
          <w:numId w:val="25"/>
        </w:numPr>
        <w:spacing w:before="120" w:after="120"/>
        <w:rPr>
          <w:rFonts w:ascii="Arial" w:hAnsi="Arial" w:cs="Arial"/>
          <w:sz w:val="22"/>
          <w:szCs w:val="22"/>
        </w:rPr>
      </w:pPr>
      <w:r w:rsidRPr="005E6149">
        <w:rPr>
          <w:rFonts w:ascii="Arial" w:hAnsi="Arial" w:cs="Arial"/>
          <w:sz w:val="22"/>
          <w:szCs w:val="22"/>
        </w:rPr>
        <w:t xml:space="preserve">Are the costs allocated only to Indigenous patients (and </w:t>
      </w:r>
      <w:r w:rsidR="00B310BD" w:rsidRPr="005E6149">
        <w:rPr>
          <w:rFonts w:ascii="Arial" w:hAnsi="Arial" w:cs="Arial"/>
          <w:sz w:val="22"/>
          <w:szCs w:val="22"/>
        </w:rPr>
        <w:t>o</w:t>
      </w:r>
      <w:r w:rsidRPr="005E6149">
        <w:rPr>
          <w:rFonts w:ascii="Arial" w:hAnsi="Arial" w:cs="Arial"/>
          <w:sz w:val="22"/>
          <w:szCs w:val="22"/>
        </w:rPr>
        <w:t>n what basis) or are they spread across all activity?</w:t>
      </w:r>
    </w:p>
    <w:p w:rsidR="00A16110" w:rsidRPr="001A2C7D" w:rsidRDefault="00A16110" w:rsidP="00E86862">
      <w:pPr>
        <w:pStyle w:val="ListParagraph"/>
        <w:numPr>
          <w:ilvl w:val="0"/>
          <w:numId w:val="25"/>
        </w:numPr>
        <w:spacing w:before="120" w:after="120"/>
        <w:rPr>
          <w:rFonts w:ascii="Arial" w:hAnsi="Arial" w:cs="Arial"/>
          <w:color w:val="000000" w:themeColor="text1"/>
          <w:sz w:val="22"/>
          <w:szCs w:val="22"/>
        </w:rPr>
      </w:pPr>
      <w:r w:rsidRPr="005E6149">
        <w:rPr>
          <w:rFonts w:ascii="Arial" w:hAnsi="Arial" w:cs="Arial"/>
          <w:sz w:val="22"/>
          <w:szCs w:val="22"/>
        </w:rPr>
        <w:t>Bas</w:t>
      </w:r>
      <w:r w:rsidRPr="001A2C7D">
        <w:rPr>
          <w:rFonts w:ascii="Arial" w:hAnsi="Arial" w:cs="Arial"/>
          <w:color w:val="000000" w:themeColor="text1"/>
          <w:sz w:val="22"/>
          <w:szCs w:val="22"/>
        </w:rPr>
        <w:t>ed on the information provided, what if any, improvements could be made to the cost allocation process?</w:t>
      </w:r>
    </w:p>
    <w:p w:rsidR="00972534" w:rsidRPr="001A2C7D" w:rsidRDefault="00972534" w:rsidP="00E86862">
      <w:pPr>
        <w:pStyle w:val="ListParagraph"/>
        <w:numPr>
          <w:ilvl w:val="0"/>
          <w:numId w:val="25"/>
        </w:num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Undertaking high-level analyses</w:t>
      </w:r>
      <w:r w:rsidR="00C629F1">
        <w:rPr>
          <w:rFonts w:ascii="Arial" w:hAnsi="Arial" w:cs="Arial"/>
          <w:color w:val="000000" w:themeColor="text1"/>
          <w:sz w:val="22"/>
          <w:szCs w:val="22"/>
        </w:rPr>
        <w:t>,</w:t>
      </w:r>
      <w:r w:rsidRPr="001A2C7D">
        <w:rPr>
          <w:rFonts w:ascii="Arial" w:hAnsi="Arial" w:cs="Arial"/>
          <w:color w:val="000000" w:themeColor="text1"/>
          <w:sz w:val="22"/>
          <w:szCs w:val="22"/>
        </w:rPr>
        <w:t xml:space="preserve"> what impact would alternate cost allocation methods have on the overall costing results?</w:t>
      </w:r>
    </w:p>
    <w:p w:rsidR="00972534" w:rsidRPr="00F05FED" w:rsidRDefault="007842B4" w:rsidP="00F05FED">
      <w:pPr>
        <w:pStyle w:val="Heading2"/>
        <w:keepLines w:val="0"/>
        <w:tabs>
          <w:tab w:val="left" w:pos="851"/>
        </w:tabs>
        <w:spacing w:before="360" w:after="240"/>
        <w:ind w:left="851" w:hanging="851"/>
        <w:rPr>
          <w:rFonts w:ascii="Arial" w:hAnsi="Arial" w:cs="Arial"/>
          <w:color w:val="548DD4" w:themeColor="text2" w:themeTint="99"/>
        </w:rPr>
      </w:pPr>
      <w:bookmarkStart w:id="30" w:name="_Toc278480610"/>
      <w:r w:rsidRPr="00F05FED">
        <w:rPr>
          <w:rFonts w:ascii="Arial" w:hAnsi="Arial" w:cs="Arial"/>
          <w:color w:val="548DD4" w:themeColor="text2" w:themeTint="99"/>
        </w:rPr>
        <w:t xml:space="preserve">Nature of the Dedicated Cost </w:t>
      </w:r>
      <w:proofErr w:type="spellStart"/>
      <w:r w:rsidRPr="00F05FED">
        <w:rPr>
          <w:rFonts w:ascii="Arial" w:hAnsi="Arial" w:cs="Arial"/>
          <w:color w:val="548DD4" w:themeColor="text2" w:themeTint="99"/>
        </w:rPr>
        <w:t>Centres</w:t>
      </w:r>
      <w:bookmarkEnd w:id="30"/>
      <w:proofErr w:type="spellEnd"/>
      <w:r w:rsidRPr="00F05FED">
        <w:rPr>
          <w:rFonts w:ascii="Arial" w:hAnsi="Arial" w:cs="Arial"/>
          <w:color w:val="548DD4" w:themeColor="text2" w:themeTint="99"/>
        </w:rPr>
        <w:t xml:space="preserve"> </w:t>
      </w:r>
    </w:p>
    <w:p w:rsidR="00972534" w:rsidRPr="001A2C7D" w:rsidRDefault="00972534" w:rsidP="00972534">
      <w:p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Data was provided by the following jurisdictions:</w:t>
      </w:r>
    </w:p>
    <w:p w:rsidR="00972534" w:rsidRPr="001A2C7D" w:rsidRDefault="00972534" w:rsidP="00E86862">
      <w:pPr>
        <w:pStyle w:val="ListParagraph"/>
        <w:numPr>
          <w:ilvl w:val="0"/>
          <w:numId w:val="26"/>
        </w:num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Northern Territory</w:t>
      </w:r>
      <w:r w:rsidR="00A93392" w:rsidRPr="001A2C7D">
        <w:rPr>
          <w:rFonts w:ascii="Arial" w:hAnsi="Arial" w:cs="Arial"/>
          <w:color w:val="000000" w:themeColor="text1"/>
          <w:sz w:val="22"/>
          <w:szCs w:val="22"/>
        </w:rPr>
        <w:t>;</w:t>
      </w:r>
    </w:p>
    <w:p w:rsidR="00972534" w:rsidRPr="001A2C7D" w:rsidRDefault="00972534" w:rsidP="00E86862">
      <w:pPr>
        <w:pStyle w:val="ListParagraph"/>
        <w:numPr>
          <w:ilvl w:val="0"/>
          <w:numId w:val="26"/>
        </w:num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South Australia</w:t>
      </w:r>
      <w:r w:rsidR="00A93392" w:rsidRPr="001A2C7D">
        <w:rPr>
          <w:rFonts w:ascii="Arial" w:hAnsi="Arial" w:cs="Arial"/>
          <w:color w:val="000000" w:themeColor="text1"/>
          <w:sz w:val="22"/>
          <w:szCs w:val="22"/>
        </w:rPr>
        <w:t>;</w:t>
      </w:r>
    </w:p>
    <w:p w:rsidR="00817348" w:rsidRPr="001A2C7D" w:rsidRDefault="00972534" w:rsidP="00E86862">
      <w:pPr>
        <w:pStyle w:val="ListParagraph"/>
        <w:numPr>
          <w:ilvl w:val="0"/>
          <w:numId w:val="26"/>
        </w:num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Western Australia</w:t>
      </w:r>
      <w:r w:rsidR="00A93392" w:rsidRPr="001A2C7D">
        <w:rPr>
          <w:rFonts w:ascii="Arial" w:hAnsi="Arial" w:cs="Arial"/>
          <w:color w:val="000000" w:themeColor="text1"/>
          <w:sz w:val="22"/>
          <w:szCs w:val="22"/>
        </w:rPr>
        <w:t>; and</w:t>
      </w:r>
    </w:p>
    <w:p w:rsidR="00972534" w:rsidRPr="001A2C7D" w:rsidRDefault="00817348" w:rsidP="00E86862">
      <w:pPr>
        <w:pStyle w:val="ListParagraph"/>
        <w:numPr>
          <w:ilvl w:val="0"/>
          <w:numId w:val="26"/>
        </w:num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Victoria</w:t>
      </w:r>
      <w:r w:rsidR="00972534" w:rsidRPr="001A2C7D">
        <w:rPr>
          <w:rFonts w:ascii="Arial" w:hAnsi="Arial" w:cs="Arial"/>
          <w:color w:val="000000" w:themeColor="text1"/>
          <w:sz w:val="22"/>
          <w:szCs w:val="22"/>
        </w:rPr>
        <w:t>.</w:t>
      </w:r>
    </w:p>
    <w:p w:rsidR="00972534" w:rsidRPr="001A2C7D" w:rsidRDefault="00D4435C" w:rsidP="00972534">
      <w:p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The response from Western Australia originated from the Country Health Services Division (WACHS)</w:t>
      </w:r>
      <w:r w:rsidR="00D873D2" w:rsidRPr="001A2C7D">
        <w:rPr>
          <w:rFonts w:ascii="Arial" w:hAnsi="Arial" w:cs="Arial"/>
          <w:color w:val="000000" w:themeColor="text1"/>
          <w:sz w:val="22"/>
          <w:szCs w:val="22"/>
        </w:rPr>
        <w:t xml:space="preserve">. </w:t>
      </w:r>
      <w:r w:rsidRPr="001A2C7D">
        <w:rPr>
          <w:rFonts w:ascii="Arial" w:hAnsi="Arial" w:cs="Arial"/>
          <w:color w:val="000000" w:themeColor="text1"/>
          <w:sz w:val="22"/>
          <w:szCs w:val="22"/>
        </w:rPr>
        <w:t>This Division indicated that for Round 16 (2011/12) data collection the costs for the country hospitals were cost model</w:t>
      </w:r>
      <w:r w:rsidR="001F0D95">
        <w:rPr>
          <w:rFonts w:ascii="Arial" w:hAnsi="Arial" w:cs="Arial"/>
          <w:color w:val="000000" w:themeColor="text1"/>
          <w:sz w:val="22"/>
          <w:szCs w:val="22"/>
        </w:rPr>
        <w:t>l</w:t>
      </w:r>
      <w:r w:rsidRPr="001A2C7D">
        <w:rPr>
          <w:rFonts w:ascii="Arial" w:hAnsi="Arial" w:cs="Arial"/>
          <w:color w:val="000000" w:themeColor="text1"/>
          <w:sz w:val="22"/>
          <w:szCs w:val="22"/>
        </w:rPr>
        <w:t>ed as WACHS did not have access to a patient costing system</w:t>
      </w:r>
      <w:r w:rsidR="00D873D2" w:rsidRPr="001A2C7D">
        <w:rPr>
          <w:rFonts w:ascii="Arial" w:hAnsi="Arial" w:cs="Arial"/>
          <w:color w:val="000000" w:themeColor="text1"/>
          <w:sz w:val="22"/>
          <w:szCs w:val="22"/>
        </w:rPr>
        <w:t xml:space="preserve">. </w:t>
      </w:r>
      <w:r w:rsidRPr="001A2C7D">
        <w:rPr>
          <w:rFonts w:ascii="Arial" w:hAnsi="Arial" w:cs="Arial"/>
          <w:color w:val="000000" w:themeColor="text1"/>
          <w:sz w:val="22"/>
          <w:szCs w:val="22"/>
        </w:rPr>
        <w:t xml:space="preserve">Having noted this, where costs were specific to Indigenous patients, such as costs associated with the employment of Aboriginal Health Workers, these costs were allocated directly to </w:t>
      </w:r>
      <w:r w:rsidR="001F0D95">
        <w:rPr>
          <w:rFonts w:ascii="Arial" w:hAnsi="Arial" w:cs="Arial"/>
          <w:color w:val="000000" w:themeColor="text1"/>
          <w:sz w:val="22"/>
          <w:szCs w:val="22"/>
        </w:rPr>
        <w:t>I</w:t>
      </w:r>
      <w:r w:rsidRPr="001A2C7D">
        <w:rPr>
          <w:rFonts w:ascii="Arial" w:hAnsi="Arial" w:cs="Arial"/>
          <w:color w:val="000000" w:themeColor="text1"/>
          <w:sz w:val="22"/>
          <w:szCs w:val="22"/>
        </w:rPr>
        <w:t>ndigenous patients</w:t>
      </w:r>
      <w:r w:rsidR="0050333E" w:rsidRPr="001A2C7D">
        <w:rPr>
          <w:rFonts w:ascii="Arial" w:hAnsi="Arial" w:cs="Arial"/>
          <w:color w:val="000000" w:themeColor="text1"/>
          <w:sz w:val="22"/>
          <w:szCs w:val="22"/>
        </w:rPr>
        <w:t xml:space="preserve"> using the </w:t>
      </w:r>
      <w:r w:rsidR="00A93392" w:rsidRPr="001A2C7D">
        <w:rPr>
          <w:rFonts w:ascii="Arial" w:hAnsi="Arial" w:cs="Arial"/>
          <w:color w:val="000000" w:themeColor="text1"/>
          <w:sz w:val="22"/>
          <w:szCs w:val="22"/>
        </w:rPr>
        <w:t>‘</w:t>
      </w:r>
      <w:r w:rsidR="0050333E" w:rsidRPr="001A2C7D">
        <w:rPr>
          <w:rFonts w:ascii="Arial" w:hAnsi="Arial" w:cs="Arial"/>
          <w:color w:val="000000" w:themeColor="text1"/>
          <w:sz w:val="22"/>
          <w:szCs w:val="22"/>
        </w:rPr>
        <w:t xml:space="preserve">Indigenous </w:t>
      </w:r>
      <w:r w:rsidR="00A93392" w:rsidRPr="001A2C7D">
        <w:rPr>
          <w:rFonts w:ascii="Arial" w:hAnsi="Arial" w:cs="Arial"/>
          <w:color w:val="000000" w:themeColor="text1"/>
          <w:sz w:val="22"/>
          <w:szCs w:val="22"/>
        </w:rPr>
        <w:t>S</w:t>
      </w:r>
      <w:r w:rsidR="0050333E" w:rsidRPr="001A2C7D">
        <w:rPr>
          <w:rFonts w:ascii="Arial" w:hAnsi="Arial" w:cs="Arial"/>
          <w:color w:val="000000" w:themeColor="text1"/>
          <w:sz w:val="22"/>
          <w:szCs w:val="22"/>
        </w:rPr>
        <w:t>tatus</w:t>
      </w:r>
      <w:r w:rsidR="00A93392" w:rsidRPr="001A2C7D">
        <w:rPr>
          <w:rFonts w:ascii="Arial" w:hAnsi="Arial" w:cs="Arial"/>
          <w:color w:val="000000" w:themeColor="text1"/>
          <w:sz w:val="22"/>
          <w:szCs w:val="22"/>
        </w:rPr>
        <w:t>’</w:t>
      </w:r>
      <w:r w:rsidR="0050333E" w:rsidRPr="001A2C7D">
        <w:rPr>
          <w:rFonts w:ascii="Arial" w:hAnsi="Arial" w:cs="Arial"/>
          <w:color w:val="000000" w:themeColor="text1"/>
          <w:sz w:val="22"/>
          <w:szCs w:val="22"/>
        </w:rPr>
        <w:t xml:space="preserve"> flag</w:t>
      </w:r>
      <w:r w:rsidR="00A93392" w:rsidRPr="001A2C7D">
        <w:rPr>
          <w:rFonts w:ascii="Arial" w:hAnsi="Arial" w:cs="Arial"/>
          <w:color w:val="000000" w:themeColor="text1"/>
          <w:sz w:val="22"/>
          <w:szCs w:val="22"/>
        </w:rPr>
        <w:t xml:space="preserve"> as the key attri</w:t>
      </w:r>
      <w:r w:rsidR="008D03D4">
        <w:rPr>
          <w:rFonts w:ascii="Arial" w:hAnsi="Arial" w:cs="Arial"/>
          <w:color w:val="000000" w:themeColor="text1"/>
          <w:sz w:val="22"/>
          <w:szCs w:val="22"/>
        </w:rPr>
        <w:t>bute used to drive</w:t>
      </w:r>
      <w:r w:rsidR="00A93392" w:rsidRPr="001A2C7D">
        <w:rPr>
          <w:rFonts w:ascii="Arial" w:hAnsi="Arial" w:cs="Arial"/>
          <w:color w:val="000000" w:themeColor="text1"/>
          <w:sz w:val="22"/>
          <w:szCs w:val="22"/>
        </w:rPr>
        <w:t xml:space="preserve"> cost attribution.</w:t>
      </w:r>
    </w:p>
    <w:p w:rsidR="00EB22ED" w:rsidRPr="001A2C7D" w:rsidRDefault="00D4435C" w:rsidP="00EB22ED">
      <w:p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Data provided by the remaining t</w:t>
      </w:r>
      <w:r w:rsidR="00817348" w:rsidRPr="001A2C7D">
        <w:rPr>
          <w:rFonts w:ascii="Arial" w:hAnsi="Arial" w:cs="Arial"/>
          <w:color w:val="000000" w:themeColor="text1"/>
          <w:sz w:val="22"/>
          <w:szCs w:val="22"/>
        </w:rPr>
        <w:t>hree</w:t>
      </w:r>
      <w:r w:rsidRPr="001A2C7D">
        <w:rPr>
          <w:rFonts w:ascii="Arial" w:hAnsi="Arial" w:cs="Arial"/>
          <w:color w:val="000000" w:themeColor="text1"/>
          <w:sz w:val="22"/>
          <w:szCs w:val="22"/>
        </w:rPr>
        <w:t xml:space="preserve"> jurisdictions</w:t>
      </w:r>
      <w:r w:rsidR="00EB22ED" w:rsidRPr="001A2C7D">
        <w:rPr>
          <w:rFonts w:ascii="Arial" w:hAnsi="Arial" w:cs="Arial"/>
          <w:color w:val="000000" w:themeColor="text1"/>
          <w:sz w:val="22"/>
          <w:szCs w:val="22"/>
        </w:rPr>
        <w:t xml:space="preserve"> fell into two categories, namely overhead costs or site specific direct costs</w:t>
      </w:r>
      <w:r w:rsidR="00D873D2" w:rsidRPr="001A2C7D">
        <w:rPr>
          <w:rFonts w:ascii="Arial" w:hAnsi="Arial" w:cs="Arial"/>
          <w:color w:val="000000" w:themeColor="text1"/>
          <w:sz w:val="22"/>
          <w:szCs w:val="22"/>
        </w:rPr>
        <w:t xml:space="preserve">. </w:t>
      </w:r>
    </w:p>
    <w:p w:rsidR="00353689" w:rsidRPr="001A2C7D" w:rsidRDefault="001A2C7D" w:rsidP="00045307">
      <w:pPr>
        <w:spacing w:before="120" w:after="120"/>
        <w:rPr>
          <w:rFonts w:ascii="Arial" w:hAnsi="Arial" w:cs="Arial"/>
          <w:color w:val="000000" w:themeColor="text1"/>
          <w:sz w:val="22"/>
          <w:szCs w:val="22"/>
        </w:rPr>
      </w:pPr>
      <w:r w:rsidRPr="001A2C7D">
        <w:rPr>
          <w:rFonts w:ascii="Arial" w:hAnsi="Arial" w:cs="Arial"/>
          <w:color w:val="000000" w:themeColor="text1"/>
          <w:sz w:val="22"/>
          <w:szCs w:val="22"/>
        </w:rPr>
        <w:t xml:space="preserve">Overhead cost </w:t>
      </w:r>
      <w:proofErr w:type="spellStart"/>
      <w:r w:rsidRPr="001A2C7D">
        <w:rPr>
          <w:rFonts w:ascii="Arial" w:hAnsi="Arial" w:cs="Arial"/>
          <w:color w:val="000000" w:themeColor="text1"/>
          <w:sz w:val="22"/>
          <w:szCs w:val="22"/>
        </w:rPr>
        <w:t>centres</w:t>
      </w:r>
      <w:proofErr w:type="spellEnd"/>
      <w:r w:rsidRPr="001A2C7D">
        <w:rPr>
          <w:rFonts w:ascii="Arial" w:hAnsi="Arial" w:cs="Arial"/>
          <w:color w:val="000000" w:themeColor="text1"/>
          <w:sz w:val="22"/>
          <w:szCs w:val="22"/>
        </w:rPr>
        <w:t xml:space="preserve"> are categorized into corporate or hospital based</w:t>
      </w:r>
      <w:r w:rsidR="001F0D95">
        <w:rPr>
          <w:rFonts w:ascii="Arial" w:hAnsi="Arial" w:cs="Arial"/>
          <w:color w:val="000000" w:themeColor="text1"/>
          <w:sz w:val="22"/>
          <w:szCs w:val="22"/>
        </w:rPr>
        <w:t xml:space="preserve"> costs</w:t>
      </w:r>
      <w:r w:rsidRPr="001A2C7D">
        <w:rPr>
          <w:rFonts w:ascii="Arial" w:hAnsi="Arial" w:cs="Arial"/>
          <w:color w:val="000000" w:themeColor="text1"/>
          <w:sz w:val="22"/>
          <w:szCs w:val="22"/>
        </w:rPr>
        <w:t xml:space="preserve">. Corporate costs are held at the jurisdiction </w:t>
      </w:r>
      <w:r w:rsidR="001F0D95">
        <w:rPr>
          <w:rFonts w:ascii="Arial" w:hAnsi="Arial" w:cs="Arial"/>
          <w:color w:val="000000" w:themeColor="text1"/>
          <w:sz w:val="22"/>
          <w:szCs w:val="22"/>
        </w:rPr>
        <w:t xml:space="preserve">level </w:t>
      </w:r>
      <w:r w:rsidRPr="001A2C7D">
        <w:rPr>
          <w:rFonts w:ascii="Arial" w:hAnsi="Arial" w:cs="Arial"/>
          <w:color w:val="000000" w:themeColor="text1"/>
          <w:sz w:val="22"/>
          <w:szCs w:val="22"/>
        </w:rPr>
        <w:t xml:space="preserve">and are apportioned to hospital or area health networks to distribute to their patients. The hospitals then spread the allocated costs across the various cost buckets reported to the NHCDC. These costs include Aboriginal Health Strategy Units, </w:t>
      </w:r>
      <w:r w:rsidR="001F0D95">
        <w:rPr>
          <w:rFonts w:ascii="Arial" w:hAnsi="Arial" w:cs="Arial"/>
          <w:color w:val="000000" w:themeColor="text1"/>
          <w:sz w:val="22"/>
          <w:szCs w:val="22"/>
        </w:rPr>
        <w:t>c</w:t>
      </w:r>
      <w:r w:rsidR="001F0D95" w:rsidRPr="001A2C7D">
        <w:rPr>
          <w:rFonts w:ascii="Arial" w:hAnsi="Arial" w:cs="Arial"/>
          <w:color w:val="000000" w:themeColor="text1"/>
          <w:sz w:val="22"/>
          <w:szCs w:val="22"/>
        </w:rPr>
        <w:t xml:space="preserve">ultural </w:t>
      </w:r>
      <w:r w:rsidR="001F0D95">
        <w:rPr>
          <w:rFonts w:ascii="Arial" w:hAnsi="Arial" w:cs="Arial"/>
          <w:color w:val="000000" w:themeColor="text1"/>
          <w:sz w:val="22"/>
          <w:szCs w:val="22"/>
        </w:rPr>
        <w:t>s</w:t>
      </w:r>
      <w:r w:rsidRPr="001A2C7D">
        <w:rPr>
          <w:rFonts w:ascii="Arial" w:hAnsi="Arial" w:cs="Arial"/>
          <w:color w:val="000000" w:themeColor="text1"/>
          <w:sz w:val="22"/>
          <w:szCs w:val="22"/>
        </w:rPr>
        <w:t xml:space="preserve">ecurity programs or public health services outside the hospital sector. </w:t>
      </w:r>
    </w:p>
    <w:p w:rsidR="001A2C7D" w:rsidRPr="001A2C7D" w:rsidRDefault="001A2C7D" w:rsidP="00045307">
      <w:pPr>
        <w:spacing w:before="120" w:after="120"/>
        <w:rPr>
          <w:rFonts w:ascii="Arial" w:hAnsi="Arial" w:cs="Arial"/>
          <w:color w:val="000000" w:themeColor="text1"/>
          <w:sz w:val="22"/>
          <w:szCs w:val="22"/>
        </w:rPr>
      </w:pPr>
      <w:r w:rsidRPr="001A2C7D">
        <w:rPr>
          <w:rFonts w:ascii="Arial" w:hAnsi="Arial" w:cs="Arial"/>
          <w:color w:val="000000" w:themeColor="text1"/>
          <w:sz w:val="22"/>
          <w:szCs w:val="22"/>
        </w:rPr>
        <w:lastRenderedPageBreak/>
        <w:t xml:space="preserve">The total corporate costs reported to the study team </w:t>
      </w:r>
      <w:proofErr w:type="spellStart"/>
      <w:r w:rsidRPr="001A2C7D">
        <w:rPr>
          <w:rFonts w:ascii="Arial" w:hAnsi="Arial" w:cs="Arial"/>
          <w:color w:val="000000" w:themeColor="text1"/>
          <w:sz w:val="22"/>
          <w:szCs w:val="22"/>
        </w:rPr>
        <w:t>total</w:t>
      </w:r>
      <w:r w:rsidR="001F0D95">
        <w:rPr>
          <w:rFonts w:ascii="Arial" w:hAnsi="Arial" w:cs="Arial"/>
          <w:color w:val="000000" w:themeColor="text1"/>
          <w:sz w:val="22"/>
          <w:szCs w:val="22"/>
        </w:rPr>
        <w:t>l</w:t>
      </w:r>
      <w:r w:rsidRPr="001A2C7D">
        <w:rPr>
          <w:rFonts w:ascii="Arial" w:hAnsi="Arial" w:cs="Arial"/>
          <w:color w:val="000000" w:themeColor="text1"/>
          <w:sz w:val="22"/>
          <w:szCs w:val="22"/>
        </w:rPr>
        <w:t>ed</w:t>
      </w:r>
      <w:proofErr w:type="spellEnd"/>
      <w:r w:rsidRPr="001A2C7D">
        <w:rPr>
          <w:rFonts w:ascii="Arial" w:hAnsi="Arial" w:cs="Arial"/>
          <w:color w:val="000000" w:themeColor="text1"/>
          <w:sz w:val="22"/>
          <w:szCs w:val="22"/>
        </w:rPr>
        <w:t xml:space="preserve"> less than $1,000,000 resulting in an allocation to </w:t>
      </w:r>
      <w:r w:rsidR="008D03D4">
        <w:rPr>
          <w:rFonts w:ascii="Arial" w:hAnsi="Arial" w:cs="Arial"/>
          <w:color w:val="000000" w:themeColor="text1"/>
          <w:sz w:val="22"/>
          <w:szCs w:val="22"/>
        </w:rPr>
        <w:t>I</w:t>
      </w:r>
      <w:r>
        <w:rPr>
          <w:rFonts w:ascii="Arial" w:hAnsi="Arial" w:cs="Arial"/>
          <w:color w:val="000000" w:themeColor="text1"/>
          <w:sz w:val="22"/>
          <w:szCs w:val="22"/>
        </w:rPr>
        <w:t>ndigenous patients of less tha</w:t>
      </w:r>
      <w:r w:rsidRPr="001A2C7D">
        <w:rPr>
          <w:rFonts w:ascii="Arial" w:hAnsi="Arial" w:cs="Arial"/>
          <w:color w:val="000000" w:themeColor="text1"/>
          <w:sz w:val="22"/>
          <w:szCs w:val="22"/>
        </w:rPr>
        <w:t>n $1 per patient</w:t>
      </w:r>
      <w:r w:rsidR="008D03D4">
        <w:rPr>
          <w:rFonts w:ascii="Arial" w:hAnsi="Arial" w:cs="Arial"/>
          <w:color w:val="000000" w:themeColor="text1"/>
          <w:sz w:val="22"/>
          <w:szCs w:val="22"/>
        </w:rPr>
        <w:t>. T</w:t>
      </w:r>
      <w:r w:rsidRPr="001A2C7D">
        <w:rPr>
          <w:rFonts w:ascii="Arial" w:hAnsi="Arial" w:cs="Arial"/>
          <w:color w:val="000000" w:themeColor="text1"/>
          <w:sz w:val="22"/>
          <w:szCs w:val="22"/>
        </w:rPr>
        <w:t>he costs have been allocated to the Indigenous patients using the Indigenous flag</w:t>
      </w:r>
      <w:r w:rsidR="001F0D95">
        <w:rPr>
          <w:rFonts w:ascii="Arial" w:hAnsi="Arial" w:cs="Arial"/>
          <w:color w:val="000000" w:themeColor="text1"/>
          <w:sz w:val="22"/>
          <w:szCs w:val="22"/>
        </w:rPr>
        <w:t>,</w:t>
      </w:r>
      <w:r w:rsidRPr="001A2C7D">
        <w:rPr>
          <w:rFonts w:ascii="Arial" w:hAnsi="Arial" w:cs="Arial"/>
          <w:color w:val="000000" w:themeColor="text1"/>
          <w:sz w:val="22"/>
          <w:szCs w:val="22"/>
        </w:rPr>
        <w:t xml:space="preserve"> however the Indigenous </w:t>
      </w:r>
      <w:r w:rsidR="008D03D4">
        <w:rPr>
          <w:rFonts w:ascii="Arial" w:hAnsi="Arial" w:cs="Arial"/>
          <w:color w:val="000000" w:themeColor="text1"/>
          <w:sz w:val="22"/>
          <w:szCs w:val="22"/>
        </w:rPr>
        <w:t xml:space="preserve">status flag is </w:t>
      </w:r>
      <w:r w:rsidRPr="001A2C7D">
        <w:rPr>
          <w:rFonts w:ascii="Arial" w:hAnsi="Arial" w:cs="Arial"/>
          <w:color w:val="000000" w:themeColor="text1"/>
          <w:sz w:val="22"/>
          <w:szCs w:val="22"/>
        </w:rPr>
        <w:t xml:space="preserve">under-reported and the resultant allocation of costs will follow. Improving the reporting of Indigenous status assumes an increase of Indigenous patients being identified which will result in an increase of allocated costs to </w:t>
      </w:r>
      <w:r w:rsidR="001F0D95">
        <w:rPr>
          <w:rFonts w:ascii="Arial" w:hAnsi="Arial" w:cs="Arial"/>
          <w:color w:val="000000" w:themeColor="text1"/>
          <w:sz w:val="22"/>
          <w:szCs w:val="22"/>
        </w:rPr>
        <w:t>I</w:t>
      </w:r>
      <w:r w:rsidRPr="001A2C7D">
        <w:rPr>
          <w:rFonts w:ascii="Arial" w:hAnsi="Arial" w:cs="Arial"/>
          <w:color w:val="000000" w:themeColor="text1"/>
          <w:sz w:val="22"/>
          <w:szCs w:val="22"/>
        </w:rPr>
        <w:t>ndigenous patients</w:t>
      </w:r>
      <w:r w:rsidR="001F0D95">
        <w:rPr>
          <w:rFonts w:ascii="Arial" w:hAnsi="Arial" w:cs="Arial"/>
          <w:color w:val="000000" w:themeColor="text1"/>
          <w:sz w:val="22"/>
          <w:szCs w:val="22"/>
        </w:rPr>
        <w:t>.</w:t>
      </w:r>
      <w:r w:rsidRPr="001A2C7D">
        <w:rPr>
          <w:rFonts w:ascii="Arial" w:hAnsi="Arial" w:cs="Arial"/>
          <w:color w:val="000000" w:themeColor="text1"/>
          <w:sz w:val="22"/>
          <w:szCs w:val="22"/>
        </w:rPr>
        <w:t xml:space="preserve"> Assuming that cost allocation methods are based on consumption data then a cost differential is mo</w:t>
      </w:r>
      <w:r w:rsidR="001F0D95">
        <w:rPr>
          <w:rFonts w:ascii="Arial" w:hAnsi="Arial" w:cs="Arial"/>
          <w:color w:val="000000" w:themeColor="text1"/>
          <w:sz w:val="22"/>
          <w:szCs w:val="22"/>
        </w:rPr>
        <w:t>st</w:t>
      </w:r>
      <w:r w:rsidRPr="001A2C7D">
        <w:rPr>
          <w:rFonts w:ascii="Arial" w:hAnsi="Arial" w:cs="Arial"/>
          <w:color w:val="000000" w:themeColor="text1"/>
          <w:sz w:val="22"/>
          <w:szCs w:val="22"/>
        </w:rPr>
        <w:t xml:space="preserve"> likely to be identified</w:t>
      </w:r>
      <w:r w:rsidR="001F0D95">
        <w:rPr>
          <w:rFonts w:ascii="Arial" w:hAnsi="Arial" w:cs="Arial"/>
          <w:color w:val="000000" w:themeColor="text1"/>
          <w:sz w:val="22"/>
          <w:szCs w:val="22"/>
        </w:rPr>
        <w:t>.</w:t>
      </w:r>
      <w:r w:rsidRPr="001A2C7D">
        <w:rPr>
          <w:rFonts w:ascii="Arial" w:hAnsi="Arial" w:cs="Arial"/>
          <w:color w:val="000000" w:themeColor="text1"/>
          <w:sz w:val="22"/>
          <w:szCs w:val="22"/>
        </w:rPr>
        <w:t xml:space="preserve"> If the cost allocations do not follow consumption patterns then masking of the true differential will arise</w:t>
      </w:r>
      <w:r w:rsidR="001F0D95">
        <w:rPr>
          <w:rFonts w:ascii="Arial" w:hAnsi="Arial" w:cs="Arial"/>
          <w:color w:val="000000" w:themeColor="text1"/>
          <w:sz w:val="22"/>
          <w:szCs w:val="22"/>
        </w:rPr>
        <w:t>.</w:t>
      </w:r>
      <w:r w:rsidRPr="001A2C7D">
        <w:rPr>
          <w:rFonts w:ascii="Arial" w:hAnsi="Arial" w:cs="Arial"/>
          <w:color w:val="000000" w:themeColor="text1"/>
          <w:sz w:val="22"/>
          <w:szCs w:val="22"/>
        </w:rPr>
        <w:t xml:space="preserve"> This is explored in subsequent chapters</w:t>
      </w:r>
      <w:r w:rsidR="001F0D95">
        <w:rPr>
          <w:rFonts w:ascii="Arial" w:hAnsi="Arial" w:cs="Arial"/>
          <w:color w:val="000000" w:themeColor="text1"/>
          <w:sz w:val="22"/>
          <w:szCs w:val="22"/>
        </w:rPr>
        <w:t>.</w:t>
      </w:r>
    </w:p>
    <w:p w:rsidR="001A2C7D" w:rsidRPr="008D03D4" w:rsidRDefault="001A2C7D" w:rsidP="00045307">
      <w:pPr>
        <w:spacing w:before="120" w:after="120"/>
        <w:rPr>
          <w:rFonts w:ascii="Arial" w:hAnsi="Arial" w:cs="Arial"/>
          <w:sz w:val="22"/>
          <w:szCs w:val="22"/>
        </w:rPr>
      </w:pPr>
    </w:p>
    <w:p w:rsidR="00AF1119" w:rsidRPr="00A117FC" w:rsidRDefault="00AF1119" w:rsidP="00AF1119">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sz w:val="22"/>
          <w:szCs w:val="22"/>
        </w:rPr>
      </w:pPr>
      <w:r w:rsidRPr="00A117FC">
        <w:rPr>
          <w:rFonts w:ascii="Arial" w:hAnsi="Arial" w:cs="Arial"/>
          <w:sz w:val="22"/>
          <w:szCs w:val="22"/>
        </w:rPr>
        <w:t xml:space="preserve">Recommendation </w:t>
      </w:r>
      <w:r w:rsidR="00CD7DF4" w:rsidRPr="00A117FC">
        <w:rPr>
          <w:rFonts w:ascii="Arial" w:hAnsi="Arial" w:cs="Arial"/>
          <w:sz w:val="22"/>
          <w:szCs w:val="22"/>
        </w:rPr>
        <w:t>1</w:t>
      </w:r>
      <w:r w:rsidRPr="00A117FC">
        <w:rPr>
          <w:rFonts w:ascii="Arial" w:hAnsi="Arial" w:cs="Arial"/>
          <w:sz w:val="22"/>
          <w:szCs w:val="22"/>
        </w:rPr>
        <w:t>:</w:t>
      </w:r>
      <w:r w:rsidRPr="00A117FC">
        <w:rPr>
          <w:rFonts w:ascii="Arial" w:hAnsi="Arial" w:cs="Arial"/>
          <w:sz w:val="22"/>
          <w:szCs w:val="22"/>
        </w:rPr>
        <w:tab/>
      </w:r>
      <w:r w:rsidRPr="00A117FC">
        <w:rPr>
          <w:rFonts w:ascii="Arial" w:hAnsi="Arial" w:cs="Arial"/>
          <w:sz w:val="22"/>
          <w:szCs w:val="22"/>
        </w:rPr>
        <w:tab/>
        <w:t xml:space="preserve">A broader review of cost allocation methods adopted by hospitals participating in the NHCDC, outside of cost </w:t>
      </w:r>
      <w:proofErr w:type="spellStart"/>
      <w:r w:rsidRPr="00A117FC">
        <w:rPr>
          <w:rFonts w:ascii="Arial" w:hAnsi="Arial" w:cs="Arial"/>
          <w:sz w:val="22"/>
          <w:szCs w:val="22"/>
        </w:rPr>
        <w:t>centres</w:t>
      </w:r>
      <w:proofErr w:type="spellEnd"/>
      <w:r w:rsidRPr="00A117FC">
        <w:rPr>
          <w:rFonts w:ascii="Arial" w:hAnsi="Arial" w:cs="Arial"/>
          <w:sz w:val="22"/>
          <w:szCs w:val="22"/>
        </w:rPr>
        <w:t xml:space="preserve"> exclusively dedicated to service provision to Indigenous patients, is warranted to gain a better understanding of the impact this may have on cost allocations to Indigenous and </w:t>
      </w:r>
      <w:r w:rsidR="007A097D">
        <w:rPr>
          <w:rFonts w:ascii="Arial" w:hAnsi="Arial" w:cs="Arial"/>
          <w:sz w:val="22"/>
          <w:szCs w:val="22"/>
        </w:rPr>
        <w:t>non-Indigenous</w:t>
      </w:r>
      <w:r w:rsidRPr="00A117FC">
        <w:rPr>
          <w:rFonts w:ascii="Arial" w:hAnsi="Arial" w:cs="Arial"/>
          <w:sz w:val="22"/>
          <w:szCs w:val="22"/>
        </w:rPr>
        <w:t xml:space="preserve"> patients.</w:t>
      </w:r>
    </w:p>
    <w:p w:rsidR="005B5EEF" w:rsidRPr="005E6149" w:rsidRDefault="005B5EEF" w:rsidP="00972534">
      <w:pPr>
        <w:spacing w:before="120" w:after="120"/>
        <w:rPr>
          <w:rFonts w:ascii="Arial" w:hAnsi="Arial" w:cs="Arial"/>
          <w:sz w:val="22"/>
          <w:szCs w:val="22"/>
        </w:rPr>
      </w:pPr>
    </w:p>
    <w:p w:rsidR="0054362F" w:rsidRPr="008D03D4" w:rsidRDefault="0054362F">
      <w:pPr>
        <w:rPr>
          <w:rFonts w:ascii="Arial" w:eastAsiaTheme="majorEastAsia" w:hAnsi="Arial" w:cs="Arial"/>
          <w:b/>
          <w:bCs/>
          <w:sz w:val="32"/>
          <w:szCs w:val="32"/>
        </w:rPr>
      </w:pPr>
      <w:bookmarkStart w:id="31" w:name="_Toc278480611"/>
      <w:r w:rsidRPr="008D03D4">
        <w:rPr>
          <w:rFonts w:ascii="Arial" w:hAnsi="Arial" w:cs="Arial"/>
        </w:rPr>
        <w:br w:type="page"/>
      </w:r>
    </w:p>
    <w:p w:rsidR="000A66F8" w:rsidRPr="00FD775F" w:rsidRDefault="00091B70" w:rsidP="00287791">
      <w:pPr>
        <w:pStyle w:val="Heading1"/>
        <w:ind w:left="0"/>
      </w:pPr>
      <w:bookmarkStart w:id="32" w:name="_Toc426117640"/>
      <w:r w:rsidRPr="00FD775F">
        <w:lastRenderedPageBreak/>
        <w:t>Identifying</w:t>
      </w:r>
      <w:r w:rsidR="001618CA" w:rsidRPr="00FD775F">
        <w:t xml:space="preserve"> a Cost Differential</w:t>
      </w:r>
      <w:r w:rsidRPr="00FD775F">
        <w:t xml:space="preserve"> – Acute Admitted Services</w:t>
      </w:r>
      <w:bookmarkEnd w:id="31"/>
      <w:bookmarkEnd w:id="32"/>
    </w:p>
    <w:p w:rsidR="00D31C80" w:rsidRPr="005E6149" w:rsidRDefault="00D31C80" w:rsidP="00D31C80">
      <w:pPr>
        <w:spacing w:before="120" w:after="120"/>
        <w:rPr>
          <w:rFonts w:ascii="Arial" w:hAnsi="Arial" w:cs="Arial"/>
          <w:sz w:val="22"/>
          <w:szCs w:val="22"/>
        </w:rPr>
      </w:pPr>
      <w:r w:rsidRPr="005E6149">
        <w:rPr>
          <w:rFonts w:ascii="Arial" w:hAnsi="Arial" w:cs="Arial"/>
          <w:sz w:val="22"/>
          <w:szCs w:val="22"/>
        </w:rPr>
        <w:t xml:space="preserve">A review of the respective </w:t>
      </w:r>
      <w:r w:rsidR="00D873D2">
        <w:rPr>
          <w:rFonts w:ascii="Arial" w:hAnsi="Arial" w:cs="Arial"/>
          <w:sz w:val="22"/>
          <w:szCs w:val="22"/>
        </w:rPr>
        <w:t xml:space="preserve">NHCDC </w:t>
      </w:r>
      <w:r w:rsidRPr="005E6149">
        <w:rPr>
          <w:rFonts w:ascii="Arial" w:hAnsi="Arial" w:cs="Arial"/>
          <w:sz w:val="22"/>
          <w:szCs w:val="22"/>
        </w:rPr>
        <w:t xml:space="preserve">data sets from Round 16 and Round 17 was undertaken to determine whether a cost differential exists in terms of treating an Indigenous patient compared to a </w:t>
      </w:r>
      <w:r w:rsidR="00456541">
        <w:rPr>
          <w:rFonts w:ascii="Arial" w:hAnsi="Arial" w:cs="Arial"/>
          <w:sz w:val="22"/>
          <w:szCs w:val="22"/>
        </w:rPr>
        <w:t>n</w:t>
      </w:r>
      <w:r w:rsidR="00C93E93" w:rsidRPr="005E6149">
        <w:rPr>
          <w:rFonts w:ascii="Arial" w:hAnsi="Arial" w:cs="Arial"/>
          <w:sz w:val="22"/>
          <w:szCs w:val="22"/>
        </w:rPr>
        <w:t>on-Indigenous</w:t>
      </w:r>
      <w:r w:rsidRPr="005E6149">
        <w:rPr>
          <w:rFonts w:ascii="Arial" w:hAnsi="Arial" w:cs="Arial"/>
          <w:sz w:val="22"/>
          <w:szCs w:val="22"/>
        </w:rPr>
        <w:t xml:space="preserve"> patient</w:t>
      </w:r>
      <w:r w:rsidR="00D873D2">
        <w:rPr>
          <w:rFonts w:ascii="Arial" w:hAnsi="Arial" w:cs="Arial"/>
          <w:sz w:val="22"/>
          <w:szCs w:val="22"/>
        </w:rPr>
        <w:t xml:space="preserve">. </w:t>
      </w:r>
      <w:r w:rsidRPr="005E6149">
        <w:rPr>
          <w:rFonts w:ascii="Arial" w:hAnsi="Arial" w:cs="Arial"/>
          <w:sz w:val="22"/>
          <w:szCs w:val="22"/>
        </w:rPr>
        <w:t>Whilst the requirement of the study was to consider cost allocations used by hospitals in allocati</w:t>
      </w:r>
      <w:r w:rsidR="00D873D2">
        <w:rPr>
          <w:rFonts w:ascii="Arial" w:hAnsi="Arial" w:cs="Arial"/>
          <w:sz w:val="22"/>
          <w:szCs w:val="22"/>
        </w:rPr>
        <w:t>ng costs to Indigenous patients</w:t>
      </w:r>
      <w:r w:rsidR="00456541">
        <w:rPr>
          <w:rFonts w:ascii="Arial" w:hAnsi="Arial" w:cs="Arial"/>
          <w:sz w:val="22"/>
          <w:szCs w:val="22"/>
        </w:rPr>
        <w:t>,</w:t>
      </w:r>
      <w:r w:rsidR="00D873D2">
        <w:rPr>
          <w:rFonts w:ascii="Arial" w:hAnsi="Arial" w:cs="Arial"/>
          <w:sz w:val="22"/>
          <w:szCs w:val="22"/>
        </w:rPr>
        <w:t xml:space="preserve"> t</w:t>
      </w:r>
      <w:r w:rsidRPr="005E6149">
        <w:rPr>
          <w:rFonts w:ascii="Arial" w:hAnsi="Arial" w:cs="Arial"/>
          <w:sz w:val="22"/>
          <w:szCs w:val="22"/>
        </w:rPr>
        <w:t>he analysis first considered a broader review of cost allocation methods across all patients</w:t>
      </w:r>
      <w:r w:rsidR="00D873D2">
        <w:rPr>
          <w:rFonts w:ascii="Arial" w:hAnsi="Arial" w:cs="Arial"/>
          <w:sz w:val="22"/>
          <w:szCs w:val="22"/>
        </w:rPr>
        <w:t>. T</w:t>
      </w:r>
      <w:r w:rsidRPr="005E6149">
        <w:rPr>
          <w:rFonts w:ascii="Arial" w:hAnsi="Arial" w:cs="Arial"/>
          <w:sz w:val="22"/>
          <w:szCs w:val="22"/>
        </w:rPr>
        <w:t>he first round of analyses focused on whether errors in the broader allocation methods or other data quality issues could be masking or dampening the current observed cost differential between the two cohorts</w:t>
      </w:r>
      <w:r w:rsidR="00D873D2">
        <w:rPr>
          <w:rFonts w:ascii="Arial" w:hAnsi="Arial" w:cs="Arial"/>
          <w:sz w:val="22"/>
          <w:szCs w:val="22"/>
        </w:rPr>
        <w:t xml:space="preserve">. </w:t>
      </w:r>
    </w:p>
    <w:p w:rsidR="00D31C80" w:rsidRPr="005E6149" w:rsidRDefault="00D31C80" w:rsidP="00D31C80">
      <w:pPr>
        <w:spacing w:before="120" w:after="120"/>
        <w:rPr>
          <w:rFonts w:ascii="Arial" w:hAnsi="Arial" w:cs="Arial"/>
          <w:sz w:val="22"/>
          <w:szCs w:val="22"/>
        </w:rPr>
      </w:pPr>
      <w:r w:rsidRPr="005E6149">
        <w:rPr>
          <w:rFonts w:ascii="Arial" w:hAnsi="Arial" w:cs="Arial"/>
          <w:sz w:val="22"/>
          <w:szCs w:val="22"/>
        </w:rPr>
        <w:t>The analysis was undertaken individually on each of the datasets provided by IHPA</w:t>
      </w:r>
      <w:r w:rsidR="00D873D2">
        <w:rPr>
          <w:rFonts w:ascii="Arial" w:hAnsi="Arial" w:cs="Arial"/>
          <w:sz w:val="22"/>
          <w:szCs w:val="22"/>
        </w:rPr>
        <w:t xml:space="preserve">. </w:t>
      </w:r>
      <w:r w:rsidRPr="005E6149">
        <w:rPr>
          <w:rFonts w:ascii="Arial" w:hAnsi="Arial" w:cs="Arial"/>
          <w:sz w:val="22"/>
          <w:szCs w:val="22"/>
        </w:rPr>
        <w:t xml:space="preserve">The results are </w:t>
      </w:r>
      <w:proofErr w:type="spellStart"/>
      <w:r w:rsidRPr="005E6149">
        <w:rPr>
          <w:rFonts w:ascii="Arial" w:hAnsi="Arial" w:cs="Arial"/>
          <w:sz w:val="22"/>
          <w:szCs w:val="22"/>
        </w:rPr>
        <w:t>summarised</w:t>
      </w:r>
      <w:proofErr w:type="spellEnd"/>
      <w:r w:rsidRPr="005E6149">
        <w:rPr>
          <w:rFonts w:ascii="Arial" w:hAnsi="Arial" w:cs="Arial"/>
          <w:sz w:val="22"/>
          <w:szCs w:val="22"/>
        </w:rPr>
        <w:t xml:space="preserve"> in this chapter on a setting-by-setting basis.</w:t>
      </w:r>
    </w:p>
    <w:p w:rsidR="00D31C80" w:rsidRPr="005E6149" w:rsidRDefault="00D31C80" w:rsidP="003320C4">
      <w:pPr>
        <w:pStyle w:val="Heading2"/>
        <w:keepLines w:val="0"/>
        <w:tabs>
          <w:tab w:val="left" w:pos="851"/>
        </w:tabs>
        <w:spacing w:before="360" w:after="240"/>
        <w:ind w:left="851" w:hanging="851"/>
        <w:rPr>
          <w:rFonts w:ascii="Arial" w:hAnsi="Arial" w:cs="Arial"/>
          <w:color w:val="548DD4" w:themeColor="text2" w:themeTint="99"/>
        </w:rPr>
      </w:pPr>
      <w:bookmarkStart w:id="33" w:name="_Toc278480612"/>
      <w:r w:rsidRPr="005E6149">
        <w:rPr>
          <w:rFonts w:ascii="Arial" w:hAnsi="Arial" w:cs="Arial"/>
          <w:color w:val="548DD4" w:themeColor="text2" w:themeTint="99"/>
        </w:rPr>
        <w:t>Acute Admitted Dataset</w:t>
      </w:r>
      <w:bookmarkEnd w:id="33"/>
    </w:p>
    <w:p w:rsidR="00A117FC" w:rsidRDefault="00A117FC" w:rsidP="00A55197">
      <w:pPr>
        <w:spacing w:before="120" w:after="120"/>
        <w:rPr>
          <w:rFonts w:ascii="Arial" w:hAnsi="Arial" w:cs="Arial"/>
          <w:sz w:val="22"/>
          <w:szCs w:val="22"/>
        </w:rPr>
      </w:pPr>
      <w:r>
        <w:rPr>
          <w:rFonts w:ascii="Arial" w:hAnsi="Arial" w:cs="Arial"/>
          <w:sz w:val="22"/>
          <w:szCs w:val="22"/>
        </w:rPr>
        <w:t>The NHCDC data sets were trimmed based on the following considerations:</w:t>
      </w:r>
    </w:p>
    <w:p w:rsidR="00A117FC" w:rsidRPr="00A117FC" w:rsidRDefault="00A117FC" w:rsidP="00E86862">
      <w:pPr>
        <w:pStyle w:val="ListParagraph"/>
        <w:numPr>
          <w:ilvl w:val="0"/>
          <w:numId w:val="46"/>
        </w:numPr>
        <w:spacing w:before="120" w:after="120"/>
        <w:rPr>
          <w:rFonts w:ascii="Arial" w:hAnsi="Arial" w:cs="Arial"/>
          <w:sz w:val="22"/>
          <w:szCs w:val="22"/>
        </w:rPr>
      </w:pPr>
      <w:r w:rsidRPr="00A117FC">
        <w:rPr>
          <w:rFonts w:ascii="Arial" w:hAnsi="Arial" w:cs="Arial"/>
          <w:sz w:val="22"/>
          <w:szCs w:val="22"/>
        </w:rPr>
        <w:t>Indigenous status not identified</w:t>
      </w:r>
      <w:r>
        <w:rPr>
          <w:rFonts w:ascii="Arial" w:hAnsi="Arial" w:cs="Arial"/>
          <w:sz w:val="22"/>
          <w:szCs w:val="22"/>
        </w:rPr>
        <w:t xml:space="preserve">; </w:t>
      </w:r>
    </w:p>
    <w:p w:rsidR="00A117FC" w:rsidRPr="00A117FC" w:rsidRDefault="00A117FC" w:rsidP="00E86862">
      <w:pPr>
        <w:pStyle w:val="ListParagraph"/>
        <w:numPr>
          <w:ilvl w:val="0"/>
          <w:numId w:val="46"/>
        </w:numPr>
        <w:spacing w:before="120" w:after="120"/>
        <w:rPr>
          <w:rFonts w:ascii="Arial" w:hAnsi="Arial" w:cs="Arial"/>
          <w:sz w:val="22"/>
          <w:szCs w:val="22"/>
        </w:rPr>
      </w:pPr>
      <w:r w:rsidRPr="00A117FC">
        <w:rPr>
          <w:rFonts w:ascii="Arial" w:hAnsi="Arial" w:cs="Arial"/>
          <w:sz w:val="22"/>
          <w:szCs w:val="22"/>
        </w:rPr>
        <w:t>Episode not separated in financial year</w:t>
      </w:r>
      <w:r>
        <w:rPr>
          <w:rFonts w:ascii="Arial" w:hAnsi="Arial" w:cs="Arial"/>
          <w:sz w:val="22"/>
          <w:szCs w:val="22"/>
        </w:rPr>
        <w:t>; and</w:t>
      </w:r>
    </w:p>
    <w:p w:rsidR="00A117FC" w:rsidRPr="00A117FC" w:rsidRDefault="00A117FC" w:rsidP="00E86862">
      <w:pPr>
        <w:pStyle w:val="ListParagraph"/>
        <w:numPr>
          <w:ilvl w:val="0"/>
          <w:numId w:val="46"/>
        </w:numPr>
        <w:spacing w:before="120" w:after="120"/>
        <w:rPr>
          <w:rFonts w:ascii="Arial" w:hAnsi="Arial" w:cs="Arial"/>
          <w:sz w:val="22"/>
          <w:szCs w:val="22"/>
        </w:rPr>
      </w:pPr>
      <w:r w:rsidRPr="00A117FC">
        <w:rPr>
          <w:rFonts w:ascii="Arial" w:hAnsi="Arial" w:cs="Arial"/>
          <w:sz w:val="22"/>
          <w:szCs w:val="22"/>
        </w:rPr>
        <w:t>Cost outliers</w:t>
      </w:r>
      <w:r>
        <w:rPr>
          <w:rFonts w:ascii="Arial" w:hAnsi="Arial" w:cs="Arial"/>
          <w:sz w:val="22"/>
          <w:szCs w:val="22"/>
        </w:rPr>
        <w:t>.</w:t>
      </w:r>
    </w:p>
    <w:p w:rsidR="002B6C5B" w:rsidRPr="005E6149" w:rsidRDefault="007C5812" w:rsidP="00A55197">
      <w:pPr>
        <w:spacing w:before="120" w:after="120"/>
        <w:rPr>
          <w:rFonts w:ascii="Arial" w:hAnsi="Arial" w:cs="Arial"/>
          <w:sz w:val="22"/>
          <w:szCs w:val="22"/>
        </w:rPr>
      </w:pPr>
      <w:r w:rsidRPr="005E6149">
        <w:rPr>
          <w:rFonts w:ascii="Arial" w:hAnsi="Arial" w:cs="Arial"/>
          <w:sz w:val="22"/>
          <w:szCs w:val="22"/>
        </w:rPr>
        <w:t xml:space="preserve">Figure 5.1 depicts the </w:t>
      </w:r>
      <w:r w:rsidR="002B6C5B" w:rsidRPr="005E6149">
        <w:rPr>
          <w:rFonts w:ascii="Arial" w:hAnsi="Arial" w:cs="Arial"/>
          <w:sz w:val="22"/>
          <w:szCs w:val="22"/>
        </w:rPr>
        <w:t xml:space="preserve">logic followed </w:t>
      </w:r>
      <w:r w:rsidR="00780E8B" w:rsidRPr="005E6149">
        <w:rPr>
          <w:rFonts w:ascii="Arial" w:hAnsi="Arial" w:cs="Arial"/>
          <w:sz w:val="22"/>
          <w:szCs w:val="22"/>
        </w:rPr>
        <w:t xml:space="preserve">in the analysis of </w:t>
      </w:r>
      <w:r w:rsidRPr="005E6149">
        <w:rPr>
          <w:rFonts w:ascii="Arial" w:hAnsi="Arial" w:cs="Arial"/>
          <w:sz w:val="22"/>
          <w:szCs w:val="22"/>
        </w:rPr>
        <w:t>the acute admitted data</w:t>
      </w:r>
      <w:r w:rsidR="00780E8B" w:rsidRPr="005E6149">
        <w:rPr>
          <w:rFonts w:ascii="Arial" w:hAnsi="Arial" w:cs="Arial"/>
          <w:sz w:val="22"/>
          <w:szCs w:val="22"/>
        </w:rPr>
        <w:t>sets.</w:t>
      </w:r>
    </w:p>
    <w:p w:rsidR="00780E8B" w:rsidRPr="005E6149" w:rsidRDefault="00780E8B" w:rsidP="00780E8B">
      <w:pPr>
        <w:pStyle w:val="FigureCaption"/>
        <w:rPr>
          <w:rFonts w:ascii="Arial" w:hAnsi="Arial" w:cs="Arial"/>
          <w:sz w:val="18"/>
          <w:szCs w:val="18"/>
        </w:rPr>
      </w:pPr>
      <w:bookmarkStart w:id="34" w:name="_Toc278480696"/>
      <w:r w:rsidRPr="005E6149">
        <w:rPr>
          <w:rFonts w:ascii="Arial" w:hAnsi="Arial" w:cs="Arial"/>
          <w:sz w:val="18"/>
          <w:szCs w:val="18"/>
        </w:rPr>
        <w:t>Figure 5.1: Logic of analysis of acute admitted dataset</w:t>
      </w:r>
      <w:bookmarkEnd w:id="34"/>
    </w:p>
    <w:p w:rsidR="002B6C5B" w:rsidRPr="005E6149" w:rsidRDefault="007C5812" w:rsidP="00324D65">
      <w:pPr>
        <w:spacing w:before="120" w:after="120"/>
        <w:jc w:val="center"/>
        <w:rPr>
          <w:rFonts w:ascii="Arial" w:hAnsi="Arial" w:cs="Arial"/>
          <w:sz w:val="22"/>
          <w:szCs w:val="22"/>
        </w:rPr>
      </w:pPr>
      <w:r w:rsidRPr="005E6149">
        <w:rPr>
          <w:rFonts w:ascii="Arial" w:hAnsi="Arial" w:cs="Arial"/>
          <w:noProof/>
          <w:sz w:val="22"/>
          <w:szCs w:val="22"/>
          <w:lang w:val="en-AU" w:eastAsia="en-AU"/>
        </w:rPr>
        <w:drawing>
          <wp:inline distT="0" distB="0" distL="0" distR="0" wp14:anchorId="3251CC5E" wp14:editId="0719F7E9">
            <wp:extent cx="3772529" cy="3397250"/>
            <wp:effectExtent l="0" t="0" r="0" b="0"/>
            <wp:docPr id="92" name="Picture 92" title="Figure 5.1: Logic of analysis of acute admitt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4464" cy="3398993"/>
                    </a:xfrm>
                    <a:prstGeom prst="rect">
                      <a:avLst/>
                    </a:prstGeom>
                    <a:noFill/>
                    <a:ln>
                      <a:noFill/>
                    </a:ln>
                  </pic:spPr>
                </pic:pic>
              </a:graphicData>
            </a:graphic>
          </wp:inline>
        </w:drawing>
      </w:r>
    </w:p>
    <w:p w:rsidR="00780E8B" w:rsidRPr="005E6149" w:rsidRDefault="009B378B" w:rsidP="00A55197">
      <w:pPr>
        <w:spacing w:before="120" w:after="120"/>
        <w:rPr>
          <w:rFonts w:ascii="Arial" w:hAnsi="Arial" w:cs="Arial"/>
          <w:sz w:val="22"/>
          <w:szCs w:val="22"/>
        </w:rPr>
      </w:pPr>
      <w:r w:rsidRPr="005E6149">
        <w:rPr>
          <w:rFonts w:ascii="Arial" w:hAnsi="Arial" w:cs="Arial"/>
          <w:sz w:val="22"/>
          <w:szCs w:val="22"/>
        </w:rPr>
        <w:lastRenderedPageBreak/>
        <w:t>D</w:t>
      </w:r>
      <w:r w:rsidR="000528B2" w:rsidRPr="005E6149">
        <w:rPr>
          <w:rFonts w:ascii="Arial" w:hAnsi="Arial" w:cs="Arial"/>
          <w:sz w:val="22"/>
          <w:szCs w:val="22"/>
        </w:rPr>
        <w:t xml:space="preserve">ata from Round 16 NHCDC contained </w:t>
      </w:r>
      <w:r w:rsidR="00334AF0" w:rsidRPr="005E6149">
        <w:rPr>
          <w:rFonts w:ascii="Arial" w:hAnsi="Arial" w:cs="Arial"/>
          <w:sz w:val="22"/>
          <w:szCs w:val="22"/>
        </w:rPr>
        <w:t>4,474,441</w:t>
      </w:r>
      <w:r w:rsidR="000528B2" w:rsidRPr="005E6149">
        <w:rPr>
          <w:rFonts w:ascii="Arial" w:hAnsi="Arial" w:cs="Arial"/>
          <w:sz w:val="22"/>
          <w:szCs w:val="22"/>
        </w:rPr>
        <w:t xml:space="preserve"> records for acute admitted services and Round 17 NHCDC contained </w:t>
      </w:r>
      <w:r w:rsidR="00DA598A" w:rsidRPr="005E6149">
        <w:rPr>
          <w:rFonts w:ascii="Arial" w:hAnsi="Arial" w:cs="Arial"/>
          <w:sz w:val="22"/>
          <w:szCs w:val="22"/>
        </w:rPr>
        <w:t>4,785,637</w:t>
      </w:r>
      <w:r w:rsidR="000528B2" w:rsidRPr="005E6149">
        <w:rPr>
          <w:rFonts w:ascii="Arial" w:hAnsi="Arial" w:cs="Arial"/>
          <w:sz w:val="22"/>
          <w:szCs w:val="22"/>
        </w:rPr>
        <w:t xml:space="preserve"> records for acute admitted services.</w:t>
      </w:r>
      <w:r w:rsidR="002832AC" w:rsidRPr="005E6149">
        <w:rPr>
          <w:rFonts w:ascii="Arial" w:hAnsi="Arial" w:cs="Arial"/>
          <w:sz w:val="22"/>
          <w:szCs w:val="22"/>
        </w:rPr>
        <w:t xml:space="preserve"> The cost profile and length of stay profile of the raw datasets are </w:t>
      </w:r>
      <w:proofErr w:type="spellStart"/>
      <w:r w:rsidR="002832AC" w:rsidRPr="005E6149">
        <w:rPr>
          <w:rFonts w:ascii="Arial" w:hAnsi="Arial" w:cs="Arial"/>
          <w:sz w:val="22"/>
          <w:szCs w:val="22"/>
        </w:rPr>
        <w:t>summarised</w:t>
      </w:r>
      <w:proofErr w:type="spellEnd"/>
      <w:r w:rsidR="002832AC" w:rsidRPr="005E6149">
        <w:rPr>
          <w:rFonts w:ascii="Arial" w:hAnsi="Arial" w:cs="Arial"/>
          <w:sz w:val="22"/>
          <w:szCs w:val="22"/>
        </w:rPr>
        <w:t xml:space="preserve"> in Table 5.1.</w:t>
      </w:r>
      <w:r w:rsidR="003B1BDE">
        <w:rPr>
          <w:rFonts w:ascii="Arial" w:hAnsi="Arial" w:cs="Arial"/>
          <w:sz w:val="22"/>
          <w:szCs w:val="22"/>
        </w:rPr>
        <w:t xml:space="preserve"> The average cost of separations for Indigenous patients was $3,868 in Round 16 and $4,168 in Round 17</w:t>
      </w:r>
      <w:r w:rsidR="00D13DB1">
        <w:rPr>
          <w:rFonts w:ascii="Arial" w:hAnsi="Arial" w:cs="Arial"/>
          <w:sz w:val="22"/>
          <w:szCs w:val="22"/>
        </w:rPr>
        <w:t>,</w:t>
      </w:r>
      <w:r w:rsidR="003B1BDE">
        <w:rPr>
          <w:rFonts w:ascii="Arial" w:hAnsi="Arial" w:cs="Arial"/>
          <w:sz w:val="22"/>
          <w:szCs w:val="22"/>
        </w:rPr>
        <w:t xml:space="preserve"> compared to </w:t>
      </w:r>
      <w:r w:rsidR="007A097D">
        <w:rPr>
          <w:rFonts w:ascii="Arial" w:hAnsi="Arial" w:cs="Arial"/>
          <w:sz w:val="22"/>
          <w:szCs w:val="22"/>
        </w:rPr>
        <w:t>non-Indigenous</w:t>
      </w:r>
      <w:r w:rsidR="003B1BDE">
        <w:rPr>
          <w:rFonts w:ascii="Arial" w:hAnsi="Arial" w:cs="Arial"/>
          <w:sz w:val="22"/>
          <w:szCs w:val="22"/>
        </w:rPr>
        <w:t xml:space="preserve"> average costs being $4,762 and $5,089. </w:t>
      </w:r>
    </w:p>
    <w:p w:rsidR="00780E8B" w:rsidRPr="005E6149" w:rsidRDefault="00780E8B" w:rsidP="00780E8B">
      <w:pPr>
        <w:pStyle w:val="TableCaption"/>
        <w:rPr>
          <w:rFonts w:ascii="Arial" w:hAnsi="Arial" w:cs="Arial"/>
          <w:sz w:val="18"/>
          <w:szCs w:val="18"/>
        </w:rPr>
      </w:pPr>
      <w:bookmarkStart w:id="35" w:name="_Toc278480658"/>
      <w:r w:rsidRPr="005E6149">
        <w:rPr>
          <w:rFonts w:ascii="Arial" w:hAnsi="Arial" w:cs="Arial"/>
          <w:sz w:val="18"/>
          <w:szCs w:val="18"/>
        </w:rPr>
        <w:t>Table 5.1: Acute admitted dataset records Round 16(2011/12) and Round 17(2012/13) NHCDC</w:t>
      </w:r>
      <w:bookmarkEnd w:id="35"/>
    </w:p>
    <w:tbl>
      <w:tblPr>
        <w:tblStyle w:val="TableGrid"/>
        <w:tblW w:w="0" w:type="auto"/>
        <w:tblLook w:val="04A0" w:firstRow="1" w:lastRow="0" w:firstColumn="1" w:lastColumn="0" w:noHBand="0" w:noVBand="1"/>
        <w:tblCaption w:val="Table 5.1: Acute admitted dataset records Round 16(2011/12) and Round 17(2012/13) NHCDC"/>
      </w:tblPr>
      <w:tblGrid>
        <w:gridCol w:w="1263"/>
        <w:gridCol w:w="1260"/>
        <w:gridCol w:w="1254"/>
        <w:gridCol w:w="1322"/>
        <w:gridCol w:w="1252"/>
        <w:gridCol w:w="1252"/>
        <w:gridCol w:w="1253"/>
      </w:tblGrid>
      <w:tr w:rsidR="00780E8B" w:rsidRPr="00D13DB1" w:rsidTr="00B31DC7">
        <w:trPr>
          <w:tblHeader/>
        </w:trPr>
        <w:tc>
          <w:tcPr>
            <w:tcW w:w="1263" w:type="dxa"/>
            <w:vMerge w:val="restart"/>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Indigenous Status</w:t>
            </w:r>
          </w:p>
        </w:tc>
        <w:tc>
          <w:tcPr>
            <w:tcW w:w="2514" w:type="dxa"/>
            <w:gridSpan w:val="2"/>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Number of Records</w:t>
            </w:r>
          </w:p>
        </w:tc>
        <w:tc>
          <w:tcPr>
            <w:tcW w:w="2574" w:type="dxa"/>
            <w:gridSpan w:val="2"/>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Average Cost per separation (</w:t>
            </w:r>
            <w:proofErr w:type="spellStart"/>
            <w:r w:rsidRPr="00C628C4">
              <w:rPr>
                <w:rFonts w:asciiTheme="majorHAnsi" w:hAnsiTheme="majorHAnsi" w:cs="Arial"/>
                <w:b/>
              </w:rPr>
              <w:t>unweighted</w:t>
            </w:r>
            <w:proofErr w:type="spellEnd"/>
            <w:r w:rsidRPr="00C628C4">
              <w:rPr>
                <w:rFonts w:asciiTheme="majorHAnsi" w:hAnsiTheme="majorHAnsi" w:cs="Arial"/>
                <w:b/>
              </w:rPr>
              <w:t>)</w:t>
            </w:r>
          </w:p>
        </w:tc>
        <w:tc>
          <w:tcPr>
            <w:tcW w:w="2505" w:type="dxa"/>
            <w:gridSpan w:val="2"/>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Average Length of Stay</w:t>
            </w:r>
          </w:p>
        </w:tc>
      </w:tr>
      <w:tr w:rsidR="00780E8B" w:rsidRPr="00D13DB1" w:rsidTr="00B31DC7">
        <w:tc>
          <w:tcPr>
            <w:tcW w:w="1263" w:type="dxa"/>
            <w:vMerge/>
            <w:shd w:val="clear" w:color="auto" w:fill="CCCCCC"/>
          </w:tcPr>
          <w:p w:rsidR="00780E8B" w:rsidRPr="00C628C4" w:rsidRDefault="00780E8B" w:rsidP="00780E8B">
            <w:pPr>
              <w:jc w:val="center"/>
              <w:rPr>
                <w:rFonts w:asciiTheme="majorHAnsi" w:hAnsiTheme="majorHAnsi" w:cs="Arial"/>
                <w:b/>
              </w:rPr>
            </w:pPr>
          </w:p>
        </w:tc>
        <w:tc>
          <w:tcPr>
            <w:tcW w:w="1260"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16</w:t>
            </w:r>
          </w:p>
        </w:tc>
        <w:tc>
          <w:tcPr>
            <w:tcW w:w="1254"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17</w:t>
            </w:r>
          </w:p>
        </w:tc>
        <w:tc>
          <w:tcPr>
            <w:tcW w:w="1322"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16</w:t>
            </w:r>
          </w:p>
        </w:tc>
        <w:tc>
          <w:tcPr>
            <w:tcW w:w="1252"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17</w:t>
            </w:r>
          </w:p>
        </w:tc>
        <w:tc>
          <w:tcPr>
            <w:tcW w:w="1252"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16</w:t>
            </w:r>
          </w:p>
        </w:tc>
        <w:tc>
          <w:tcPr>
            <w:tcW w:w="1253" w:type="dxa"/>
            <w:shd w:val="clear" w:color="auto" w:fill="CCCCCC"/>
          </w:tcPr>
          <w:p w:rsidR="00780E8B" w:rsidRPr="00C628C4" w:rsidRDefault="00780E8B" w:rsidP="00780E8B">
            <w:pPr>
              <w:jc w:val="center"/>
              <w:rPr>
                <w:rFonts w:asciiTheme="majorHAnsi" w:hAnsiTheme="majorHAnsi" w:cs="Arial"/>
                <w:b/>
              </w:rPr>
            </w:pPr>
            <w:r w:rsidRPr="00C628C4">
              <w:rPr>
                <w:rFonts w:asciiTheme="majorHAnsi" w:hAnsiTheme="majorHAnsi" w:cs="Arial"/>
                <w:b/>
              </w:rPr>
              <w:t>Rd 17</w:t>
            </w:r>
          </w:p>
        </w:tc>
      </w:tr>
      <w:tr w:rsidR="00780E8B" w:rsidRPr="00D13DB1" w:rsidTr="00B31DC7">
        <w:tc>
          <w:tcPr>
            <w:tcW w:w="1263" w:type="dxa"/>
          </w:tcPr>
          <w:p w:rsidR="00780E8B" w:rsidRPr="00C628C4" w:rsidRDefault="00780E8B" w:rsidP="00780E8B">
            <w:pPr>
              <w:rPr>
                <w:rFonts w:asciiTheme="majorHAnsi" w:hAnsiTheme="majorHAnsi" w:cs="Arial"/>
              </w:rPr>
            </w:pPr>
            <w:r w:rsidRPr="00C628C4">
              <w:rPr>
                <w:rFonts w:asciiTheme="majorHAnsi" w:hAnsiTheme="majorHAnsi" w:cs="Arial"/>
              </w:rPr>
              <w:t>Indigenous</w:t>
            </w:r>
          </w:p>
        </w:tc>
        <w:tc>
          <w:tcPr>
            <w:tcW w:w="1260" w:type="dxa"/>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270,124</w:t>
            </w:r>
          </w:p>
        </w:tc>
        <w:tc>
          <w:tcPr>
            <w:tcW w:w="1254" w:type="dxa"/>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320,650</w:t>
            </w:r>
          </w:p>
        </w:tc>
        <w:tc>
          <w:tcPr>
            <w:tcW w:w="1322"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$3,868</w:t>
            </w:r>
          </w:p>
        </w:tc>
        <w:tc>
          <w:tcPr>
            <w:tcW w:w="1252"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$4,168</w:t>
            </w:r>
          </w:p>
        </w:tc>
        <w:tc>
          <w:tcPr>
            <w:tcW w:w="1252" w:type="dxa"/>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2.5</w:t>
            </w:r>
          </w:p>
        </w:tc>
        <w:tc>
          <w:tcPr>
            <w:tcW w:w="1253"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2.4</w:t>
            </w:r>
          </w:p>
        </w:tc>
      </w:tr>
      <w:tr w:rsidR="00780E8B" w:rsidRPr="00D13DB1" w:rsidTr="00B31DC7">
        <w:tc>
          <w:tcPr>
            <w:tcW w:w="1263" w:type="dxa"/>
          </w:tcPr>
          <w:p w:rsidR="00780E8B" w:rsidRPr="00C628C4" w:rsidRDefault="007A097D" w:rsidP="00780E8B">
            <w:pPr>
              <w:rPr>
                <w:rFonts w:asciiTheme="majorHAnsi" w:hAnsiTheme="majorHAnsi" w:cs="Arial"/>
              </w:rPr>
            </w:pPr>
            <w:r w:rsidRPr="00C628C4">
              <w:rPr>
                <w:rFonts w:asciiTheme="majorHAnsi" w:hAnsiTheme="majorHAnsi" w:cs="Arial"/>
              </w:rPr>
              <w:t>Non-Indigenous</w:t>
            </w:r>
          </w:p>
        </w:tc>
        <w:tc>
          <w:tcPr>
            <w:tcW w:w="1260" w:type="dxa"/>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4,161,407</w:t>
            </w:r>
          </w:p>
        </w:tc>
        <w:tc>
          <w:tcPr>
            <w:tcW w:w="1254" w:type="dxa"/>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4,418,073</w:t>
            </w:r>
          </w:p>
        </w:tc>
        <w:tc>
          <w:tcPr>
            <w:tcW w:w="1322"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$4,762</w:t>
            </w:r>
          </w:p>
        </w:tc>
        <w:tc>
          <w:tcPr>
            <w:tcW w:w="1252"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$5,089</w:t>
            </w:r>
          </w:p>
        </w:tc>
        <w:tc>
          <w:tcPr>
            <w:tcW w:w="1252"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3.0</w:t>
            </w:r>
          </w:p>
        </w:tc>
        <w:tc>
          <w:tcPr>
            <w:tcW w:w="1253" w:type="dxa"/>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2.9</w:t>
            </w:r>
          </w:p>
        </w:tc>
      </w:tr>
      <w:tr w:rsidR="00780E8B" w:rsidRPr="00D13DB1" w:rsidTr="00B31DC7">
        <w:tc>
          <w:tcPr>
            <w:tcW w:w="1263" w:type="dxa"/>
            <w:tcBorders>
              <w:bottom w:val="single" w:sz="4" w:space="0" w:color="auto"/>
            </w:tcBorders>
          </w:tcPr>
          <w:p w:rsidR="00780E8B" w:rsidRPr="00C628C4" w:rsidRDefault="00780E8B" w:rsidP="00780E8B">
            <w:pPr>
              <w:rPr>
                <w:rFonts w:asciiTheme="majorHAnsi" w:hAnsiTheme="majorHAnsi" w:cs="Arial"/>
              </w:rPr>
            </w:pPr>
            <w:r w:rsidRPr="00C628C4">
              <w:rPr>
                <w:rFonts w:asciiTheme="majorHAnsi" w:hAnsiTheme="majorHAnsi" w:cs="Arial"/>
              </w:rPr>
              <w:t>Indigenous status not identified</w:t>
            </w:r>
          </w:p>
        </w:tc>
        <w:tc>
          <w:tcPr>
            <w:tcW w:w="1260" w:type="dxa"/>
            <w:tcBorders>
              <w:bottom w:val="single" w:sz="4" w:space="0" w:color="auto"/>
            </w:tcBorders>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42,910</w:t>
            </w:r>
          </w:p>
        </w:tc>
        <w:tc>
          <w:tcPr>
            <w:tcW w:w="1254" w:type="dxa"/>
            <w:tcBorders>
              <w:bottom w:val="single" w:sz="4" w:space="0" w:color="auto"/>
            </w:tcBorders>
            <w:vAlign w:val="center"/>
          </w:tcPr>
          <w:p w:rsidR="00780E8B" w:rsidRPr="00C628C4" w:rsidRDefault="00780E8B" w:rsidP="00D873D2">
            <w:pPr>
              <w:jc w:val="right"/>
              <w:rPr>
                <w:rFonts w:asciiTheme="majorHAnsi" w:hAnsiTheme="majorHAnsi" w:cs="Arial"/>
              </w:rPr>
            </w:pPr>
            <w:r w:rsidRPr="00C628C4">
              <w:rPr>
                <w:rFonts w:asciiTheme="majorHAnsi" w:hAnsiTheme="majorHAnsi" w:cs="Arial"/>
                <w:color w:val="000000"/>
                <w:lang w:val="en-AU" w:eastAsia="en-AU"/>
              </w:rPr>
              <w:t>45,521</w:t>
            </w:r>
          </w:p>
        </w:tc>
        <w:tc>
          <w:tcPr>
            <w:tcW w:w="1322" w:type="dxa"/>
            <w:tcBorders>
              <w:bottom w:val="single" w:sz="4" w:space="0" w:color="auto"/>
            </w:tcBorders>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$6,689</w:t>
            </w:r>
          </w:p>
        </w:tc>
        <w:tc>
          <w:tcPr>
            <w:tcW w:w="1252" w:type="dxa"/>
            <w:tcBorders>
              <w:bottom w:val="single" w:sz="4" w:space="0" w:color="auto"/>
            </w:tcBorders>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$6,928</w:t>
            </w:r>
          </w:p>
        </w:tc>
        <w:tc>
          <w:tcPr>
            <w:tcW w:w="1252" w:type="dxa"/>
            <w:tcBorders>
              <w:bottom w:val="single" w:sz="4" w:space="0" w:color="auto"/>
            </w:tcBorders>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3.8</w:t>
            </w:r>
          </w:p>
        </w:tc>
        <w:tc>
          <w:tcPr>
            <w:tcW w:w="1253" w:type="dxa"/>
            <w:tcBorders>
              <w:bottom w:val="single" w:sz="4" w:space="0" w:color="auto"/>
            </w:tcBorders>
            <w:vAlign w:val="center"/>
          </w:tcPr>
          <w:p w:rsidR="00780E8B" w:rsidRPr="00C628C4" w:rsidRDefault="00D873D2" w:rsidP="00D873D2">
            <w:pPr>
              <w:jc w:val="right"/>
              <w:rPr>
                <w:rFonts w:asciiTheme="majorHAnsi" w:hAnsiTheme="majorHAnsi" w:cs="Arial"/>
              </w:rPr>
            </w:pPr>
            <w:r w:rsidRPr="00C628C4">
              <w:rPr>
                <w:rFonts w:asciiTheme="majorHAnsi" w:hAnsiTheme="majorHAnsi" w:cs="Arial"/>
                <w:color w:val="000000"/>
                <w:lang w:val="en-AU" w:eastAsia="en-AU"/>
              </w:rPr>
              <w:t>3.6</w:t>
            </w:r>
          </w:p>
        </w:tc>
      </w:tr>
      <w:tr w:rsidR="00780E8B" w:rsidRPr="00D13DB1" w:rsidTr="00B31DC7">
        <w:tc>
          <w:tcPr>
            <w:tcW w:w="1263" w:type="dxa"/>
            <w:shd w:val="clear" w:color="auto" w:fill="E0E0E0"/>
          </w:tcPr>
          <w:p w:rsidR="00780E8B" w:rsidRPr="00C628C4" w:rsidRDefault="00780E8B" w:rsidP="00780E8B">
            <w:pPr>
              <w:rPr>
                <w:rFonts w:asciiTheme="majorHAnsi" w:hAnsiTheme="majorHAnsi" w:cs="Arial"/>
                <w:b/>
              </w:rPr>
            </w:pPr>
            <w:r w:rsidRPr="00C628C4">
              <w:rPr>
                <w:rFonts w:asciiTheme="majorHAnsi" w:hAnsiTheme="majorHAnsi" w:cs="Arial"/>
                <w:b/>
              </w:rPr>
              <w:t>Total</w:t>
            </w:r>
          </w:p>
        </w:tc>
        <w:tc>
          <w:tcPr>
            <w:tcW w:w="1260" w:type="dxa"/>
            <w:shd w:val="clear" w:color="auto" w:fill="E0E0E0"/>
            <w:vAlign w:val="center"/>
          </w:tcPr>
          <w:p w:rsidR="00780E8B" w:rsidRPr="00C628C4" w:rsidRDefault="00780E8B" w:rsidP="00D873D2">
            <w:pPr>
              <w:jc w:val="right"/>
              <w:rPr>
                <w:rFonts w:asciiTheme="majorHAnsi" w:hAnsiTheme="majorHAnsi" w:cs="Arial"/>
                <w:b/>
              </w:rPr>
            </w:pPr>
            <w:r w:rsidRPr="00C628C4">
              <w:rPr>
                <w:rFonts w:asciiTheme="majorHAnsi" w:hAnsiTheme="majorHAnsi" w:cs="Arial"/>
                <w:b/>
                <w:color w:val="000000"/>
                <w:lang w:val="en-AU" w:eastAsia="en-AU"/>
              </w:rPr>
              <w:t>4,474,441</w:t>
            </w:r>
          </w:p>
        </w:tc>
        <w:tc>
          <w:tcPr>
            <w:tcW w:w="1254" w:type="dxa"/>
            <w:shd w:val="clear" w:color="auto" w:fill="E0E0E0"/>
            <w:vAlign w:val="center"/>
          </w:tcPr>
          <w:p w:rsidR="00780E8B" w:rsidRPr="00C628C4" w:rsidRDefault="00780E8B" w:rsidP="00D873D2">
            <w:pPr>
              <w:jc w:val="right"/>
              <w:rPr>
                <w:rFonts w:asciiTheme="majorHAnsi" w:hAnsiTheme="majorHAnsi" w:cs="Arial"/>
                <w:b/>
              </w:rPr>
            </w:pPr>
            <w:r w:rsidRPr="00C628C4">
              <w:rPr>
                <w:rFonts w:asciiTheme="majorHAnsi" w:hAnsiTheme="majorHAnsi" w:cs="Arial"/>
                <w:b/>
                <w:color w:val="000000"/>
                <w:lang w:val="en-AU" w:eastAsia="en-AU"/>
              </w:rPr>
              <w:t>4,785,637</w:t>
            </w:r>
          </w:p>
        </w:tc>
        <w:tc>
          <w:tcPr>
            <w:tcW w:w="1322" w:type="dxa"/>
            <w:shd w:val="clear" w:color="auto" w:fill="E0E0E0"/>
            <w:vAlign w:val="center"/>
          </w:tcPr>
          <w:p w:rsidR="00780E8B" w:rsidRPr="00C628C4" w:rsidRDefault="00780E8B" w:rsidP="00C61F09">
            <w:pPr>
              <w:jc w:val="right"/>
              <w:rPr>
                <w:rFonts w:asciiTheme="majorHAnsi" w:hAnsiTheme="majorHAnsi" w:cs="Arial"/>
                <w:b/>
              </w:rPr>
            </w:pPr>
            <w:r w:rsidRPr="00C628C4">
              <w:rPr>
                <w:rFonts w:asciiTheme="majorHAnsi" w:hAnsiTheme="majorHAnsi" w:cs="Arial"/>
                <w:b/>
                <w:color w:val="000000"/>
                <w:lang w:val="en-AU" w:eastAsia="en-AU"/>
              </w:rPr>
              <w:t>$4,726</w:t>
            </w:r>
          </w:p>
        </w:tc>
        <w:tc>
          <w:tcPr>
            <w:tcW w:w="1252" w:type="dxa"/>
            <w:shd w:val="clear" w:color="auto" w:fill="E0E0E0"/>
            <w:vAlign w:val="center"/>
          </w:tcPr>
          <w:p w:rsidR="00780E8B" w:rsidRPr="00C628C4" w:rsidRDefault="00C61F09" w:rsidP="00D873D2">
            <w:pPr>
              <w:jc w:val="right"/>
              <w:rPr>
                <w:rFonts w:asciiTheme="majorHAnsi" w:hAnsiTheme="majorHAnsi" w:cs="Arial"/>
                <w:b/>
              </w:rPr>
            </w:pPr>
            <w:r w:rsidRPr="00C628C4">
              <w:rPr>
                <w:rFonts w:asciiTheme="majorHAnsi" w:hAnsiTheme="majorHAnsi" w:cs="Arial"/>
                <w:b/>
                <w:color w:val="000000"/>
                <w:lang w:val="en-AU" w:eastAsia="en-AU"/>
              </w:rPr>
              <w:t>$5,043</w:t>
            </w:r>
          </w:p>
        </w:tc>
        <w:tc>
          <w:tcPr>
            <w:tcW w:w="1252" w:type="dxa"/>
            <w:shd w:val="clear" w:color="auto" w:fill="E0E0E0"/>
            <w:vAlign w:val="center"/>
          </w:tcPr>
          <w:p w:rsidR="00780E8B" w:rsidRPr="00C628C4" w:rsidRDefault="00D873D2" w:rsidP="00D873D2">
            <w:pPr>
              <w:jc w:val="right"/>
              <w:rPr>
                <w:rFonts w:asciiTheme="majorHAnsi" w:hAnsiTheme="majorHAnsi" w:cs="Arial"/>
                <w:b/>
              </w:rPr>
            </w:pPr>
            <w:r w:rsidRPr="00C628C4">
              <w:rPr>
                <w:rFonts w:asciiTheme="majorHAnsi" w:hAnsiTheme="majorHAnsi" w:cs="Arial"/>
                <w:b/>
                <w:color w:val="000000"/>
                <w:lang w:val="en-AU" w:eastAsia="en-AU"/>
              </w:rPr>
              <w:t>3.0</w:t>
            </w:r>
          </w:p>
        </w:tc>
        <w:tc>
          <w:tcPr>
            <w:tcW w:w="1253" w:type="dxa"/>
            <w:shd w:val="clear" w:color="auto" w:fill="E0E0E0"/>
            <w:vAlign w:val="center"/>
          </w:tcPr>
          <w:p w:rsidR="00780E8B" w:rsidRPr="00C628C4" w:rsidRDefault="00D873D2" w:rsidP="00D873D2">
            <w:pPr>
              <w:jc w:val="right"/>
              <w:rPr>
                <w:rFonts w:asciiTheme="majorHAnsi" w:hAnsiTheme="majorHAnsi" w:cs="Arial"/>
                <w:b/>
              </w:rPr>
            </w:pPr>
            <w:r w:rsidRPr="00C628C4">
              <w:rPr>
                <w:rFonts w:asciiTheme="majorHAnsi" w:hAnsiTheme="majorHAnsi" w:cs="Arial"/>
                <w:b/>
                <w:color w:val="000000"/>
                <w:lang w:val="en-AU" w:eastAsia="en-AU"/>
              </w:rPr>
              <w:t>2.9</w:t>
            </w:r>
          </w:p>
        </w:tc>
      </w:tr>
    </w:tbl>
    <w:p w:rsidR="00780E8B" w:rsidRPr="005E6149" w:rsidRDefault="00780E8B" w:rsidP="00780E8B">
      <w:pPr>
        <w:rPr>
          <w:rFonts w:ascii="Arial" w:hAnsi="Arial" w:cs="Arial"/>
        </w:rPr>
      </w:pPr>
    </w:p>
    <w:p w:rsidR="00452BD3" w:rsidRPr="005E6149" w:rsidRDefault="005743ED" w:rsidP="00A55197">
      <w:pPr>
        <w:spacing w:before="120" w:after="120"/>
        <w:rPr>
          <w:rFonts w:ascii="Arial" w:hAnsi="Arial" w:cs="Arial"/>
          <w:sz w:val="22"/>
          <w:szCs w:val="22"/>
        </w:rPr>
      </w:pPr>
      <w:r w:rsidRPr="005E6149">
        <w:rPr>
          <w:rFonts w:ascii="Arial" w:hAnsi="Arial" w:cs="Arial"/>
          <w:sz w:val="22"/>
          <w:szCs w:val="22"/>
        </w:rPr>
        <w:t xml:space="preserve">Based on the above aggregate statistics, it would be easy to draw the conclusion that it costs less on average to treat an Indigenous patient than a </w:t>
      </w:r>
      <w:r w:rsidR="007A097D">
        <w:rPr>
          <w:rFonts w:ascii="Arial" w:hAnsi="Arial" w:cs="Arial"/>
          <w:sz w:val="22"/>
          <w:szCs w:val="22"/>
        </w:rPr>
        <w:t>Non-Indigenous</w:t>
      </w:r>
      <w:r w:rsidRPr="005E6149">
        <w:rPr>
          <w:rFonts w:ascii="Arial" w:hAnsi="Arial" w:cs="Arial"/>
          <w:sz w:val="22"/>
          <w:szCs w:val="22"/>
        </w:rPr>
        <w:t xml:space="preserve"> patient, and that</w:t>
      </w:r>
      <w:r w:rsidR="00D873D2">
        <w:rPr>
          <w:rFonts w:ascii="Arial" w:hAnsi="Arial" w:cs="Arial"/>
          <w:sz w:val="22"/>
          <w:szCs w:val="22"/>
        </w:rPr>
        <w:t xml:space="preserve"> </w:t>
      </w:r>
      <w:r w:rsidRPr="005E6149">
        <w:rPr>
          <w:rFonts w:ascii="Arial" w:hAnsi="Arial" w:cs="Arial"/>
          <w:sz w:val="22"/>
          <w:szCs w:val="22"/>
        </w:rPr>
        <w:t xml:space="preserve">the average time spent in hospital by Indigenous patients is less than </w:t>
      </w:r>
      <w:r w:rsidR="00D13DB1">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w:t>
      </w:r>
      <w:r w:rsidR="00D873D2">
        <w:rPr>
          <w:rFonts w:ascii="Arial" w:hAnsi="Arial" w:cs="Arial"/>
          <w:sz w:val="22"/>
          <w:szCs w:val="22"/>
        </w:rPr>
        <w:t xml:space="preserve">. </w:t>
      </w:r>
      <w:r w:rsidR="00D60AED" w:rsidRPr="005E6149">
        <w:rPr>
          <w:rFonts w:ascii="Arial" w:hAnsi="Arial" w:cs="Arial"/>
          <w:sz w:val="22"/>
          <w:szCs w:val="22"/>
        </w:rPr>
        <w:t xml:space="preserve">Records where Indigenous status </w:t>
      </w:r>
      <w:r w:rsidR="00D13DB1" w:rsidRPr="005E6149">
        <w:rPr>
          <w:rFonts w:ascii="Arial" w:hAnsi="Arial" w:cs="Arial"/>
          <w:sz w:val="22"/>
          <w:szCs w:val="22"/>
        </w:rPr>
        <w:t>w</w:t>
      </w:r>
      <w:r w:rsidR="00D13DB1">
        <w:rPr>
          <w:rFonts w:ascii="Arial" w:hAnsi="Arial" w:cs="Arial"/>
          <w:sz w:val="22"/>
          <w:szCs w:val="22"/>
        </w:rPr>
        <w:t>as</w:t>
      </w:r>
      <w:r w:rsidR="00D13DB1" w:rsidRPr="005E6149">
        <w:rPr>
          <w:rFonts w:ascii="Arial" w:hAnsi="Arial" w:cs="Arial"/>
          <w:sz w:val="22"/>
          <w:szCs w:val="22"/>
        </w:rPr>
        <w:t xml:space="preserve"> </w:t>
      </w:r>
      <w:r w:rsidR="00D60AED" w:rsidRPr="005E6149">
        <w:rPr>
          <w:rFonts w:ascii="Arial" w:hAnsi="Arial" w:cs="Arial"/>
          <w:sz w:val="22"/>
          <w:szCs w:val="22"/>
        </w:rPr>
        <w:t xml:space="preserve">not identified </w:t>
      </w:r>
      <w:r w:rsidR="00DA598A" w:rsidRPr="005E6149">
        <w:rPr>
          <w:rFonts w:ascii="Arial" w:hAnsi="Arial" w:cs="Arial"/>
          <w:sz w:val="22"/>
          <w:szCs w:val="22"/>
        </w:rPr>
        <w:t xml:space="preserve">(i.e. Indigenous Status = 9) </w:t>
      </w:r>
      <w:r w:rsidR="00D60AED" w:rsidRPr="005E6149">
        <w:rPr>
          <w:rFonts w:ascii="Arial" w:hAnsi="Arial" w:cs="Arial"/>
          <w:sz w:val="22"/>
          <w:szCs w:val="22"/>
        </w:rPr>
        <w:t>were trimmed from the respective datasets.</w:t>
      </w:r>
    </w:p>
    <w:p w:rsidR="009553B2" w:rsidRPr="003320C4" w:rsidRDefault="00C358C3" w:rsidP="003320C4">
      <w:pPr>
        <w:pStyle w:val="Heading2"/>
        <w:keepLines w:val="0"/>
        <w:tabs>
          <w:tab w:val="left" w:pos="851"/>
        </w:tabs>
        <w:spacing w:before="360" w:after="240"/>
        <w:ind w:left="851" w:hanging="851"/>
        <w:rPr>
          <w:rFonts w:ascii="Arial" w:hAnsi="Arial" w:cs="Arial"/>
          <w:color w:val="548DD4" w:themeColor="text2" w:themeTint="99"/>
        </w:rPr>
      </w:pPr>
      <w:bookmarkStart w:id="36" w:name="_Toc278480616"/>
      <w:r w:rsidRPr="003320C4">
        <w:rPr>
          <w:rFonts w:ascii="Arial" w:hAnsi="Arial" w:cs="Arial"/>
          <w:color w:val="548DD4" w:themeColor="text2" w:themeTint="99"/>
        </w:rPr>
        <w:t xml:space="preserve">Statistical Analyses of the Same-day </w:t>
      </w:r>
      <w:r w:rsidR="00B974AF" w:rsidRPr="003320C4">
        <w:rPr>
          <w:rFonts w:ascii="Arial" w:hAnsi="Arial" w:cs="Arial"/>
          <w:color w:val="548DD4" w:themeColor="text2" w:themeTint="99"/>
        </w:rPr>
        <w:t>D</w:t>
      </w:r>
      <w:r w:rsidRPr="003320C4">
        <w:rPr>
          <w:rFonts w:ascii="Arial" w:hAnsi="Arial" w:cs="Arial"/>
          <w:color w:val="548DD4" w:themeColor="text2" w:themeTint="99"/>
        </w:rPr>
        <w:t>atasets</w:t>
      </w:r>
      <w:bookmarkEnd w:id="36"/>
    </w:p>
    <w:p w:rsidR="00C358C3" w:rsidRPr="005E6149" w:rsidRDefault="003B1BDE" w:rsidP="009B5896">
      <w:pPr>
        <w:spacing w:before="120" w:after="120"/>
        <w:rPr>
          <w:rFonts w:ascii="Arial" w:hAnsi="Arial" w:cs="Arial"/>
          <w:sz w:val="20"/>
          <w:szCs w:val="20"/>
        </w:rPr>
      </w:pPr>
      <w:r>
        <w:rPr>
          <w:rFonts w:ascii="Arial" w:hAnsi="Arial" w:cs="Arial"/>
          <w:sz w:val="22"/>
          <w:szCs w:val="22"/>
        </w:rPr>
        <w:t xml:space="preserve">The statistical analysis tested the </w:t>
      </w:r>
      <w:r w:rsidR="00C358C3" w:rsidRPr="005E6149">
        <w:rPr>
          <w:rFonts w:ascii="Arial" w:hAnsi="Arial" w:cs="Arial"/>
          <w:sz w:val="22"/>
          <w:szCs w:val="22"/>
        </w:rPr>
        <w:t>null hypothesis</w:t>
      </w:r>
      <w:r>
        <w:rPr>
          <w:rFonts w:ascii="Arial" w:hAnsi="Arial" w:cs="Arial"/>
          <w:sz w:val="22"/>
          <w:szCs w:val="22"/>
        </w:rPr>
        <w:t xml:space="preserve"> that </w:t>
      </w:r>
      <w:r w:rsidR="00FB001A" w:rsidRPr="005E6149">
        <w:rPr>
          <w:rFonts w:ascii="Arial" w:hAnsi="Arial" w:cs="Arial"/>
          <w:sz w:val="22"/>
          <w:szCs w:val="22"/>
        </w:rPr>
        <w:t xml:space="preserve">there </w:t>
      </w:r>
      <w:r>
        <w:rPr>
          <w:rFonts w:ascii="Arial" w:hAnsi="Arial" w:cs="Arial"/>
          <w:sz w:val="22"/>
          <w:szCs w:val="22"/>
        </w:rPr>
        <w:t xml:space="preserve">was </w:t>
      </w:r>
      <w:r w:rsidR="00C358C3" w:rsidRPr="005E6149">
        <w:rPr>
          <w:rFonts w:ascii="Arial" w:hAnsi="Arial" w:cs="Arial"/>
          <w:sz w:val="22"/>
          <w:szCs w:val="22"/>
        </w:rPr>
        <w:t xml:space="preserve">no </w:t>
      </w:r>
      <w:r w:rsidR="00FB001A" w:rsidRPr="005E6149">
        <w:rPr>
          <w:rFonts w:ascii="Arial" w:hAnsi="Arial" w:cs="Arial"/>
          <w:sz w:val="22"/>
          <w:szCs w:val="22"/>
        </w:rPr>
        <w:t xml:space="preserve">observable </w:t>
      </w:r>
      <w:r w:rsidR="00C358C3" w:rsidRPr="005E6149">
        <w:rPr>
          <w:rFonts w:ascii="Arial" w:hAnsi="Arial" w:cs="Arial"/>
          <w:sz w:val="22"/>
          <w:szCs w:val="22"/>
        </w:rPr>
        <w:t xml:space="preserve">difference in the average cost of Indigenous patients and </w:t>
      </w:r>
      <w:r w:rsidR="007A097D">
        <w:rPr>
          <w:rFonts w:ascii="Arial" w:hAnsi="Arial" w:cs="Arial"/>
          <w:sz w:val="22"/>
          <w:szCs w:val="22"/>
        </w:rPr>
        <w:t>Non-Indigenous</w:t>
      </w:r>
      <w:r w:rsidR="00C358C3" w:rsidRPr="005E6149">
        <w:rPr>
          <w:rFonts w:ascii="Arial" w:hAnsi="Arial" w:cs="Arial"/>
          <w:sz w:val="22"/>
          <w:szCs w:val="22"/>
        </w:rPr>
        <w:t xml:space="preserve"> patients receiving same</w:t>
      </w:r>
      <w:r w:rsidR="00FB001A" w:rsidRPr="005E6149">
        <w:rPr>
          <w:rFonts w:ascii="Arial" w:hAnsi="Arial" w:cs="Arial"/>
          <w:sz w:val="22"/>
          <w:szCs w:val="22"/>
        </w:rPr>
        <w:t>-</w:t>
      </w:r>
      <w:r w:rsidR="00C358C3" w:rsidRPr="005E6149">
        <w:rPr>
          <w:rFonts w:ascii="Arial" w:hAnsi="Arial" w:cs="Arial"/>
          <w:sz w:val="22"/>
          <w:szCs w:val="22"/>
        </w:rPr>
        <w:t>day services</w:t>
      </w:r>
      <w:r w:rsidR="00FB001A" w:rsidRPr="005E6149">
        <w:rPr>
          <w:rFonts w:ascii="Arial" w:hAnsi="Arial" w:cs="Arial"/>
          <w:sz w:val="20"/>
          <w:szCs w:val="20"/>
        </w:rPr>
        <w:t>.</w:t>
      </w:r>
    </w:p>
    <w:p w:rsidR="000C08FC" w:rsidRDefault="00FB001A" w:rsidP="000C08FC">
      <w:pPr>
        <w:spacing w:before="120" w:after="120"/>
        <w:rPr>
          <w:rFonts w:ascii="Arial" w:hAnsi="Arial" w:cs="Arial"/>
          <w:sz w:val="22"/>
          <w:szCs w:val="22"/>
        </w:rPr>
      </w:pPr>
      <w:r w:rsidRPr="005E6149">
        <w:rPr>
          <w:rFonts w:ascii="Arial" w:hAnsi="Arial" w:cs="Arial"/>
          <w:sz w:val="22"/>
          <w:szCs w:val="22"/>
        </w:rPr>
        <w:t xml:space="preserve">The outputs of the </w:t>
      </w:r>
      <w:r w:rsidR="00E81442">
        <w:rPr>
          <w:rFonts w:ascii="Arial" w:hAnsi="Arial" w:cs="Arial"/>
          <w:sz w:val="22"/>
          <w:szCs w:val="22"/>
        </w:rPr>
        <w:t xml:space="preserve">analyses </w:t>
      </w:r>
      <w:r w:rsidR="000C08FC">
        <w:rPr>
          <w:rFonts w:ascii="Arial" w:hAnsi="Arial" w:cs="Arial"/>
          <w:sz w:val="22"/>
          <w:szCs w:val="22"/>
        </w:rPr>
        <w:t>identified that the null hypotheses “that there was no observable difference” could be rejected. T</w:t>
      </w:r>
      <w:r w:rsidRPr="005E6149">
        <w:rPr>
          <w:rFonts w:ascii="Arial" w:hAnsi="Arial" w:cs="Arial"/>
          <w:sz w:val="22"/>
          <w:szCs w:val="22"/>
        </w:rPr>
        <w:t xml:space="preserve">he statistical test identifies </w:t>
      </w:r>
      <w:r w:rsidR="00ED161F" w:rsidRPr="005E6149">
        <w:rPr>
          <w:rFonts w:ascii="Arial" w:hAnsi="Arial" w:cs="Arial"/>
          <w:sz w:val="22"/>
          <w:szCs w:val="22"/>
        </w:rPr>
        <w:t xml:space="preserve">that on average </w:t>
      </w:r>
      <w:r w:rsidR="00E81442">
        <w:rPr>
          <w:rFonts w:ascii="Arial" w:hAnsi="Arial" w:cs="Arial"/>
          <w:sz w:val="22"/>
          <w:szCs w:val="22"/>
        </w:rPr>
        <w:t xml:space="preserve">there was a </w:t>
      </w:r>
      <w:r w:rsidR="00ED161F" w:rsidRPr="005E6149">
        <w:rPr>
          <w:rFonts w:ascii="Arial" w:hAnsi="Arial" w:cs="Arial"/>
          <w:sz w:val="22"/>
          <w:szCs w:val="22"/>
        </w:rPr>
        <w:t xml:space="preserve">difference in the cost of treating an Indigenous person than a </w:t>
      </w:r>
      <w:r w:rsidR="00D13DB1">
        <w:rPr>
          <w:rFonts w:ascii="Arial" w:hAnsi="Arial" w:cs="Arial"/>
          <w:sz w:val="22"/>
          <w:szCs w:val="22"/>
        </w:rPr>
        <w:t>n</w:t>
      </w:r>
      <w:r w:rsidR="007A097D">
        <w:rPr>
          <w:rFonts w:ascii="Arial" w:hAnsi="Arial" w:cs="Arial"/>
          <w:sz w:val="22"/>
          <w:szCs w:val="22"/>
        </w:rPr>
        <w:t>on-Indigenous</w:t>
      </w:r>
      <w:r w:rsidR="00E81442">
        <w:rPr>
          <w:rFonts w:ascii="Arial" w:hAnsi="Arial" w:cs="Arial"/>
          <w:sz w:val="22"/>
          <w:szCs w:val="22"/>
        </w:rPr>
        <w:t xml:space="preserve"> person</w:t>
      </w:r>
      <w:r w:rsidR="00ED161F" w:rsidRPr="005E6149">
        <w:rPr>
          <w:rFonts w:ascii="Arial" w:hAnsi="Arial" w:cs="Arial"/>
          <w:sz w:val="22"/>
          <w:szCs w:val="22"/>
        </w:rPr>
        <w:t xml:space="preserve">. </w:t>
      </w:r>
      <w:r w:rsidR="000C08FC">
        <w:rPr>
          <w:rFonts w:ascii="Arial" w:hAnsi="Arial" w:cs="Arial"/>
          <w:sz w:val="22"/>
          <w:szCs w:val="22"/>
        </w:rPr>
        <w:t>On analysis</w:t>
      </w:r>
      <w:r w:rsidR="00D13DB1">
        <w:rPr>
          <w:rFonts w:ascii="Arial" w:hAnsi="Arial" w:cs="Arial"/>
          <w:sz w:val="22"/>
          <w:szCs w:val="22"/>
        </w:rPr>
        <w:t>,</w:t>
      </w:r>
      <w:r w:rsidR="000C08FC">
        <w:rPr>
          <w:rFonts w:ascii="Arial" w:hAnsi="Arial" w:cs="Arial"/>
          <w:sz w:val="22"/>
          <w:szCs w:val="22"/>
        </w:rPr>
        <w:t xml:space="preserve"> t</w:t>
      </w:r>
      <w:r w:rsidR="000C08FC" w:rsidRPr="005E6149">
        <w:rPr>
          <w:rFonts w:ascii="Arial" w:hAnsi="Arial" w:cs="Arial"/>
          <w:sz w:val="22"/>
          <w:szCs w:val="22"/>
        </w:rPr>
        <w:t xml:space="preserve">he Indigenous patient </w:t>
      </w:r>
      <w:r w:rsidR="000C08FC">
        <w:rPr>
          <w:rFonts w:ascii="Arial" w:hAnsi="Arial" w:cs="Arial"/>
          <w:sz w:val="22"/>
          <w:szCs w:val="22"/>
        </w:rPr>
        <w:t xml:space="preserve">same day </w:t>
      </w:r>
      <w:r w:rsidR="000C08FC" w:rsidRPr="005E6149">
        <w:rPr>
          <w:rFonts w:ascii="Arial" w:hAnsi="Arial" w:cs="Arial"/>
          <w:sz w:val="22"/>
          <w:szCs w:val="22"/>
        </w:rPr>
        <w:t xml:space="preserve">cost </w:t>
      </w:r>
      <w:r w:rsidR="000C08FC">
        <w:rPr>
          <w:rFonts w:ascii="Arial" w:hAnsi="Arial" w:cs="Arial"/>
          <w:sz w:val="22"/>
          <w:szCs w:val="22"/>
        </w:rPr>
        <w:t xml:space="preserve">was found to be </w:t>
      </w:r>
      <w:r w:rsidR="000C08FC" w:rsidRPr="005E6149">
        <w:rPr>
          <w:rFonts w:ascii="Arial" w:hAnsi="Arial" w:cs="Arial"/>
          <w:sz w:val="22"/>
          <w:szCs w:val="22"/>
        </w:rPr>
        <w:t xml:space="preserve">on average $45.26 less than the </w:t>
      </w:r>
      <w:r w:rsidR="00D13DB1">
        <w:rPr>
          <w:rFonts w:ascii="Arial" w:hAnsi="Arial" w:cs="Arial"/>
          <w:sz w:val="22"/>
          <w:szCs w:val="22"/>
        </w:rPr>
        <w:t>n</w:t>
      </w:r>
      <w:r w:rsidR="007A097D">
        <w:rPr>
          <w:rFonts w:ascii="Arial" w:hAnsi="Arial" w:cs="Arial"/>
          <w:sz w:val="22"/>
          <w:szCs w:val="22"/>
        </w:rPr>
        <w:t>on-Indigenous</w:t>
      </w:r>
      <w:r w:rsidR="000C08FC" w:rsidRPr="005E6149">
        <w:rPr>
          <w:rFonts w:ascii="Arial" w:hAnsi="Arial" w:cs="Arial"/>
          <w:sz w:val="22"/>
          <w:szCs w:val="22"/>
        </w:rPr>
        <w:t xml:space="preserve"> patient treatment cost for Round 16 and $181.70 </w:t>
      </w:r>
      <w:r w:rsidR="00880CFB">
        <w:rPr>
          <w:rFonts w:ascii="Arial" w:hAnsi="Arial" w:cs="Arial"/>
          <w:sz w:val="22"/>
          <w:szCs w:val="22"/>
        </w:rPr>
        <w:t xml:space="preserve">less </w:t>
      </w:r>
      <w:r w:rsidR="000C08FC" w:rsidRPr="005E6149">
        <w:rPr>
          <w:rFonts w:ascii="Arial" w:hAnsi="Arial" w:cs="Arial"/>
          <w:sz w:val="22"/>
          <w:szCs w:val="22"/>
        </w:rPr>
        <w:t>for Round 17</w:t>
      </w:r>
      <w:r w:rsidR="000C08FC">
        <w:rPr>
          <w:rFonts w:ascii="Arial" w:hAnsi="Arial" w:cs="Arial"/>
          <w:sz w:val="22"/>
          <w:szCs w:val="22"/>
        </w:rPr>
        <w:t xml:space="preserve">. </w:t>
      </w:r>
      <w:r w:rsidR="000C08FC" w:rsidRPr="005E6149">
        <w:rPr>
          <w:rFonts w:ascii="Arial" w:hAnsi="Arial" w:cs="Arial"/>
          <w:sz w:val="22"/>
          <w:szCs w:val="22"/>
        </w:rPr>
        <w:t>Whilst these may be considered a relatively modest differential, (particularly for Round 16 data) analysis shows that it is statistically significant.</w:t>
      </w:r>
    </w:p>
    <w:p w:rsidR="0039285C" w:rsidRPr="003320C4" w:rsidRDefault="0039285C" w:rsidP="003320C4">
      <w:pPr>
        <w:pStyle w:val="Heading2"/>
        <w:keepLines w:val="0"/>
        <w:tabs>
          <w:tab w:val="left" w:pos="0"/>
        </w:tabs>
        <w:spacing w:before="360" w:after="240"/>
        <w:rPr>
          <w:rFonts w:ascii="Arial" w:hAnsi="Arial" w:cs="Arial"/>
          <w:color w:val="548DD4" w:themeColor="text2" w:themeTint="99"/>
        </w:rPr>
      </w:pPr>
      <w:bookmarkStart w:id="37" w:name="_Toc278480617"/>
      <w:r w:rsidRPr="003320C4">
        <w:rPr>
          <w:rFonts w:ascii="Arial" w:hAnsi="Arial" w:cs="Arial"/>
          <w:color w:val="548DD4" w:themeColor="text2" w:themeTint="99"/>
        </w:rPr>
        <w:t>Application of the Findings of the Literature and Feedback from Clinicians</w:t>
      </w:r>
      <w:bookmarkEnd w:id="37"/>
    </w:p>
    <w:p w:rsidR="0039285C" w:rsidRPr="005E6149" w:rsidRDefault="0039285C" w:rsidP="009B5896">
      <w:pPr>
        <w:spacing w:before="120" w:after="120"/>
        <w:rPr>
          <w:rFonts w:ascii="Arial" w:hAnsi="Arial" w:cs="Arial"/>
          <w:sz w:val="22"/>
          <w:szCs w:val="22"/>
        </w:rPr>
      </w:pPr>
      <w:r w:rsidRPr="005E6149">
        <w:rPr>
          <w:rFonts w:ascii="Arial" w:hAnsi="Arial" w:cs="Arial"/>
          <w:sz w:val="22"/>
          <w:szCs w:val="22"/>
        </w:rPr>
        <w:t xml:space="preserve">It would be easy to conclude at this stage that </w:t>
      </w:r>
      <w:r w:rsidR="007720B2" w:rsidRPr="005E6149">
        <w:rPr>
          <w:rFonts w:ascii="Arial" w:hAnsi="Arial" w:cs="Arial"/>
          <w:sz w:val="22"/>
          <w:szCs w:val="22"/>
        </w:rPr>
        <w:t>a</w:t>
      </w:r>
      <w:r w:rsidRPr="005E6149">
        <w:rPr>
          <w:rFonts w:ascii="Arial" w:hAnsi="Arial" w:cs="Arial"/>
          <w:sz w:val="22"/>
          <w:szCs w:val="22"/>
        </w:rPr>
        <w:t xml:space="preserve"> differential exists</w:t>
      </w:r>
      <w:r w:rsidR="007720B2" w:rsidRPr="005E6149">
        <w:rPr>
          <w:rFonts w:ascii="Arial" w:hAnsi="Arial" w:cs="Arial"/>
          <w:sz w:val="22"/>
          <w:szCs w:val="22"/>
        </w:rPr>
        <w:t xml:space="preserve"> and</w:t>
      </w:r>
      <w:r w:rsidRPr="005E6149">
        <w:rPr>
          <w:rFonts w:ascii="Arial" w:hAnsi="Arial" w:cs="Arial"/>
          <w:sz w:val="22"/>
          <w:szCs w:val="22"/>
        </w:rPr>
        <w:t xml:space="preserve"> that it is cheaper</w:t>
      </w:r>
      <w:r w:rsidR="0027692F">
        <w:rPr>
          <w:rFonts w:ascii="Arial" w:hAnsi="Arial" w:cs="Arial"/>
          <w:sz w:val="22"/>
          <w:szCs w:val="22"/>
        </w:rPr>
        <w:t>,</w:t>
      </w:r>
      <w:r w:rsidRPr="005E6149">
        <w:rPr>
          <w:rFonts w:ascii="Arial" w:hAnsi="Arial" w:cs="Arial"/>
          <w:sz w:val="22"/>
          <w:szCs w:val="22"/>
        </w:rPr>
        <w:t xml:space="preserve"> on average</w:t>
      </w:r>
      <w:r w:rsidR="0027692F">
        <w:rPr>
          <w:rFonts w:ascii="Arial" w:hAnsi="Arial" w:cs="Arial"/>
          <w:sz w:val="22"/>
          <w:szCs w:val="22"/>
        </w:rPr>
        <w:t>,</w:t>
      </w:r>
      <w:r w:rsidRPr="005E6149">
        <w:rPr>
          <w:rFonts w:ascii="Arial" w:hAnsi="Arial" w:cs="Arial"/>
          <w:sz w:val="22"/>
          <w:szCs w:val="22"/>
        </w:rPr>
        <w:t xml:space="preserve"> to treat Indigenous patients compared to </w:t>
      </w:r>
      <w:r w:rsidR="007A097D">
        <w:rPr>
          <w:rFonts w:ascii="Arial" w:hAnsi="Arial" w:cs="Arial"/>
          <w:sz w:val="22"/>
          <w:szCs w:val="22"/>
        </w:rPr>
        <w:t>Non-Indigenous</w:t>
      </w:r>
      <w:r w:rsidRPr="005E6149">
        <w:rPr>
          <w:rFonts w:ascii="Arial" w:hAnsi="Arial" w:cs="Arial"/>
          <w:sz w:val="22"/>
          <w:szCs w:val="22"/>
        </w:rPr>
        <w:t xml:space="preserve"> patients in receipt of same-day services</w:t>
      </w:r>
      <w:r w:rsidR="007720B2" w:rsidRPr="005E6149">
        <w:rPr>
          <w:rFonts w:ascii="Arial" w:hAnsi="Arial" w:cs="Arial"/>
          <w:sz w:val="22"/>
          <w:szCs w:val="22"/>
        </w:rPr>
        <w:t>.</w:t>
      </w:r>
    </w:p>
    <w:p w:rsidR="0039285C" w:rsidRPr="005E6149" w:rsidRDefault="0039285C" w:rsidP="009B5896">
      <w:pPr>
        <w:spacing w:before="120" w:after="120"/>
        <w:rPr>
          <w:rFonts w:ascii="Arial" w:hAnsi="Arial" w:cs="Arial"/>
          <w:sz w:val="22"/>
          <w:szCs w:val="22"/>
        </w:rPr>
      </w:pPr>
      <w:r w:rsidRPr="005E6149">
        <w:rPr>
          <w:rFonts w:ascii="Arial" w:hAnsi="Arial" w:cs="Arial"/>
          <w:sz w:val="22"/>
          <w:szCs w:val="22"/>
        </w:rPr>
        <w:lastRenderedPageBreak/>
        <w:t xml:space="preserve">However, the literature review and the feedback from clinicians identified </w:t>
      </w:r>
      <w:proofErr w:type="spellStart"/>
      <w:r w:rsidRPr="005E6149">
        <w:rPr>
          <w:rFonts w:ascii="Arial" w:hAnsi="Arial" w:cs="Arial"/>
          <w:sz w:val="22"/>
          <w:szCs w:val="22"/>
        </w:rPr>
        <w:t>casemix</w:t>
      </w:r>
      <w:proofErr w:type="spellEnd"/>
      <w:r w:rsidRPr="005E6149">
        <w:rPr>
          <w:rFonts w:ascii="Arial" w:hAnsi="Arial" w:cs="Arial"/>
          <w:sz w:val="22"/>
          <w:szCs w:val="22"/>
        </w:rPr>
        <w:t>, namely the presenting condition of the patient</w:t>
      </w:r>
      <w:r w:rsidR="00AC0483" w:rsidRPr="005E6149">
        <w:rPr>
          <w:rFonts w:ascii="Arial" w:hAnsi="Arial" w:cs="Arial"/>
          <w:sz w:val="22"/>
          <w:szCs w:val="22"/>
        </w:rPr>
        <w:t>,</w:t>
      </w:r>
      <w:r w:rsidRPr="005E6149">
        <w:rPr>
          <w:rFonts w:ascii="Arial" w:hAnsi="Arial" w:cs="Arial"/>
          <w:sz w:val="22"/>
          <w:szCs w:val="22"/>
        </w:rPr>
        <w:t xml:space="preserve"> to be important in determining the suite of services provided and therefore</w:t>
      </w:r>
      <w:r w:rsidR="0027692F">
        <w:rPr>
          <w:rFonts w:ascii="Arial" w:hAnsi="Arial" w:cs="Arial"/>
          <w:sz w:val="22"/>
          <w:szCs w:val="22"/>
        </w:rPr>
        <w:t>,</w:t>
      </w:r>
      <w:r w:rsidRPr="005E6149">
        <w:rPr>
          <w:rFonts w:ascii="Arial" w:hAnsi="Arial" w:cs="Arial"/>
          <w:sz w:val="22"/>
          <w:szCs w:val="22"/>
        </w:rPr>
        <w:t xml:space="preserve"> the cost of the overall treatment</w:t>
      </w:r>
      <w:r w:rsidR="007720B2" w:rsidRPr="005E6149">
        <w:rPr>
          <w:rFonts w:ascii="Arial" w:hAnsi="Arial" w:cs="Arial"/>
          <w:sz w:val="22"/>
          <w:szCs w:val="22"/>
        </w:rPr>
        <w:t>.</w:t>
      </w:r>
    </w:p>
    <w:p w:rsidR="00D0494F" w:rsidRPr="00A46AE7" w:rsidRDefault="00D0494F" w:rsidP="00A46AE7">
      <w:pPr>
        <w:pStyle w:val="Heading2"/>
        <w:keepLines w:val="0"/>
        <w:tabs>
          <w:tab w:val="left" w:pos="851"/>
        </w:tabs>
        <w:spacing w:before="360" w:after="240"/>
        <w:ind w:left="851" w:hanging="851"/>
        <w:rPr>
          <w:rFonts w:ascii="Arial" w:hAnsi="Arial" w:cs="Arial"/>
          <w:color w:val="548DD4" w:themeColor="text2" w:themeTint="99"/>
        </w:rPr>
      </w:pPr>
      <w:bookmarkStart w:id="38" w:name="_Toc278480618"/>
      <w:r w:rsidRPr="00A46AE7">
        <w:rPr>
          <w:rFonts w:ascii="Arial" w:hAnsi="Arial" w:cs="Arial"/>
          <w:color w:val="548DD4" w:themeColor="text2" w:themeTint="99"/>
        </w:rPr>
        <w:t>Analysis at the Major Diagnostic Category level</w:t>
      </w:r>
      <w:bookmarkEnd w:id="38"/>
    </w:p>
    <w:p w:rsidR="004C5387" w:rsidRPr="005E6149" w:rsidRDefault="00AC0483" w:rsidP="009B5896">
      <w:pPr>
        <w:spacing w:before="120" w:after="120"/>
        <w:rPr>
          <w:rFonts w:ascii="Arial" w:hAnsi="Arial" w:cs="Arial"/>
          <w:sz w:val="22"/>
          <w:szCs w:val="22"/>
        </w:rPr>
      </w:pPr>
      <w:r w:rsidRPr="005E6149">
        <w:rPr>
          <w:rFonts w:ascii="Arial" w:hAnsi="Arial" w:cs="Arial"/>
          <w:sz w:val="22"/>
          <w:szCs w:val="22"/>
        </w:rPr>
        <w:t xml:space="preserve">The first level of analyses was conducted at the </w:t>
      </w:r>
      <w:r w:rsidR="00B466C1" w:rsidRPr="005E6149">
        <w:rPr>
          <w:rFonts w:ascii="Arial" w:hAnsi="Arial" w:cs="Arial"/>
          <w:sz w:val="22"/>
          <w:szCs w:val="22"/>
        </w:rPr>
        <w:t>Major Diagnostic Category (MDC)</w:t>
      </w:r>
      <w:r w:rsidR="005F0CC9">
        <w:rPr>
          <w:rFonts w:ascii="Arial" w:hAnsi="Arial" w:cs="Arial"/>
          <w:sz w:val="22"/>
          <w:szCs w:val="22"/>
        </w:rPr>
        <w:t xml:space="preserve"> level</w:t>
      </w:r>
      <w:r w:rsidR="00D873D2">
        <w:rPr>
          <w:rFonts w:ascii="Arial" w:hAnsi="Arial" w:cs="Arial"/>
          <w:sz w:val="22"/>
          <w:szCs w:val="22"/>
        </w:rPr>
        <w:t xml:space="preserve">. </w:t>
      </w:r>
      <w:r w:rsidR="00CB3449" w:rsidRPr="005E6149">
        <w:rPr>
          <w:rFonts w:ascii="Arial" w:hAnsi="Arial" w:cs="Arial"/>
          <w:sz w:val="22"/>
          <w:szCs w:val="22"/>
        </w:rPr>
        <w:t xml:space="preserve">The distribution of cases by MDC </w:t>
      </w:r>
      <w:r w:rsidRPr="005E6149">
        <w:rPr>
          <w:rFonts w:ascii="Arial" w:hAnsi="Arial" w:cs="Arial"/>
          <w:sz w:val="22"/>
          <w:szCs w:val="22"/>
        </w:rPr>
        <w:t xml:space="preserve">for the respective </w:t>
      </w:r>
      <w:r w:rsidR="00D0494F" w:rsidRPr="005E6149">
        <w:rPr>
          <w:rFonts w:ascii="Arial" w:hAnsi="Arial" w:cs="Arial"/>
          <w:sz w:val="22"/>
          <w:szCs w:val="22"/>
        </w:rPr>
        <w:t xml:space="preserve">NHCDC </w:t>
      </w:r>
      <w:r w:rsidRPr="005E6149">
        <w:rPr>
          <w:rFonts w:ascii="Arial" w:hAnsi="Arial" w:cs="Arial"/>
          <w:sz w:val="22"/>
          <w:szCs w:val="22"/>
        </w:rPr>
        <w:t>Rounds</w:t>
      </w:r>
      <w:r w:rsidR="00D0494F" w:rsidRPr="005E6149">
        <w:rPr>
          <w:rFonts w:ascii="Arial" w:hAnsi="Arial" w:cs="Arial"/>
          <w:sz w:val="22"/>
          <w:szCs w:val="22"/>
        </w:rPr>
        <w:t xml:space="preserve"> trimmed same-day dataset</w:t>
      </w:r>
      <w:r w:rsidRPr="005E6149">
        <w:rPr>
          <w:rFonts w:ascii="Arial" w:hAnsi="Arial" w:cs="Arial"/>
          <w:sz w:val="22"/>
          <w:szCs w:val="22"/>
        </w:rPr>
        <w:t xml:space="preserve"> </w:t>
      </w:r>
      <w:r w:rsidR="005F0CC9">
        <w:rPr>
          <w:rFonts w:ascii="Arial" w:hAnsi="Arial" w:cs="Arial"/>
          <w:sz w:val="22"/>
          <w:szCs w:val="22"/>
        </w:rPr>
        <w:t>was completed.</w:t>
      </w:r>
      <w:r w:rsidR="00D873D2">
        <w:rPr>
          <w:rFonts w:ascii="Arial" w:hAnsi="Arial" w:cs="Arial"/>
          <w:sz w:val="22"/>
          <w:szCs w:val="22"/>
        </w:rPr>
        <w:t xml:space="preserve"> </w:t>
      </w:r>
      <w:r w:rsidR="005F0CC9">
        <w:rPr>
          <w:rFonts w:ascii="Arial" w:hAnsi="Arial" w:cs="Arial"/>
          <w:sz w:val="22"/>
          <w:szCs w:val="22"/>
        </w:rPr>
        <w:t>It identified</w:t>
      </w:r>
      <w:r w:rsidR="00A82FCC" w:rsidRPr="005E6149">
        <w:rPr>
          <w:rFonts w:ascii="Arial" w:hAnsi="Arial" w:cs="Arial"/>
          <w:sz w:val="22"/>
          <w:szCs w:val="22"/>
        </w:rPr>
        <w:t xml:space="preserve"> variation in the potential cost differential between Indigenous and </w:t>
      </w:r>
      <w:r w:rsidR="007A097D">
        <w:rPr>
          <w:rFonts w:ascii="Arial" w:hAnsi="Arial" w:cs="Arial"/>
          <w:sz w:val="22"/>
          <w:szCs w:val="22"/>
        </w:rPr>
        <w:t>Non-Indigenous</w:t>
      </w:r>
      <w:r w:rsidR="00A82FCC" w:rsidRPr="005E6149">
        <w:rPr>
          <w:rFonts w:ascii="Arial" w:hAnsi="Arial" w:cs="Arial"/>
          <w:sz w:val="22"/>
          <w:szCs w:val="22"/>
        </w:rPr>
        <w:t xml:space="preserve"> patients across the MDCs</w:t>
      </w:r>
      <w:r w:rsidR="00D873D2">
        <w:rPr>
          <w:rFonts w:ascii="Arial" w:hAnsi="Arial" w:cs="Arial"/>
          <w:sz w:val="22"/>
          <w:szCs w:val="22"/>
        </w:rPr>
        <w:t xml:space="preserve">. </w:t>
      </w:r>
      <w:r w:rsidR="00A82FCC" w:rsidRPr="005E6149">
        <w:rPr>
          <w:rFonts w:ascii="Arial" w:hAnsi="Arial" w:cs="Arial"/>
          <w:sz w:val="22"/>
          <w:szCs w:val="22"/>
        </w:rPr>
        <w:t xml:space="preserve">Statistical </w:t>
      </w:r>
      <w:proofErr w:type="gramStart"/>
      <w:r w:rsidR="00A82FCC" w:rsidRPr="005E6149">
        <w:rPr>
          <w:rFonts w:ascii="Arial" w:hAnsi="Arial" w:cs="Arial"/>
          <w:sz w:val="22"/>
          <w:szCs w:val="22"/>
        </w:rPr>
        <w:t>analyses comparing the dispersion of total costs within each MDC was</w:t>
      </w:r>
      <w:proofErr w:type="gramEnd"/>
      <w:r w:rsidR="00A82FCC" w:rsidRPr="005E6149">
        <w:rPr>
          <w:rFonts w:ascii="Arial" w:hAnsi="Arial" w:cs="Arial"/>
          <w:sz w:val="22"/>
          <w:szCs w:val="22"/>
        </w:rPr>
        <w:t xml:space="preserve"> used to identify those MDCs where the cost variation between the two population cohorts was deemed t</w:t>
      </w:r>
      <w:r w:rsidR="005F0CC9">
        <w:rPr>
          <w:rFonts w:ascii="Arial" w:hAnsi="Arial" w:cs="Arial"/>
          <w:sz w:val="22"/>
          <w:szCs w:val="22"/>
        </w:rPr>
        <w:t>o be significant</w:t>
      </w:r>
      <w:r w:rsidR="00A82FCC" w:rsidRPr="005E6149">
        <w:rPr>
          <w:rFonts w:ascii="Arial" w:hAnsi="Arial" w:cs="Arial"/>
          <w:sz w:val="22"/>
          <w:szCs w:val="22"/>
        </w:rPr>
        <w:t>.</w:t>
      </w:r>
    </w:p>
    <w:p w:rsidR="009577D6" w:rsidRPr="005E6149" w:rsidRDefault="005F0CC9" w:rsidP="009B5896">
      <w:pPr>
        <w:spacing w:before="120" w:after="120"/>
        <w:rPr>
          <w:rFonts w:ascii="Arial" w:hAnsi="Arial" w:cs="Arial"/>
          <w:sz w:val="22"/>
          <w:szCs w:val="22"/>
        </w:rPr>
      </w:pPr>
      <w:r>
        <w:rPr>
          <w:rFonts w:ascii="Arial" w:hAnsi="Arial" w:cs="Arial"/>
          <w:sz w:val="22"/>
          <w:szCs w:val="22"/>
        </w:rPr>
        <w:t xml:space="preserve">From the </w:t>
      </w:r>
      <w:r w:rsidR="009577D6" w:rsidRPr="005E6149">
        <w:rPr>
          <w:rFonts w:ascii="Arial" w:hAnsi="Arial" w:cs="Arial"/>
          <w:sz w:val="22"/>
          <w:szCs w:val="22"/>
        </w:rPr>
        <w:t xml:space="preserve">Round 16 data </w:t>
      </w:r>
      <w:r>
        <w:rPr>
          <w:rFonts w:ascii="Arial" w:hAnsi="Arial" w:cs="Arial"/>
          <w:sz w:val="22"/>
          <w:szCs w:val="22"/>
        </w:rPr>
        <w:t xml:space="preserve">there were 13 MDCs </w:t>
      </w:r>
      <w:r w:rsidR="009577D6" w:rsidRPr="005E6149">
        <w:rPr>
          <w:rFonts w:ascii="Arial" w:hAnsi="Arial" w:cs="Arial"/>
          <w:sz w:val="22"/>
          <w:szCs w:val="22"/>
        </w:rPr>
        <w:t>identified where</w:t>
      </w:r>
      <w:r w:rsidR="00090A02" w:rsidRPr="005E6149">
        <w:rPr>
          <w:rFonts w:ascii="Arial" w:hAnsi="Arial" w:cs="Arial"/>
          <w:sz w:val="22"/>
          <w:szCs w:val="22"/>
        </w:rPr>
        <w:t xml:space="preserve">, statistically there was </w:t>
      </w:r>
      <w:r w:rsidR="009577D6" w:rsidRPr="005E6149">
        <w:rPr>
          <w:rFonts w:ascii="Arial" w:hAnsi="Arial" w:cs="Arial"/>
          <w:sz w:val="22"/>
          <w:szCs w:val="22"/>
        </w:rPr>
        <w:t xml:space="preserve">no </w:t>
      </w:r>
      <w:r w:rsidR="00090A02" w:rsidRPr="005E6149">
        <w:rPr>
          <w:rFonts w:ascii="Arial" w:hAnsi="Arial" w:cs="Arial"/>
          <w:sz w:val="22"/>
          <w:szCs w:val="22"/>
        </w:rPr>
        <w:t>discernable difference noted between the two population cohorts average cost of treatment</w:t>
      </w:r>
      <w:r w:rsidR="00D873D2">
        <w:rPr>
          <w:rFonts w:ascii="Arial" w:hAnsi="Arial" w:cs="Arial"/>
          <w:sz w:val="22"/>
          <w:szCs w:val="22"/>
        </w:rPr>
        <w:t xml:space="preserve">. </w:t>
      </w:r>
      <w:r w:rsidR="00090A02" w:rsidRPr="005E6149">
        <w:rPr>
          <w:rFonts w:ascii="Arial" w:hAnsi="Arial" w:cs="Arial"/>
          <w:sz w:val="22"/>
          <w:szCs w:val="22"/>
        </w:rPr>
        <w:t>This was decidedly higher than that observed from the</w:t>
      </w:r>
      <w:r w:rsidR="009577D6" w:rsidRPr="005E6149">
        <w:rPr>
          <w:rFonts w:ascii="Arial" w:hAnsi="Arial" w:cs="Arial"/>
          <w:sz w:val="22"/>
          <w:szCs w:val="22"/>
        </w:rPr>
        <w:t xml:space="preserve"> Round 17</w:t>
      </w:r>
      <w:r w:rsidR="00090A02" w:rsidRPr="005E6149">
        <w:rPr>
          <w:rFonts w:ascii="Arial" w:hAnsi="Arial" w:cs="Arial"/>
          <w:sz w:val="22"/>
          <w:szCs w:val="22"/>
        </w:rPr>
        <w:t xml:space="preserve"> dataset</w:t>
      </w:r>
      <w:r w:rsidR="009577D6" w:rsidRPr="005E6149">
        <w:rPr>
          <w:rFonts w:ascii="Arial" w:hAnsi="Arial" w:cs="Arial"/>
          <w:sz w:val="22"/>
          <w:szCs w:val="22"/>
        </w:rPr>
        <w:t xml:space="preserve"> which yielded six MDCs fitting this criterion.</w:t>
      </w:r>
      <w:r w:rsidR="00287349" w:rsidRPr="005E6149">
        <w:rPr>
          <w:rFonts w:ascii="Arial" w:hAnsi="Arial" w:cs="Arial"/>
          <w:sz w:val="22"/>
          <w:szCs w:val="22"/>
        </w:rPr>
        <w:t xml:space="preserve"> The commonality in cost dif</w:t>
      </w:r>
      <w:r w:rsidR="002832AC" w:rsidRPr="005E6149">
        <w:rPr>
          <w:rFonts w:ascii="Arial" w:hAnsi="Arial" w:cs="Arial"/>
          <w:sz w:val="22"/>
          <w:szCs w:val="22"/>
        </w:rPr>
        <w:t>ferential profiles for MDC’s be</w:t>
      </w:r>
      <w:r w:rsidR="00287349" w:rsidRPr="005E6149">
        <w:rPr>
          <w:rFonts w:ascii="Arial" w:hAnsi="Arial" w:cs="Arial"/>
          <w:sz w:val="22"/>
          <w:szCs w:val="22"/>
        </w:rPr>
        <w:t>t</w:t>
      </w:r>
      <w:r w:rsidR="00FE772F" w:rsidRPr="005E6149">
        <w:rPr>
          <w:rFonts w:ascii="Arial" w:hAnsi="Arial" w:cs="Arial"/>
          <w:sz w:val="22"/>
          <w:szCs w:val="22"/>
        </w:rPr>
        <w:t>w</w:t>
      </w:r>
      <w:r w:rsidR="00287349" w:rsidRPr="005E6149">
        <w:rPr>
          <w:rFonts w:ascii="Arial" w:hAnsi="Arial" w:cs="Arial"/>
          <w:sz w:val="22"/>
          <w:szCs w:val="22"/>
        </w:rPr>
        <w:t>een Round 16 and Ro</w:t>
      </w:r>
      <w:r w:rsidR="002832AC" w:rsidRPr="005E6149">
        <w:rPr>
          <w:rFonts w:ascii="Arial" w:hAnsi="Arial" w:cs="Arial"/>
          <w:sz w:val="22"/>
          <w:szCs w:val="22"/>
        </w:rPr>
        <w:t>und 17 is depicted in Table 5.</w:t>
      </w:r>
      <w:r w:rsidR="00880CFB">
        <w:rPr>
          <w:rFonts w:ascii="Arial" w:hAnsi="Arial" w:cs="Arial"/>
          <w:sz w:val="22"/>
          <w:szCs w:val="22"/>
        </w:rPr>
        <w:t>2</w:t>
      </w:r>
      <w:r w:rsidR="00287349" w:rsidRPr="005E6149">
        <w:rPr>
          <w:rFonts w:ascii="Arial" w:hAnsi="Arial" w:cs="Arial"/>
          <w:sz w:val="22"/>
          <w:szCs w:val="22"/>
        </w:rPr>
        <w:t xml:space="preserve">. </w:t>
      </w:r>
    </w:p>
    <w:p w:rsidR="00287349" w:rsidRPr="005E6149" w:rsidRDefault="002832AC" w:rsidP="00287349">
      <w:pPr>
        <w:pStyle w:val="TableCaption"/>
        <w:rPr>
          <w:rFonts w:ascii="Arial" w:hAnsi="Arial" w:cs="Arial"/>
          <w:sz w:val="18"/>
          <w:szCs w:val="18"/>
        </w:rPr>
      </w:pPr>
      <w:bookmarkStart w:id="39" w:name="_Toc278480663"/>
      <w:r w:rsidRPr="005E6149">
        <w:rPr>
          <w:rFonts w:ascii="Arial" w:hAnsi="Arial" w:cs="Arial"/>
          <w:sz w:val="18"/>
          <w:szCs w:val="18"/>
        </w:rPr>
        <w:t>Table 5.</w:t>
      </w:r>
      <w:r w:rsidR="00880CFB">
        <w:rPr>
          <w:rFonts w:ascii="Arial" w:hAnsi="Arial" w:cs="Arial"/>
          <w:sz w:val="18"/>
          <w:szCs w:val="18"/>
        </w:rPr>
        <w:t>2</w:t>
      </w:r>
      <w:r w:rsidR="00287349" w:rsidRPr="005E6149">
        <w:rPr>
          <w:rFonts w:ascii="Arial" w:hAnsi="Arial" w:cs="Arial"/>
          <w:sz w:val="18"/>
          <w:szCs w:val="18"/>
        </w:rPr>
        <w:t>: Commonality in cost differential profiles of MDCs (same</w:t>
      </w:r>
      <w:r w:rsidR="00880CFB">
        <w:rPr>
          <w:rFonts w:ascii="Arial" w:hAnsi="Arial" w:cs="Arial"/>
          <w:sz w:val="18"/>
          <w:szCs w:val="18"/>
        </w:rPr>
        <w:t xml:space="preserve">-day services only) – Round 16 </w:t>
      </w:r>
      <w:r w:rsidR="00287349" w:rsidRPr="005E6149">
        <w:rPr>
          <w:rFonts w:ascii="Arial" w:hAnsi="Arial" w:cs="Arial"/>
          <w:sz w:val="18"/>
          <w:szCs w:val="18"/>
        </w:rPr>
        <w:t>and Round 17</w:t>
      </w:r>
      <w:bookmarkEnd w:id="39"/>
    </w:p>
    <w:tbl>
      <w:tblPr>
        <w:tblStyle w:val="TableGrid"/>
        <w:tblW w:w="0" w:type="auto"/>
        <w:tblLook w:val="04A0" w:firstRow="1" w:lastRow="0" w:firstColumn="1" w:lastColumn="0" w:noHBand="0" w:noVBand="1"/>
        <w:tblCaption w:val="Table 5.2: Commonality in cost differential profiles of MDCs (same-day services only) – Round 16 and Round 17"/>
      </w:tblPr>
      <w:tblGrid>
        <w:gridCol w:w="8856"/>
      </w:tblGrid>
      <w:tr w:rsidR="00756EE9" w:rsidRPr="005E6149" w:rsidTr="00ED2566">
        <w:trPr>
          <w:cantSplit/>
          <w:tblHeader/>
        </w:trPr>
        <w:tc>
          <w:tcPr>
            <w:tcW w:w="8856" w:type="dxa"/>
            <w:shd w:val="clear" w:color="auto" w:fill="E0E0E0"/>
          </w:tcPr>
          <w:p w:rsidR="00756EE9" w:rsidRPr="00C628C4" w:rsidRDefault="00287349" w:rsidP="00287349">
            <w:pPr>
              <w:pStyle w:val="ListParagraph"/>
              <w:spacing w:before="120" w:after="120"/>
              <w:rPr>
                <w:rFonts w:asciiTheme="majorHAnsi" w:hAnsiTheme="majorHAnsi" w:cs="Arial"/>
                <w:b/>
                <w:color w:val="000000"/>
                <w:lang w:val="en-AU"/>
              </w:rPr>
            </w:pPr>
            <w:r w:rsidRPr="00C628C4">
              <w:rPr>
                <w:rFonts w:asciiTheme="majorHAnsi" w:hAnsiTheme="majorHAnsi" w:cs="Arial"/>
                <w:b/>
                <w:color w:val="000000"/>
                <w:lang w:val="en-AU"/>
              </w:rPr>
              <w:t>MDC with no statistical difference in cost profiles - c</w:t>
            </w:r>
            <w:r w:rsidR="00756EE9" w:rsidRPr="00C628C4">
              <w:rPr>
                <w:rFonts w:asciiTheme="majorHAnsi" w:hAnsiTheme="majorHAnsi" w:cs="Arial"/>
                <w:b/>
                <w:color w:val="000000"/>
                <w:lang w:val="en-AU"/>
              </w:rPr>
              <w:t xml:space="preserve">ommon across both </w:t>
            </w:r>
            <w:r w:rsidRPr="00C628C4">
              <w:rPr>
                <w:rFonts w:asciiTheme="majorHAnsi" w:hAnsiTheme="majorHAnsi" w:cs="Arial"/>
                <w:b/>
                <w:color w:val="000000"/>
                <w:lang w:val="en-AU"/>
              </w:rPr>
              <w:t>Round 16 and Round 17 costing periods</w:t>
            </w:r>
          </w:p>
        </w:tc>
      </w:tr>
      <w:tr w:rsidR="00756EE9" w:rsidRPr="005E6149" w:rsidTr="00867AF2">
        <w:trPr>
          <w:cantSplit/>
        </w:trPr>
        <w:tc>
          <w:tcPr>
            <w:tcW w:w="8856" w:type="dxa"/>
            <w:tcBorders>
              <w:bottom w:val="single" w:sz="4" w:space="0" w:color="auto"/>
            </w:tcBorders>
          </w:tcPr>
          <w:p w:rsidR="00756EE9" w:rsidRPr="00C628C4" w:rsidRDefault="00756EE9"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color w:val="000000"/>
                <w:lang w:val="en-AU"/>
              </w:rPr>
              <w:t xml:space="preserve">07 </w:t>
            </w:r>
            <w:r w:rsidRPr="00C628C4">
              <w:rPr>
                <w:rFonts w:asciiTheme="majorHAnsi" w:hAnsiTheme="majorHAnsi" w:cs="Arial"/>
                <w:lang w:val="en-AU"/>
              </w:rPr>
              <w:t>Diseases and disorders of the hepatobiliary system and pancreas</w:t>
            </w:r>
          </w:p>
          <w:p w:rsidR="00756EE9" w:rsidRPr="00C628C4" w:rsidRDefault="00756EE9"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color w:val="000000"/>
                <w:lang w:val="en-AU"/>
              </w:rPr>
              <w:t xml:space="preserve">13 </w:t>
            </w:r>
            <w:r w:rsidRPr="00C628C4">
              <w:rPr>
                <w:rFonts w:asciiTheme="majorHAnsi" w:hAnsiTheme="majorHAnsi" w:cs="Arial"/>
                <w:lang w:val="en-AU"/>
              </w:rPr>
              <w:t>Diseases and disorders of the female reproductive system</w:t>
            </w:r>
          </w:p>
          <w:p w:rsidR="00756EE9" w:rsidRPr="00C628C4" w:rsidRDefault="00756EE9" w:rsidP="00E86862">
            <w:pPr>
              <w:pStyle w:val="ListParagraph"/>
              <w:numPr>
                <w:ilvl w:val="0"/>
                <w:numId w:val="23"/>
              </w:numPr>
              <w:spacing w:before="120" w:after="120"/>
              <w:rPr>
                <w:rFonts w:asciiTheme="majorHAnsi" w:hAnsiTheme="majorHAnsi" w:cs="Arial"/>
                <w:color w:val="000000"/>
                <w:lang w:val="en-AU"/>
              </w:rPr>
            </w:pPr>
            <w:r w:rsidRPr="00C628C4">
              <w:rPr>
                <w:rFonts w:asciiTheme="majorHAnsi" w:hAnsiTheme="majorHAnsi" w:cs="Arial"/>
                <w:color w:val="000000"/>
                <w:lang w:val="en-AU"/>
              </w:rPr>
              <w:t xml:space="preserve">19 </w:t>
            </w:r>
            <w:r w:rsidRPr="00C628C4">
              <w:rPr>
                <w:rFonts w:asciiTheme="majorHAnsi" w:hAnsiTheme="majorHAnsi" w:cs="Arial"/>
                <w:lang w:val="en-AU"/>
              </w:rPr>
              <w:t>Mental diseases and disorders</w:t>
            </w:r>
          </w:p>
        </w:tc>
      </w:tr>
      <w:tr w:rsidR="00287349" w:rsidRPr="005E6149" w:rsidTr="00ED2566">
        <w:trPr>
          <w:cantSplit/>
          <w:tblHeader/>
        </w:trPr>
        <w:tc>
          <w:tcPr>
            <w:tcW w:w="8856" w:type="dxa"/>
            <w:shd w:val="clear" w:color="auto" w:fill="E0E0E0"/>
          </w:tcPr>
          <w:p w:rsidR="00287349" w:rsidRPr="00C628C4" w:rsidRDefault="00287349" w:rsidP="00287349">
            <w:pPr>
              <w:pStyle w:val="ListParagraph"/>
              <w:spacing w:before="120" w:after="120"/>
              <w:rPr>
                <w:rFonts w:asciiTheme="majorHAnsi" w:hAnsiTheme="majorHAnsi" w:cs="Arial"/>
                <w:b/>
              </w:rPr>
            </w:pPr>
            <w:r w:rsidRPr="00C628C4">
              <w:rPr>
                <w:rFonts w:asciiTheme="majorHAnsi" w:hAnsiTheme="majorHAnsi" w:cs="Arial"/>
                <w:b/>
              </w:rPr>
              <w:t xml:space="preserve">MDC with statistical difference in cost profiles – Indigenous less expensive than </w:t>
            </w:r>
            <w:r w:rsidR="007A097D" w:rsidRPr="00C628C4">
              <w:rPr>
                <w:rFonts w:asciiTheme="majorHAnsi" w:hAnsiTheme="majorHAnsi" w:cs="Arial"/>
                <w:b/>
              </w:rPr>
              <w:t>Non-Indigenous</w:t>
            </w:r>
            <w:r w:rsidRPr="00C628C4">
              <w:rPr>
                <w:rFonts w:asciiTheme="majorHAnsi" w:hAnsiTheme="majorHAnsi" w:cs="Arial"/>
                <w:b/>
              </w:rPr>
              <w:t xml:space="preserve"> patients – common across both Round 16 and Round 17 costing periods</w:t>
            </w:r>
          </w:p>
        </w:tc>
      </w:tr>
      <w:tr w:rsidR="00287349" w:rsidRPr="005E6149" w:rsidTr="00867AF2">
        <w:trPr>
          <w:cantSplit/>
        </w:trPr>
        <w:tc>
          <w:tcPr>
            <w:tcW w:w="8856" w:type="dxa"/>
            <w:tcBorders>
              <w:bottom w:val="single" w:sz="4" w:space="0" w:color="auto"/>
            </w:tcBorders>
          </w:tcPr>
          <w:p w:rsidR="00287349" w:rsidRPr="00C628C4" w:rsidRDefault="00287349" w:rsidP="00E86862">
            <w:pPr>
              <w:pStyle w:val="ListParagraph"/>
              <w:numPr>
                <w:ilvl w:val="0"/>
                <w:numId w:val="23"/>
              </w:numPr>
              <w:spacing w:before="120" w:after="120"/>
              <w:rPr>
                <w:rFonts w:asciiTheme="majorHAnsi" w:hAnsiTheme="majorHAnsi" w:cs="Arial"/>
                <w:lang w:val="en-AU"/>
              </w:rPr>
            </w:pPr>
            <w:r w:rsidRPr="00C628C4">
              <w:rPr>
                <w:rFonts w:asciiTheme="majorHAnsi" w:hAnsiTheme="majorHAnsi" w:cs="Arial"/>
                <w:lang w:val="en-AU"/>
              </w:rPr>
              <w:t>06 Diseases and disorders of the digestive system</w:t>
            </w:r>
          </w:p>
          <w:p w:rsidR="00287349" w:rsidRPr="00C628C4" w:rsidRDefault="00287349" w:rsidP="00E86862">
            <w:pPr>
              <w:pStyle w:val="ListParagraph"/>
              <w:numPr>
                <w:ilvl w:val="0"/>
                <w:numId w:val="23"/>
              </w:numPr>
              <w:spacing w:before="120" w:after="120"/>
              <w:rPr>
                <w:rFonts w:asciiTheme="majorHAnsi" w:hAnsiTheme="majorHAnsi" w:cs="Arial"/>
                <w:lang w:val="en-AU"/>
              </w:rPr>
            </w:pPr>
            <w:r w:rsidRPr="00C628C4">
              <w:rPr>
                <w:rFonts w:asciiTheme="majorHAnsi" w:hAnsiTheme="majorHAnsi" w:cs="Arial"/>
                <w:lang w:val="en-AU"/>
              </w:rPr>
              <w:t xml:space="preserve">09 </w:t>
            </w:r>
            <w:r w:rsidRPr="00C628C4">
              <w:rPr>
                <w:rFonts w:asciiTheme="majorHAnsi" w:hAnsiTheme="majorHAnsi" w:cs="Arial"/>
                <w:color w:val="000000"/>
              </w:rPr>
              <w:t>Diseases and disorders of the skin, subcutaneous tissue and breast</w:t>
            </w:r>
          </w:p>
          <w:p w:rsidR="00287349" w:rsidRPr="00C628C4" w:rsidRDefault="00287349" w:rsidP="00E86862">
            <w:pPr>
              <w:pStyle w:val="ListParagraph"/>
              <w:numPr>
                <w:ilvl w:val="0"/>
                <w:numId w:val="23"/>
              </w:numPr>
              <w:spacing w:before="120" w:after="120"/>
              <w:rPr>
                <w:rFonts w:asciiTheme="majorHAnsi" w:hAnsiTheme="majorHAnsi" w:cs="Arial"/>
                <w:sz w:val="22"/>
                <w:szCs w:val="22"/>
              </w:rPr>
            </w:pPr>
            <w:r w:rsidRPr="00C628C4">
              <w:rPr>
                <w:rFonts w:asciiTheme="majorHAnsi" w:hAnsiTheme="majorHAnsi" w:cs="Arial"/>
                <w:lang w:val="en-AU"/>
              </w:rPr>
              <w:t xml:space="preserve">14 </w:t>
            </w:r>
            <w:r w:rsidRPr="00C628C4">
              <w:rPr>
                <w:rFonts w:asciiTheme="majorHAnsi" w:hAnsiTheme="majorHAnsi" w:cs="Arial"/>
                <w:color w:val="000000"/>
              </w:rPr>
              <w:t xml:space="preserve">Pregnancy, childbirth and the </w:t>
            </w:r>
            <w:proofErr w:type="spellStart"/>
            <w:r w:rsidRPr="00C628C4">
              <w:rPr>
                <w:rFonts w:asciiTheme="majorHAnsi" w:hAnsiTheme="majorHAnsi" w:cs="Arial"/>
                <w:color w:val="000000"/>
              </w:rPr>
              <w:t>puerperium</w:t>
            </w:r>
            <w:proofErr w:type="spellEnd"/>
          </w:p>
        </w:tc>
      </w:tr>
      <w:tr w:rsidR="00BB7539" w:rsidRPr="005E6149" w:rsidTr="00ED2566">
        <w:trPr>
          <w:cantSplit/>
          <w:tblHeader/>
        </w:trPr>
        <w:tc>
          <w:tcPr>
            <w:tcW w:w="8856" w:type="dxa"/>
            <w:shd w:val="clear" w:color="auto" w:fill="E0E0E0"/>
          </w:tcPr>
          <w:p w:rsidR="00BB7539" w:rsidRPr="00C628C4" w:rsidRDefault="00BB7539" w:rsidP="00BB7539">
            <w:pPr>
              <w:pStyle w:val="ListParagraph"/>
              <w:spacing w:before="120" w:after="120"/>
              <w:rPr>
                <w:rFonts w:asciiTheme="majorHAnsi" w:hAnsiTheme="majorHAnsi" w:cs="Arial"/>
                <w:sz w:val="22"/>
                <w:szCs w:val="22"/>
              </w:rPr>
            </w:pPr>
            <w:r w:rsidRPr="00C628C4">
              <w:rPr>
                <w:rFonts w:asciiTheme="majorHAnsi" w:hAnsiTheme="majorHAnsi" w:cs="Arial"/>
                <w:b/>
                <w:color w:val="000000"/>
                <w:lang w:val="en-AU"/>
              </w:rPr>
              <w:t xml:space="preserve">MDC with statistical difference in cost profiles – Indigenous more expensive than </w:t>
            </w:r>
            <w:r w:rsidR="007A097D" w:rsidRPr="00C628C4">
              <w:rPr>
                <w:rFonts w:asciiTheme="majorHAnsi" w:hAnsiTheme="majorHAnsi" w:cs="Arial"/>
                <w:b/>
                <w:color w:val="000000"/>
                <w:lang w:val="en-AU"/>
              </w:rPr>
              <w:t>Non-Indigenous</w:t>
            </w:r>
            <w:r w:rsidRPr="00C628C4">
              <w:rPr>
                <w:rFonts w:asciiTheme="majorHAnsi" w:hAnsiTheme="majorHAnsi" w:cs="Arial"/>
                <w:b/>
                <w:color w:val="000000"/>
                <w:lang w:val="en-AU"/>
              </w:rPr>
              <w:t xml:space="preserve"> patients – common across both Round 16 and Round 17 costing periods</w:t>
            </w:r>
          </w:p>
        </w:tc>
      </w:tr>
      <w:tr w:rsidR="00BB7539" w:rsidRPr="005E6149" w:rsidTr="00867AF2">
        <w:trPr>
          <w:cantSplit/>
        </w:trPr>
        <w:tc>
          <w:tcPr>
            <w:tcW w:w="8856" w:type="dxa"/>
          </w:tcPr>
          <w:p w:rsidR="00BB7539" w:rsidRPr="00C628C4" w:rsidRDefault="00BB7539"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03 </w:t>
            </w:r>
            <w:r w:rsidRPr="00C628C4">
              <w:rPr>
                <w:rFonts w:asciiTheme="majorHAnsi" w:hAnsiTheme="majorHAnsi" w:cs="Arial"/>
                <w:lang w:val="en-AU" w:eastAsia="en-AU"/>
              </w:rPr>
              <w:t>Diseases and disorders of the ear, nose, mouth and throat</w:t>
            </w:r>
          </w:p>
          <w:p w:rsidR="00BB7539" w:rsidRPr="00C628C4" w:rsidRDefault="00BB7539"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11 </w:t>
            </w:r>
            <w:r w:rsidRPr="00C628C4">
              <w:rPr>
                <w:rFonts w:asciiTheme="majorHAnsi" w:hAnsiTheme="majorHAnsi" w:cs="Arial"/>
                <w:lang w:val="en-AU" w:eastAsia="en-AU"/>
              </w:rPr>
              <w:t>Diseases and disorders of the kidney and urinary tract</w:t>
            </w:r>
          </w:p>
          <w:p w:rsidR="00BB7539" w:rsidRPr="00C628C4" w:rsidRDefault="00BB7539"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12 </w:t>
            </w:r>
            <w:r w:rsidRPr="00C628C4">
              <w:rPr>
                <w:rFonts w:asciiTheme="majorHAnsi" w:hAnsiTheme="majorHAnsi" w:cs="Arial"/>
                <w:lang w:val="en-AU" w:eastAsia="en-AU"/>
              </w:rPr>
              <w:t>Diseases and disorders of the male reproductive system</w:t>
            </w:r>
          </w:p>
          <w:p w:rsidR="00BB7539" w:rsidRPr="00C628C4" w:rsidRDefault="00BB7539"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16 </w:t>
            </w:r>
            <w:r w:rsidRPr="00C628C4">
              <w:rPr>
                <w:rFonts w:asciiTheme="majorHAnsi" w:hAnsiTheme="majorHAnsi" w:cs="Arial"/>
                <w:lang w:val="en-AU" w:eastAsia="en-AU"/>
              </w:rPr>
              <w:t>Diseases and disorders of the blood and blood forming organs and immunological disorders</w:t>
            </w:r>
          </w:p>
          <w:p w:rsidR="00BB7539" w:rsidRPr="00C628C4" w:rsidRDefault="00BB7539"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17 </w:t>
            </w:r>
            <w:r w:rsidRPr="00C628C4">
              <w:rPr>
                <w:rFonts w:asciiTheme="majorHAnsi" w:hAnsiTheme="majorHAnsi" w:cs="Arial"/>
                <w:lang w:val="en-AU" w:eastAsia="en-AU"/>
              </w:rPr>
              <w:t>Neoplastic disorders (Haematological and solid neoplasms)</w:t>
            </w:r>
            <w:r w:rsidRPr="00C628C4">
              <w:rPr>
                <w:rFonts w:asciiTheme="majorHAnsi" w:hAnsiTheme="majorHAnsi" w:cs="Arial"/>
              </w:rPr>
              <w:t xml:space="preserve"> </w:t>
            </w:r>
          </w:p>
        </w:tc>
      </w:tr>
    </w:tbl>
    <w:p w:rsidR="00CE66E8" w:rsidRPr="005E6149" w:rsidRDefault="00572672" w:rsidP="009B5896">
      <w:pPr>
        <w:spacing w:before="120" w:after="120"/>
        <w:rPr>
          <w:rFonts w:ascii="Arial" w:hAnsi="Arial" w:cs="Arial"/>
          <w:sz w:val="22"/>
          <w:szCs w:val="22"/>
        </w:rPr>
      </w:pPr>
      <w:r w:rsidRPr="005E6149">
        <w:rPr>
          <w:rFonts w:ascii="Arial" w:hAnsi="Arial" w:cs="Arial"/>
          <w:sz w:val="22"/>
          <w:szCs w:val="22"/>
        </w:rPr>
        <w:t xml:space="preserve">The variations observed between Round 16 and Round 17 of the NHCDC </w:t>
      </w:r>
      <w:proofErr w:type="gramStart"/>
      <w:r w:rsidRPr="005E6149">
        <w:rPr>
          <w:rFonts w:ascii="Arial" w:hAnsi="Arial" w:cs="Arial"/>
          <w:sz w:val="22"/>
          <w:szCs w:val="22"/>
        </w:rPr>
        <w:t>were</w:t>
      </w:r>
      <w:proofErr w:type="gramEnd"/>
      <w:r w:rsidRPr="005E6149">
        <w:rPr>
          <w:rFonts w:ascii="Arial" w:hAnsi="Arial" w:cs="Arial"/>
          <w:sz w:val="22"/>
          <w:szCs w:val="22"/>
        </w:rPr>
        <w:t xml:space="preserve"> exam</w:t>
      </w:r>
      <w:r w:rsidR="00880CFB">
        <w:rPr>
          <w:rFonts w:ascii="Arial" w:hAnsi="Arial" w:cs="Arial"/>
          <w:sz w:val="22"/>
          <w:szCs w:val="22"/>
        </w:rPr>
        <w:t>ined further</w:t>
      </w:r>
      <w:r w:rsidR="00D873D2">
        <w:rPr>
          <w:rFonts w:ascii="Arial" w:hAnsi="Arial" w:cs="Arial"/>
          <w:sz w:val="22"/>
          <w:szCs w:val="22"/>
        </w:rPr>
        <w:t xml:space="preserve">. </w:t>
      </w:r>
      <w:r w:rsidRPr="005E6149">
        <w:rPr>
          <w:rFonts w:ascii="Arial" w:hAnsi="Arial" w:cs="Arial"/>
          <w:sz w:val="22"/>
          <w:szCs w:val="22"/>
        </w:rPr>
        <w:t>An absolute value quantifying the cost differential between the two population cohorts could not be derived from the statistical analyses conducted at the MDC level</w:t>
      </w:r>
      <w:r w:rsidR="00D873D2">
        <w:rPr>
          <w:rFonts w:ascii="Arial" w:hAnsi="Arial" w:cs="Arial"/>
          <w:sz w:val="22"/>
          <w:szCs w:val="22"/>
        </w:rPr>
        <w:t xml:space="preserve">. </w:t>
      </w:r>
    </w:p>
    <w:p w:rsidR="00B860F2" w:rsidRPr="005E6149" w:rsidRDefault="00CE66E8" w:rsidP="002F29D1">
      <w:pPr>
        <w:spacing w:before="120" w:after="120"/>
        <w:rPr>
          <w:rFonts w:ascii="Arial" w:hAnsi="Arial" w:cs="Arial"/>
          <w:sz w:val="22"/>
          <w:szCs w:val="22"/>
        </w:rPr>
      </w:pPr>
      <w:r w:rsidRPr="005E6149">
        <w:rPr>
          <w:rFonts w:ascii="Arial" w:hAnsi="Arial" w:cs="Arial"/>
          <w:sz w:val="22"/>
          <w:szCs w:val="22"/>
        </w:rPr>
        <w:lastRenderedPageBreak/>
        <w:t xml:space="preserve">Whist </w:t>
      </w:r>
      <w:proofErr w:type="spellStart"/>
      <w:r w:rsidRPr="005E6149">
        <w:rPr>
          <w:rFonts w:ascii="Arial" w:hAnsi="Arial" w:cs="Arial"/>
          <w:sz w:val="22"/>
          <w:szCs w:val="22"/>
        </w:rPr>
        <w:t>casemix</w:t>
      </w:r>
      <w:proofErr w:type="spellEnd"/>
      <w:r w:rsidRPr="005E6149">
        <w:rPr>
          <w:rFonts w:ascii="Arial" w:hAnsi="Arial" w:cs="Arial"/>
          <w:sz w:val="22"/>
          <w:szCs w:val="22"/>
        </w:rPr>
        <w:t xml:space="preserve"> at the MDC level has been shown to have some explanatory power, the variability from one year to the next makes it difficult to </w:t>
      </w:r>
      <w:r w:rsidR="00F422A0" w:rsidRPr="005E6149">
        <w:rPr>
          <w:rFonts w:ascii="Arial" w:hAnsi="Arial" w:cs="Arial"/>
          <w:sz w:val="22"/>
          <w:szCs w:val="22"/>
        </w:rPr>
        <w:t>make</w:t>
      </w:r>
      <w:r w:rsidRPr="005E6149">
        <w:rPr>
          <w:rFonts w:ascii="Arial" w:hAnsi="Arial" w:cs="Arial"/>
          <w:sz w:val="22"/>
          <w:szCs w:val="22"/>
        </w:rPr>
        <w:t xml:space="preserve"> any conclusive </w:t>
      </w:r>
      <w:r w:rsidR="00F422A0" w:rsidRPr="005E6149">
        <w:rPr>
          <w:rFonts w:ascii="Arial" w:hAnsi="Arial" w:cs="Arial"/>
          <w:sz w:val="22"/>
          <w:szCs w:val="22"/>
        </w:rPr>
        <w:t>decisions about the extent to which the costs of treating Indigenous patients is greater than</w:t>
      </w:r>
      <w:r w:rsidR="00572672" w:rsidRPr="005E6149">
        <w:rPr>
          <w:rFonts w:ascii="Arial" w:hAnsi="Arial" w:cs="Arial"/>
          <w:sz w:val="22"/>
          <w:szCs w:val="22"/>
        </w:rPr>
        <w:t>,</w:t>
      </w:r>
      <w:r w:rsidR="00F422A0" w:rsidRPr="005E6149">
        <w:rPr>
          <w:rFonts w:ascii="Arial" w:hAnsi="Arial" w:cs="Arial"/>
          <w:sz w:val="22"/>
          <w:szCs w:val="22"/>
        </w:rPr>
        <w:t xml:space="preserve"> or less than that of treating </w:t>
      </w:r>
      <w:r w:rsidR="007A097D">
        <w:rPr>
          <w:rFonts w:ascii="Arial" w:hAnsi="Arial" w:cs="Arial"/>
          <w:sz w:val="22"/>
          <w:szCs w:val="22"/>
        </w:rPr>
        <w:t>Non-Indigenous</w:t>
      </w:r>
      <w:r w:rsidR="00F422A0" w:rsidRPr="005E6149">
        <w:rPr>
          <w:rFonts w:ascii="Arial" w:hAnsi="Arial" w:cs="Arial"/>
          <w:sz w:val="22"/>
          <w:szCs w:val="22"/>
        </w:rPr>
        <w:t xml:space="preserve"> patients</w:t>
      </w:r>
      <w:r w:rsidR="00D873D2">
        <w:rPr>
          <w:rFonts w:ascii="Arial" w:hAnsi="Arial" w:cs="Arial"/>
          <w:sz w:val="22"/>
          <w:szCs w:val="22"/>
        </w:rPr>
        <w:t xml:space="preserve">. </w:t>
      </w:r>
      <w:r w:rsidR="00880CFB">
        <w:rPr>
          <w:rFonts w:ascii="Arial" w:hAnsi="Arial" w:cs="Arial"/>
          <w:sz w:val="22"/>
          <w:szCs w:val="22"/>
        </w:rPr>
        <w:t xml:space="preserve">The </w:t>
      </w:r>
      <w:r w:rsidR="00F422A0" w:rsidRPr="005E6149">
        <w:rPr>
          <w:rFonts w:ascii="Arial" w:hAnsi="Arial" w:cs="Arial"/>
          <w:sz w:val="22"/>
          <w:szCs w:val="22"/>
        </w:rPr>
        <w:t>MDC is simply too high a level of aggregation</w:t>
      </w:r>
      <w:r w:rsidR="00D873D2">
        <w:rPr>
          <w:rFonts w:ascii="Arial" w:hAnsi="Arial" w:cs="Arial"/>
          <w:sz w:val="22"/>
          <w:szCs w:val="22"/>
        </w:rPr>
        <w:t xml:space="preserve">. </w:t>
      </w:r>
      <w:r w:rsidR="00F422A0" w:rsidRPr="005E6149">
        <w:rPr>
          <w:rFonts w:ascii="Arial" w:hAnsi="Arial" w:cs="Arial"/>
          <w:sz w:val="22"/>
          <w:szCs w:val="22"/>
        </w:rPr>
        <w:t>This</w:t>
      </w:r>
      <w:r w:rsidR="00572672" w:rsidRPr="005E6149">
        <w:rPr>
          <w:rFonts w:ascii="Arial" w:hAnsi="Arial" w:cs="Arial"/>
          <w:sz w:val="22"/>
          <w:szCs w:val="22"/>
        </w:rPr>
        <w:t>,</w:t>
      </w:r>
      <w:r w:rsidR="00F422A0" w:rsidRPr="005E6149">
        <w:rPr>
          <w:rFonts w:ascii="Arial" w:hAnsi="Arial" w:cs="Arial"/>
          <w:sz w:val="22"/>
          <w:szCs w:val="22"/>
        </w:rPr>
        <w:t xml:space="preserve"> together with an interest in what drives the tail end of cost distributions for both patient cohorts led to </w:t>
      </w:r>
      <w:r w:rsidRPr="005E6149">
        <w:rPr>
          <w:rFonts w:ascii="Arial" w:hAnsi="Arial" w:cs="Arial"/>
          <w:sz w:val="22"/>
          <w:szCs w:val="22"/>
        </w:rPr>
        <w:t>the drill down of cost</w:t>
      </w:r>
      <w:r w:rsidR="00F422A0" w:rsidRPr="005E6149">
        <w:rPr>
          <w:rFonts w:ascii="Arial" w:hAnsi="Arial" w:cs="Arial"/>
          <w:sz w:val="22"/>
          <w:szCs w:val="22"/>
        </w:rPr>
        <w:t>s investigating</w:t>
      </w:r>
      <w:r w:rsidRPr="005E6149">
        <w:rPr>
          <w:rFonts w:ascii="Arial" w:hAnsi="Arial" w:cs="Arial"/>
          <w:sz w:val="22"/>
          <w:szCs w:val="22"/>
        </w:rPr>
        <w:t xml:space="preserve"> differentials for same-day patients </w:t>
      </w:r>
      <w:r w:rsidR="00F422A0" w:rsidRPr="005E6149">
        <w:rPr>
          <w:rFonts w:ascii="Arial" w:hAnsi="Arial" w:cs="Arial"/>
          <w:sz w:val="22"/>
          <w:szCs w:val="22"/>
        </w:rPr>
        <w:t xml:space="preserve">at the level of </w:t>
      </w:r>
      <w:r w:rsidRPr="005E6149">
        <w:rPr>
          <w:rFonts w:ascii="Arial" w:hAnsi="Arial" w:cs="Arial"/>
          <w:sz w:val="22"/>
          <w:szCs w:val="22"/>
        </w:rPr>
        <w:t>individual Diagnosis Related Groups (DRGs).</w:t>
      </w:r>
    </w:p>
    <w:p w:rsidR="00BA53DB" w:rsidRPr="00A46AE7" w:rsidRDefault="00BA53DB" w:rsidP="00A46AE7">
      <w:pPr>
        <w:pStyle w:val="Heading2"/>
        <w:keepLines w:val="0"/>
        <w:tabs>
          <w:tab w:val="left" w:pos="851"/>
        </w:tabs>
        <w:spacing w:before="360" w:after="240"/>
        <w:ind w:left="851" w:hanging="851"/>
        <w:rPr>
          <w:rFonts w:ascii="Arial" w:hAnsi="Arial" w:cs="Arial"/>
          <w:color w:val="548DD4" w:themeColor="text2" w:themeTint="99"/>
        </w:rPr>
      </w:pPr>
      <w:bookmarkStart w:id="40" w:name="_Toc278480619"/>
      <w:r w:rsidRPr="00A46AE7">
        <w:rPr>
          <w:rFonts w:ascii="Arial" w:hAnsi="Arial" w:cs="Arial"/>
          <w:color w:val="548DD4" w:themeColor="text2" w:themeTint="99"/>
        </w:rPr>
        <w:t>Analysis at the Diagnosis Related Group leve</w:t>
      </w:r>
      <w:bookmarkEnd w:id="40"/>
      <w:r w:rsidR="002F29D1" w:rsidRPr="00A46AE7">
        <w:rPr>
          <w:rFonts w:ascii="Arial" w:hAnsi="Arial" w:cs="Arial"/>
          <w:color w:val="548DD4" w:themeColor="text2" w:themeTint="99"/>
        </w:rPr>
        <w:t>l</w:t>
      </w:r>
    </w:p>
    <w:p w:rsidR="00B860F2" w:rsidRPr="005E6149" w:rsidRDefault="00C47C49" w:rsidP="009B5896">
      <w:pPr>
        <w:spacing w:before="120" w:after="120"/>
        <w:rPr>
          <w:rFonts w:ascii="Arial" w:hAnsi="Arial" w:cs="Arial"/>
          <w:sz w:val="22"/>
          <w:szCs w:val="22"/>
        </w:rPr>
      </w:pPr>
      <w:r w:rsidRPr="005E6149">
        <w:rPr>
          <w:rFonts w:ascii="Arial" w:hAnsi="Arial" w:cs="Arial"/>
          <w:sz w:val="22"/>
          <w:szCs w:val="22"/>
        </w:rPr>
        <w:t>Statistical</w:t>
      </w:r>
      <w:r w:rsidR="00BA53DB" w:rsidRPr="005E6149">
        <w:rPr>
          <w:rFonts w:ascii="Arial" w:hAnsi="Arial" w:cs="Arial"/>
          <w:sz w:val="22"/>
          <w:szCs w:val="22"/>
        </w:rPr>
        <w:t xml:space="preserve"> analyses were undertaken at the DRG level using Australian Refined Diagnosis Related Group (AR-DRG) version 6.0 classes.</w:t>
      </w:r>
    </w:p>
    <w:p w:rsidR="003713A5" w:rsidRPr="005E6149" w:rsidRDefault="00BC5687" w:rsidP="009B5896">
      <w:pPr>
        <w:spacing w:before="120" w:after="120"/>
        <w:rPr>
          <w:rFonts w:ascii="Arial" w:hAnsi="Arial" w:cs="Arial"/>
          <w:sz w:val="22"/>
          <w:szCs w:val="22"/>
        </w:rPr>
      </w:pPr>
      <w:r>
        <w:rPr>
          <w:rFonts w:ascii="Arial" w:hAnsi="Arial" w:cs="Arial"/>
          <w:sz w:val="22"/>
          <w:szCs w:val="22"/>
        </w:rPr>
        <w:t>Appendix C</w:t>
      </w:r>
      <w:r w:rsidR="004D2482" w:rsidRPr="005E6149">
        <w:rPr>
          <w:rFonts w:ascii="Arial" w:hAnsi="Arial" w:cs="Arial"/>
          <w:sz w:val="22"/>
          <w:szCs w:val="22"/>
        </w:rPr>
        <w:t xml:space="preserve"> lists the </w:t>
      </w:r>
      <w:r w:rsidR="00BC5D83">
        <w:rPr>
          <w:rFonts w:ascii="Arial" w:hAnsi="Arial" w:cs="Arial"/>
          <w:sz w:val="22"/>
          <w:szCs w:val="22"/>
        </w:rPr>
        <w:t xml:space="preserve">outputs </w:t>
      </w:r>
      <w:r w:rsidR="004D2482" w:rsidRPr="005E6149">
        <w:rPr>
          <w:rFonts w:ascii="Arial" w:hAnsi="Arial" w:cs="Arial"/>
          <w:sz w:val="22"/>
          <w:szCs w:val="22"/>
        </w:rPr>
        <w:t>for same-day cases by AR-DRG for both Rounds 16 and 17</w:t>
      </w:r>
      <w:r w:rsidR="00D873D2">
        <w:rPr>
          <w:rFonts w:ascii="Arial" w:hAnsi="Arial" w:cs="Arial"/>
          <w:sz w:val="22"/>
          <w:szCs w:val="22"/>
        </w:rPr>
        <w:t xml:space="preserve">. </w:t>
      </w:r>
      <w:r w:rsidR="003713A5" w:rsidRPr="005E6149">
        <w:rPr>
          <w:rFonts w:ascii="Arial" w:hAnsi="Arial" w:cs="Arial"/>
          <w:sz w:val="22"/>
          <w:szCs w:val="22"/>
        </w:rPr>
        <w:t xml:space="preserve">Based on the Round 17 dataset, </w:t>
      </w:r>
      <w:r w:rsidR="003D70B0" w:rsidRPr="005E6149">
        <w:rPr>
          <w:rFonts w:ascii="Arial" w:hAnsi="Arial" w:cs="Arial"/>
          <w:sz w:val="22"/>
          <w:szCs w:val="22"/>
        </w:rPr>
        <w:t>6</w:t>
      </w:r>
      <w:r w:rsidR="00857EBE" w:rsidRPr="005E6149">
        <w:rPr>
          <w:rFonts w:ascii="Arial" w:hAnsi="Arial" w:cs="Arial"/>
          <w:sz w:val="22"/>
          <w:szCs w:val="22"/>
        </w:rPr>
        <w:t>11</w:t>
      </w:r>
      <w:r w:rsidR="003D70B0" w:rsidRPr="005E6149">
        <w:rPr>
          <w:rFonts w:ascii="Arial" w:hAnsi="Arial" w:cs="Arial"/>
          <w:sz w:val="22"/>
          <w:szCs w:val="22"/>
        </w:rPr>
        <w:t xml:space="preserve"> different </w:t>
      </w:r>
      <w:r w:rsidR="003713A5" w:rsidRPr="005E6149">
        <w:rPr>
          <w:rFonts w:ascii="Arial" w:hAnsi="Arial" w:cs="Arial"/>
          <w:sz w:val="22"/>
          <w:szCs w:val="22"/>
        </w:rPr>
        <w:t>AR</w:t>
      </w:r>
      <w:r w:rsidR="00FB175E" w:rsidRPr="005E6149">
        <w:rPr>
          <w:rFonts w:ascii="Arial" w:hAnsi="Arial" w:cs="Arial"/>
          <w:sz w:val="22"/>
          <w:szCs w:val="22"/>
        </w:rPr>
        <w:t>-</w:t>
      </w:r>
      <w:r w:rsidR="003713A5" w:rsidRPr="005E6149">
        <w:rPr>
          <w:rFonts w:ascii="Arial" w:hAnsi="Arial" w:cs="Arial"/>
          <w:sz w:val="22"/>
          <w:szCs w:val="22"/>
        </w:rPr>
        <w:t xml:space="preserve">DRG </w:t>
      </w:r>
      <w:r w:rsidR="003D70B0" w:rsidRPr="005E6149">
        <w:rPr>
          <w:rFonts w:ascii="Arial" w:hAnsi="Arial" w:cs="Arial"/>
          <w:sz w:val="22"/>
          <w:szCs w:val="22"/>
        </w:rPr>
        <w:t xml:space="preserve">classes </w:t>
      </w:r>
      <w:r w:rsidR="003713A5" w:rsidRPr="005E6149">
        <w:rPr>
          <w:rFonts w:ascii="Arial" w:hAnsi="Arial" w:cs="Arial"/>
          <w:sz w:val="22"/>
          <w:szCs w:val="22"/>
        </w:rPr>
        <w:t xml:space="preserve">were </w:t>
      </w:r>
      <w:r w:rsidR="003D70B0" w:rsidRPr="005E6149">
        <w:rPr>
          <w:rFonts w:ascii="Arial" w:hAnsi="Arial" w:cs="Arial"/>
          <w:sz w:val="22"/>
          <w:szCs w:val="22"/>
        </w:rPr>
        <w:t xml:space="preserve">listed </w:t>
      </w:r>
      <w:r w:rsidR="003713A5" w:rsidRPr="005E6149">
        <w:rPr>
          <w:rFonts w:ascii="Arial" w:hAnsi="Arial" w:cs="Arial"/>
          <w:sz w:val="22"/>
          <w:szCs w:val="22"/>
        </w:rPr>
        <w:t xml:space="preserve">as </w:t>
      </w:r>
      <w:r w:rsidR="003D70B0" w:rsidRPr="005E6149">
        <w:rPr>
          <w:rFonts w:ascii="Arial" w:hAnsi="Arial" w:cs="Arial"/>
          <w:sz w:val="22"/>
          <w:szCs w:val="22"/>
        </w:rPr>
        <w:t xml:space="preserve">containing same-day </w:t>
      </w:r>
      <w:r w:rsidR="003713A5" w:rsidRPr="005E6149">
        <w:rPr>
          <w:rFonts w:ascii="Arial" w:hAnsi="Arial" w:cs="Arial"/>
          <w:sz w:val="22"/>
          <w:szCs w:val="22"/>
        </w:rPr>
        <w:t>cases</w:t>
      </w:r>
      <w:r w:rsidR="00D873D2">
        <w:rPr>
          <w:rFonts w:ascii="Arial" w:hAnsi="Arial" w:cs="Arial"/>
          <w:sz w:val="22"/>
          <w:szCs w:val="22"/>
        </w:rPr>
        <w:t xml:space="preserve">. </w:t>
      </w:r>
      <w:r w:rsidR="003713A5" w:rsidRPr="005E6149">
        <w:rPr>
          <w:rFonts w:ascii="Arial" w:hAnsi="Arial" w:cs="Arial"/>
          <w:sz w:val="22"/>
          <w:szCs w:val="22"/>
        </w:rPr>
        <w:t>Of these</w:t>
      </w:r>
      <w:r w:rsidR="003D70B0" w:rsidRPr="005E6149">
        <w:rPr>
          <w:rFonts w:ascii="Arial" w:hAnsi="Arial" w:cs="Arial"/>
          <w:sz w:val="22"/>
          <w:szCs w:val="22"/>
        </w:rPr>
        <w:t>, 32</w:t>
      </w:r>
      <w:r w:rsidR="009971FC" w:rsidRPr="005E6149">
        <w:rPr>
          <w:rFonts w:ascii="Arial" w:hAnsi="Arial" w:cs="Arial"/>
          <w:sz w:val="22"/>
          <w:szCs w:val="22"/>
        </w:rPr>
        <w:t>4</w:t>
      </w:r>
      <w:r w:rsidR="003D70B0" w:rsidRPr="005E6149">
        <w:rPr>
          <w:rFonts w:ascii="Arial" w:hAnsi="Arial" w:cs="Arial"/>
          <w:sz w:val="22"/>
          <w:szCs w:val="22"/>
        </w:rPr>
        <w:t xml:space="preserve"> had more than 5 separations listed in both patient cohorts</w:t>
      </w:r>
      <w:r w:rsidR="00D873D2">
        <w:rPr>
          <w:rFonts w:ascii="Arial" w:hAnsi="Arial" w:cs="Arial"/>
          <w:sz w:val="22"/>
          <w:szCs w:val="22"/>
        </w:rPr>
        <w:t xml:space="preserve">. </w:t>
      </w:r>
      <w:r w:rsidR="003713A5" w:rsidRPr="005E6149">
        <w:rPr>
          <w:rFonts w:ascii="Arial" w:hAnsi="Arial" w:cs="Arial"/>
          <w:sz w:val="22"/>
          <w:szCs w:val="22"/>
        </w:rPr>
        <w:t>This excludes AR-DRG L61Z Renal Dialysis.</w:t>
      </w:r>
    </w:p>
    <w:p w:rsidR="00E069FA" w:rsidRPr="005E6149" w:rsidRDefault="003D70B0" w:rsidP="009B5896">
      <w:pPr>
        <w:spacing w:before="120" w:after="120"/>
        <w:rPr>
          <w:rFonts w:ascii="Arial" w:hAnsi="Arial" w:cs="Arial"/>
          <w:sz w:val="22"/>
          <w:szCs w:val="22"/>
        </w:rPr>
      </w:pPr>
      <w:r w:rsidRPr="005E6149">
        <w:rPr>
          <w:rFonts w:ascii="Arial" w:hAnsi="Arial" w:cs="Arial"/>
          <w:sz w:val="22"/>
          <w:szCs w:val="22"/>
        </w:rPr>
        <w:t>Of the</w:t>
      </w:r>
      <w:r w:rsidR="003713A5" w:rsidRPr="005E6149">
        <w:rPr>
          <w:rFonts w:ascii="Arial" w:hAnsi="Arial" w:cs="Arial"/>
          <w:sz w:val="22"/>
          <w:szCs w:val="22"/>
        </w:rPr>
        <w:t xml:space="preserve"> 324 AR-DRGs that had more than 5 separations in both the Indigenous and </w:t>
      </w:r>
      <w:r w:rsidR="007A097D">
        <w:rPr>
          <w:rFonts w:ascii="Arial" w:hAnsi="Arial" w:cs="Arial"/>
          <w:sz w:val="22"/>
          <w:szCs w:val="22"/>
        </w:rPr>
        <w:t>Non-Indigenous</w:t>
      </w:r>
      <w:r w:rsidR="003713A5" w:rsidRPr="005E6149">
        <w:rPr>
          <w:rFonts w:ascii="Arial" w:hAnsi="Arial" w:cs="Arial"/>
          <w:sz w:val="22"/>
          <w:szCs w:val="22"/>
        </w:rPr>
        <w:t xml:space="preserve"> patient groups;</w:t>
      </w:r>
      <w:r w:rsidRPr="005E6149">
        <w:rPr>
          <w:rFonts w:ascii="Arial" w:hAnsi="Arial" w:cs="Arial"/>
          <w:sz w:val="22"/>
          <w:szCs w:val="22"/>
        </w:rPr>
        <w:t xml:space="preserve"> </w:t>
      </w:r>
      <w:r w:rsidR="00E069FA" w:rsidRPr="005E6149">
        <w:rPr>
          <w:rFonts w:ascii="Arial" w:hAnsi="Arial" w:cs="Arial"/>
          <w:sz w:val="22"/>
          <w:szCs w:val="22"/>
        </w:rPr>
        <w:t>9</w:t>
      </w:r>
      <w:r w:rsidR="009971FC" w:rsidRPr="005E6149">
        <w:rPr>
          <w:rFonts w:ascii="Arial" w:hAnsi="Arial" w:cs="Arial"/>
          <w:sz w:val="22"/>
          <w:szCs w:val="22"/>
        </w:rPr>
        <w:t>0</w:t>
      </w:r>
      <w:r w:rsidR="00E069FA" w:rsidRPr="005E6149">
        <w:rPr>
          <w:rFonts w:ascii="Arial" w:hAnsi="Arial" w:cs="Arial"/>
          <w:sz w:val="22"/>
          <w:szCs w:val="22"/>
        </w:rPr>
        <w:t xml:space="preserve"> </w:t>
      </w:r>
      <w:r w:rsidR="003713A5" w:rsidRPr="005E6149">
        <w:rPr>
          <w:rFonts w:ascii="Arial" w:hAnsi="Arial" w:cs="Arial"/>
          <w:sz w:val="22"/>
          <w:szCs w:val="22"/>
        </w:rPr>
        <w:t>AR-DRGs</w:t>
      </w:r>
      <w:r w:rsidR="00A117FC">
        <w:rPr>
          <w:rFonts w:ascii="Arial" w:hAnsi="Arial" w:cs="Arial"/>
          <w:sz w:val="22"/>
          <w:szCs w:val="22"/>
        </w:rPr>
        <w:t xml:space="preserve"> </w:t>
      </w:r>
      <w:r w:rsidR="00E069FA" w:rsidRPr="005E6149">
        <w:rPr>
          <w:rFonts w:ascii="Arial" w:hAnsi="Arial" w:cs="Arial"/>
          <w:sz w:val="22"/>
          <w:szCs w:val="22"/>
        </w:rPr>
        <w:t xml:space="preserve">were identified as having statistically different cost profiles when comparing the Indigenous patient costs to </w:t>
      </w:r>
      <w:r w:rsidR="007A097D">
        <w:rPr>
          <w:rFonts w:ascii="Arial" w:hAnsi="Arial" w:cs="Arial"/>
          <w:sz w:val="22"/>
          <w:szCs w:val="22"/>
        </w:rPr>
        <w:t>Non-Indigenous</w:t>
      </w:r>
      <w:r w:rsidR="00E069FA" w:rsidRPr="005E6149">
        <w:rPr>
          <w:rFonts w:ascii="Arial" w:hAnsi="Arial" w:cs="Arial"/>
          <w:sz w:val="22"/>
          <w:szCs w:val="22"/>
        </w:rPr>
        <w:t xml:space="preserve"> patient costs</w:t>
      </w:r>
      <w:r w:rsidR="00D873D2">
        <w:rPr>
          <w:rFonts w:ascii="Arial" w:hAnsi="Arial" w:cs="Arial"/>
          <w:sz w:val="22"/>
          <w:szCs w:val="22"/>
        </w:rPr>
        <w:t xml:space="preserve">. </w:t>
      </w:r>
      <w:r w:rsidR="00E069FA" w:rsidRPr="005E6149">
        <w:rPr>
          <w:rFonts w:ascii="Arial" w:hAnsi="Arial" w:cs="Arial"/>
          <w:sz w:val="22"/>
          <w:szCs w:val="22"/>
        </w:rPr>
        <w:t>These classes covered 45</w:t>
      </w:r>
      <w:r w:rsidR="00A117FC">
        <w:rPr>
          <w:rFonts w:ascii="Arial" w:hAnsi="Arial" w:cs="Arial"/>
          <w:sz w:val="22"/>
          <w:szCs w:val="22"/>
        </w:rPr>
        <w:t>%</w:t>
      </w:r>
      <w:r w:rsidR="00E069FA" w:rsidRPr="005E6149">
        <w:rPr>
          <w:rFonts w:ascii="Arial" w:hAnsi="Arial" w:cs="Arial"/>
          <w:sz w:val="22"/>
          <w:szCs w:val="22"/>
        </w:rPr>
        <w:t xml:space="preserve"> of all same-day separations in the Round 17 dataset.</w:t>
      </w:r>
    </w:p>
    <w:p w:rsidR="009971FC" w:rsidRPr="005E6149" w:rsidRDefault="009971FC" w:rsidP="009B5896">
      <w:pPr>
        <w:spacing w:before="120" w:after="120"/>
        <w:rPr>
          <w:rFonts w:ascii="Arial" w:hAnsi="Arial" w:cs="Arial"/>
          <w:sz w:val="22"/>
          <w:szCs w:val="22"/>
        </w:rPr>
      </w:pPr>
      <w:r w:rsidRPr="005E6149">
        <w:rPr>
          <w:rFonts w:ascii="Arial" w:hAnsi="Arial" w:cs="Arial"/>
          <w:sz w:val="22"/>
          <w:szCs w:val="22"/>
        </w:rPr>
        <w:t xml:space="preserve">The majority </w:t>
      </w:r>
      <w:r w:rsidR="00BC5D83">
        <w:rPr>
          <w:rFonts w:ascii="Arial" w:hAnsi="Arial" w:cs="Arial"/>
          <w:sz w:val="22"/>
          <w:szCs w:val="22"/>
        </w:rPr>
        <w:t>o</w:t>
      </w:r>
      <w:r w:rsidRPr="005E6149">
        <w:rPr>
          <w:rFonts w:ascii="Arial" w:hAnsi="Arial" w:cs="Arial"/>
          <w:sz w:val="22"/>
          <w:szCs w:val="22"/>
        </w:rPr>
        <w:t>f these AR-DRGs retu</w:t>
      </w:r>
      <w:r w:rsidR="002612A1" w:rsidRPr="005E6149">
        <w:rPr>
          <w:rFonts w:ascii="Arial" w:hAnsi="Arial" w:cs="Arial"/>
          <w:sz w:val="22"/>
          <w:szCs w:val="22"/>
        </w:rPr>
        <w:t>r</w:t>
      </w:r>
      <w:r w:rsidRPr="005E6149">
        <w:rPr>
          <w:rFonts w:ascii="Arial" w:hAnsi="Arial" w:cs="Arial"/>
          <w:sz w:val="22"/>
          <w:szCs w:val="22"/>
        </w:rPr>
        <w:t xml:space="preserve">ned statistical values indicating that it was more expensive to treat an Indigenous patient than a </w:t>
      </w:r>
      <w:r w:rsidR="007A097D">
        <w:rPr>
          <w:rFonts w:ascii="Arial" w:hAnsi="Arial" w:cs="Arial"/>
          <w:sz w:val="22"/>
          <w:szCs w:val="22"/>
        </w:rPr>
        <w:t>Non-Indigenous</w:t>
      </w:r>
      <w:r w:rsidRPr="005E6149">
        <w:rPr>
          <w:rFonts w:ascii="Arial" w:hAnsi="Arial" w:cs="Arial"/>
          <w:sz w:val="22"/>
          <w:szCs w:val="22"/>
        </w:rPr>
        <w:t xml:space="preserve"> patient</w:t>
      </w:r>
      <w:r w:rsidR="00D873D2">
        <w:rPr>
          <w:rFonts w:ascii="Arial" w:hAnsi="Arial" w:cs="Arial"/>
          <w:sz w:val="22"/>
          <w:szCs w:val="22"/>
        </w:rPr>
        <w:t xml:space="preserve">. </w:t>
      </w:r>
    </w:p>
    <w:p w:rsidR="00DF24B6" w:rsidRPr="00C61F09" w:rsidRDefault="003713A5" w:rsidP="00C61F09">
      <w:pPr>
        <w:spacing w:before="120" w:after="120"/>
        <w:rPr>
          <w:rFonts w:ascii="Arial" w:hAnsi="Arial" w:cs="Arial"/>
          <w:sz w:val="22"/>
          <w:szCs w:val="22"/>
        </w:rPr>
      </w:pPr>
      <w:r w:rsidRPr="005E6149">
        <w:rPr>
          <w:rFonts w:ascii="Arial" w:hAnsi="Arial" w:cs="Arial"/>
          <w:sz w:val="22"/>
          <w:szCs w:val="22"/>
        </w:rPr>
        <w:t>Whilst the statistical tests undertaken o</w:t>
      </w:r>
      <w:r w:rsidR="00BC5D83">
        <w:rPr>
          <w:rFonts w:ascii="Arial" w:hAnsi="Arial" w:cs="Arial"/>
          <w:sz w:val="22"/>
          <w:szCs w:val="22"/>
        </w:rPr>
        <w:t>n the dataset, show that for 45</w:t>
      </w:r>
      <w:r w:rsidRPr="005E6149">
        <w:rPr>
          <w:rFonts w:ascii="Arial" w:hAnsi="Arial" w:cs="Arial"/>
          <w:sz w:val="22"/>
          <w:szCs w:val="22"/>
        </w:rPr>
        <w:t>% of the separations a cost differential exists between the two cohorts, the statistical tests do not yield an absolute value in terms of what this differential would be</w:t>
      </w:r>
      <w:r w:rsidR="00D873D2">
        <w:rPr>
          <w:rFonts w:ascii="Arial" w:hAnsi="Arial" w:cs="Arial"/>
          <w:sz w:val="22"/>
          <w:szCs w:val="22"/>
        </w:rPr>
        <w:t xml:space="preserve">. </w:t>
      </w:r>
      <w:r w:rsidRPr="005E6149">
        <w:rPr>
          <w:rFonts w:ascii="Arial" w:hAnsi="Arial" w:cs="Arial"/>
          <w:sz w:val="22"/>
          <w:szCs w:val="22"/>
        </w:rPr>
        <w:t xml:space="preserve">Further analyses </w:t>
      </w:r>
      <w:r w:rsidR="00874D91" w:rsidRPr="005E6149">
        <w:rPr>
          <w:rFonts w:ascii="Arial" w:hAnsi="Arial" w:cs="Arial"/>
          <w:sz w:val="22"/>
          <w:szCs w:val="22"/>
        </w:rPr>
        <w:t xml:space="preserve">focusing on </w:t>
      </w:r>
      <w:r w:rsidRPr="005E6149">
        <w:rPr>
          <w:rFonts w:ascii="Arial" w:hAnsi="Arial" w:cs="Arial"/>
          <w:sz w:val="22"/>
          <w:szCs w:val="22"/>
        </w:rPr>
        <w:t>the cost differentials</w:t>
      </w:r>
      <w:r w:rsidR="00A117FC">
        <w:rPr>
          <w:rFonts w:ascii="Arial" w:hAnsi="Arial" w:cs="Arial"/>
          <w:sz w:val="22"/>
          <w:szCs w:val="22"/>
        </w:rPr>
        <w:t xml:space="preserve"> </w:t>
      </w:r>
      <w:r w:rsidR="00DF24B6" w:rsidRPr="005E6149">
        <w:rPr>
          <w:rFonts w:ascii="Arial" w:hAnsi="Arial" w:cs="Arial"/>
          <w:sz w:val="22"/>
          <w:szCs w:val="22"/>
        </w:rPr>
        <w:t>were</w:t>
      </w:r>
      <w:r w:rsidRPr="005E6149">
        <w:rPr>
          <w:rFonts w:ascii="Arial" w:hAnsi="Arial" w:cs="Arial"/>
          <w:sz w:val="22"/>
          <w:szCs w:val="22"/>
        </w:rPr>
        <w:t xml:space="preserve"> u</w:t>
      </w:r>
      <w:r w:rsidR="00880CFB">
        <w:rPr>
          <w:rFonts w:ascii="Arial" w:hAnsi="Arial" w:cs="Arial"/>
          <w:sz w:val="22"/>
          <w:szCs w:val="22"/>
        </w:rPr>
        <w:t>ndertaken</w:t>
      </w:r>
      <w:r w:rsidR="00D873D2">
        <w:rPr>
          <w:rFonts w:ascii="Arial" w:hAnsi="Arial" w:cs="Arial"/>
          <w:sz w:val="22"/>
          <w:szCs w:val="22"/>
        </w:rPr>
        <w:t xml:space="preserve">. </w:t>
      </w:r>
      <w:r w:rsidR="00DF24B6" w:rsidRPr="005E6149">
        <w:rPr>
          <w:rFonts w:ascii="Arial" w:hAnsi="Arial" w:cs="Arial"/>
          <w:sz w:val="22"/>
          <w:szCs w:val="22"/>
        </w:rPr>
        <w:t>Restricting the analyses to the 90 AR</w:t>
      </w:r>
      <w:r w:rsidR="00A117FC">
        <w:rPr>
          <w:rFonts w:ascii="Arial" w:hAnsi="Arial" w:cs="Arial"/>
          <w:sz w:val="22"/>
          <w:szCs w:val="22"/>
        </w:rPr>
        <w:noBreakHyphen/>
      </w:r>
      <w:r w:rsidR="00DF24B6" w:rsidRPr="005E6149">
        <w:rPr>
          <w:rFonts w:ascii="Arial" w:hAnsi="Arial" w:cs="Arial"/>
          <w:sz w:val="22"/>
          <w:szCs w:val="22"/>
        </w:rPr>
        <w:t>DRG</w:t>
      </w:r>
      <w:r w:rsidR="00A117FC">
        <w:rPr>
          <w:rFonts w:ascii="Arial" w:hAnsi="Arial" w:cs="Arial"/>
          <w:sz w:val="22"/>
          <w:szCs w:val="22"/>
        </w:rPr>
        <w:t>s</w:t>
      </w:r>
      <w:r w:rsidR="00DF24B6" w:rsidRPr="005E6149">
        <w:rPr>
          <w:rFonts w:ascii="Arial" w:hAnsi="Arial" w:cs="Arial"/>
          <w:sz w:val="22"/>
          <w:szCs w:val="22"/>
        </w:rPr>
        <w:t xml:space="preserve"> where a statistical cost difference was established </w:t>
      </w:r>
      <w:r w:rsidR="00C47C49" w:rsidRPr="00C61F09">
        <w:rPr>
          <w:rFonts w:ascii="Arial" w:hAnsi="Arial" w:cs="Arial"/>
          <w:sz w:val="22"/>
          <w:szCs w:val="22"/>
        </w:rPr>
        <w:t>it</w:t>
      </w:r>
      <w:r w:rsidR="00BC5D83">
        <w:rPr>
          <w:rFonts w:ascii="Arial" w:hAnsi="Arial" w:cs="Arial"/>
          <w:sz w:val="22"/>
          <w:szCs w:val="22"/>
        </w:rPr>
        <w:t xml:space="preserve"> was identified that it</w:t>
      </w:r>
      <w:r w:rsidR="00C47C49" w:rsidRPr="00C61F09">
        <w:rPr>
          <w:rFonts w:ascii="Arial" w:hAnsi="Arial" w:cs="Arial"/>
          <w:sz w:val="22"/>
          <w:szCs w:val="22"/>
        </w:rPr>
        <w:t xml:space="preserve"> costs </w:t>
      </w:r>
      <w:r w:rsidR="0051616D" w:rsidRPr="00C61F09">
        <w:rPr>
          <w:rFonts w:ascii="Arial" w:hAnsi="Arial" w:cs="Arial"/>
          <w:sz w:val="22"/>
          <w:szCs w:val="22"/>
        </w:rPr>
        <w:t>19</w:t>
      </w:r>
      <w:r w:rsidR="00DF24B6" w:rsidRPr="00C61F09">
        <w:rPr>
          <w:rFonts w:ascii="Arial" w:hAnsi="Arial" w:cs="Arial"/>
          <w:sz w:val="22"/>
          <w:szCs w:val="22"/>
        </w:rPr>
        <w:t>%</w:t>
      </w:r>
      <w:r w:rsidR="00587E19">
        <w:rPr>
          <w:rFonts w:ascii="Arial" w:hAnsi="Arial" w:cs="Arial"/>
          <w:sz w:val="22"/>
          <w:szCs w:val="22"/>
        </w:rPr>
        <w:t xml:space="preserve"> more</w:t>
      </w:r>
      <w:r w:rsidR="00DF24B6" w:rsidRPr="00C61F09">
        <w:rPr>
          <w:rFonts w:ascii="Arial" w:hAnsi="Arial" w:cs="Arial"/>
          <w:sz w:val="22"/>
          <w:szCs w:val="22"/>
        </w:rPr>
        <w:t xml:space="preserve"> </w:t>
      </w:r>
      <w:r w:rsidR="00C47C49" w:rsidRPr="00C61F09">
        <w:rPr>
          <w:rFonts w:ascii="Arial" w:hAnsi="Arial" w:cs="Arial"/>
          <w:sz w:val="22"/>
          <w:szCs w:val="22"/>
        </w:rPr>
        <w:t>on average</w:t>
      </w:r>
      <w:r w:rsidR="00DF24B6" w:rsidRPr="00C61F09">
        <w:rPr>
          <w:rFonts w:ascii="Arial" w:hAnsi="Arial" w:cs="Arial"/>
          <w:sz w:val="22"/>
          <w:szCs w:val="22"/>
        </w:rPr>
        <w:t xml:space="preserve"> to treat Indigenous patients than </w:t>
      </w:r>
      <w:r w:rsidR="007A097D">
        <w:rPr>
          <w:rFonts w:ascii="Arial" w:hAnsi="Arial" w:cs="Arial"/>
          <w:sz w:val="22"/>
          <w:szCs w:val="22"/>
        </w:rPr>
        <w:t>Non-Indigenous</w:t>
      </w:r>
      <w:r w:rsidR="00DF24B6" w:rsidRPr="00C61F09">
        <w:rPr>
          <w:rFonts w:ascii="Arial" w:hAnsi="Arial" w:cs="Arial"/>
          <w:sz w:val="22"/>
          <w:szCs w:val="22"/>
        </w:rPr>
        <w:t xml:space="preserve"> patients </w:t>
      </w:r>
      <w:r w:rsidR="00880CFB">
        <w:rPr>
          <w:rFonts w:ascii="Arial" w:hAnsi="Arial" w:cs="Arial"/>
          <w:sz w:val="22"/>
          <w:szCs w:val="22"/>
        </w:rPr>
        <w:t>based on Round 17 data</w:t>
      </w:r>
      <w:r w:rsidR="00084FFE" w:rsidRPr="00C61F09">
        <w:rPr>
          <w:rFonts w:ascii="Arial" w:hAnsi="Arial" w:cs="Arial"/>
          <w:sz w:val="22"/>
          <w:szCs w:val="22"/>
        </w:rPr>
        <w:t>.</w:t>
      </w:r>
    </w:p>
    <w:p w:rsidR="00BC5D83" w:rsidRDefault="00117606" w:rsidP="00DF24B6">
      <w:pPr>
        <w:spacing w:before="120" w:after="120"/>
        <w:rPr>
          <w:rFonts w:ascii="Arial" w:hAnsi="Arial" w:cs="Arial"/>
          <w:sz w:val="22"/>
          <w:szCs w:val="22"/>
        </w:rPr>
      </w:pPr>
      <w:r w:rsidRPr="005E6149">
        <w:rPr>
          <w:rFonts w:ascii="Arial" w:hAnsi="Arial" w:cs="Arial"/>
          <w:sz w:val="22"/>
          <w:szCs w:val="22"/>
        </w:rPr>
        <w:t xml:space="preserve">It should be noted that these percentages have also included those AR-DRGs where there was a statistical difference in the cost profiles indicating that the Indigenous patients were </w:t>
      </w:r>
      <w:r w:rsidR="00C47C49" w:rsidRPr="005E6149">
        <w:rPr>
          <w:rFonts w:ascii="Arial" w:hAnsi="Arial" w:cs="Arial"/>
          <w:b/>
          <w:i/>
          <w:sz w:val="22"/>
          <w:szCs w:val="22"/>
        </w:rPr>
        <w:t xml:space="preserve">less </w:t>
      </w:r>
      <w:r w:rsidRPr="005E6149">
        <w:rPr>
          <w:rFonts w:ascii="Arial" w:hAnsi="Arial" w:cs="Arial"/>
          <w:sz w:val="22"/>
          <w:szCs w:val="22"/>
        </w:rPr>
        <w:t xml:space="preserve">expensive than the </w:t>
      </w:r>
      <w:r w:rsidR="007A097D">
        <w:rPr>
          <w:rFonts w:ascii="Arial" w:hAnsi="Arial" w:cs="Arial"/>
          <w:sz w:val="22"/>
          <w:szCs w:val="22"/>
        </w:rPr>
        <w:t>Non-Indigenous</w:t>
      </w:r>
      <w:r w:rsidR="002832AC" w:rsidRPr="005E6149">
        <w:rPr>
          <w:rFonts w:ascii="Arial" w:hAnsi="Arial" w:cs="Arial"/>
          <w:sz w:val="22"/>
          <w:szCs w:val="22"/>
        </w:rPr>
        <w:t xml:space="preserve"> patients</w:t>
      </w:r>
      <w:r w:rsidR="00BC5D83">
        <w:rPr>
          <w:rFonts w:ascii="Arial" w:hAnsi="Arial" w:cs="Arial"/>
          <w:sz w:val="22"/>
          <w:szCs w:val="22"/>
        </w:rPr>
        <w:t>.</w:t>
      </w:r>
    </w:p>
    <w:p w:rsidR="00FB175E" w:rsidRPr="005E6149" w:rsidRDefault="000E3966" w:rsidP="00DF24B6">
      <w:pPr>
        <w:spacing w:before="120" w:after="120"/>
        <w:rPr>
          <w:rFonts w:ascii="Arial" w:hAnsi="Arial" w:cs="Arial"/>
          <w:sz w:val="22"/>
          <w:szCs w:val="22"/>
        </w:rPr>
      </w:pPr>
      <w:r w:rsidRPr="005E6149">
        <w:rPr>
          <w:rFonts w:ascii="Arial" w:hAnsi="Arial" w:cs="Arial"/>
          <w:sz w:val="22"/>
          <w:szCs w:val="22"/>
        </w:rPr>
        <w:t>From</w:t>
      </w:r>
      <w:r w:rsidR="00DF24B6" w:rsidRPr="005E6149">
        <w:rPr>
          <w:rFonts w:ascii="Arial" w:hAnsi="Arial" w:cs="Arial"/>
          <w:sz w:val="22"/>
          <w:szCs w:val="22"/>
        </w:rPr>
        <w:t xml:space="preserve"> a funding perspective</w:t>
      </w:r>
      <w:r w:rsidRPr="005E6149">
        <w:rPr>
          <w:rFonts w:ascii="Arial" w:hAnsi="Arial" w:cs="Arial"/>
          <w:sz w:val="22"/>
          <w:szCs w:val="22"/>
        </w:rPr>
        <w:t xml:space="preserve"> however</w:t>
      </w:r>
      <w:r w:rsidR="00DF24B6" w:rsidRPr="005E6149">
        <w:rPr>
          <w:rFonts w:ascii="Arial" w:hAnsi="Arial" w:cs="Arial"/>
          <w:sz w:val="22"/>
          <w:szCs w:val="22"/>
        </w:rPr>
        <w:t>,</w:t>
      </w:r>
      <w:r w:rsidRPr="005E6149">
        <w:rPr>
          <w:rFonts w:ascii="Arial" w:hAnsi="Arial" w:cs="Arial"/>
          <w:sz w:val="22"/>
          <w:szCs w:val="22"/>
        </w:rPr>
        <w:t xml:space="preserve"> it is unlikely that differential loadings will be provided for subsets of AR-DRGs or other patient classes</w:t>
      </w:r>
      <w:r w:rsidR="00D873D2">
        <w:rPr>
          <w:rFonts w:ascii="Arial" w:hAnsi="Arial" w:cs="Arial"/>
          <w:sz w:val="22"/>
          <w:szCs w:val="22"/>
        </w:rPr>
        <w:t xml:space="preserve">. </w:t>
      </w:r>
      <w:r w:rsidRPr="005E6149">
        <w:rPr>
          <w:rFonts w:ascii="Arial" w:hAnsi="Arial" w:cs="Arial"/>
          <w:sz w:val="22"/>
          <w:szCs w:val="22"/>
        </w:rPr>
        <w:t>A</w:t>
      </w:r>
      <w:r w:rsidR="00DF24B6" w:rsidRPr="005E6149">
        <w:rPr>
          <w:rFonts w:ascii="Arial" w:hAnsi="Arial" w:cs="Arial"/>
          <w:sz w:val="22"/>
          <w:szCs w:val="22"/>
        </w:rPr>
        <w:t xml:space="preserve"> single </w:t>
      </w:r>
      <w:r w:rsidRPr="005E6149">
        <w:rPr>
          <w:rFonts w:ascii="Arial" w:hAnsi="Arial" w:cs="Arial"/>
          <w:sz w:val="22"/>
          <w:szCs w:val="22"/>
        </w:rPr>
        <w:t xml:space="preserve">index or loading factor </w:t>
      </w:r>
      <w:r w:rsidR="00DF24B6" w:rsidRPr="005E6149">
        <w:rPr>
          <w:rFonts w:ascii="Arial" w:hAnsi="Arial" w:cs="Arial"/>
          <w:sz w:val="22"/>
          <w:szCs w:val="22"/>
        </w:rPr>
        <w:t>is preferred within a specific service stream</w:t>
      </w:r>
      <w:r w:rsidR="00D873D2">
        <w:rPr>
          <w:rFonts w:ascii="Arial" w:hAnsi="Arial" w:cs="Arial"/>
          <w:sz w:val="22"/>
          <w:szCs w:val="22"/>
        </w:rPr>
        <w:t xml:space="preserve">. </w:t>
      </w:r>
      <w:r w:rsidR="00DF24B6" w:rsidRPr="005E6149">
        <w:rPr>
          <w:rFonts w:ascii="Arial" w:hAnsi="Arial" w:cs="Arial"/>
          <w:sz w:val="22"/>
          <w:szCs w:val="22"/>
        </w:rPr>
        <w:t>For example, a single weighting could be applied to all Indigenous patients admitted on a same-day basis</w:t>
      </w:r>
      <w:r w:rsidR="00D873D2">
        <w:rPr>
          <w:rFonts w:ascii="Arial" w:hAnsi="Arial" w:cs="Arial"/>
          <w:sz w:val="22"/>
          <w:szCs w:val="22"/>
        </w:rPr>
        <w:t xml:space="preserve">. </w:t>
      </w:r>
      <w:r w:rsidR="00DF24B6" w:rsidRPr="005E6149">
        <w:rPr>
          <w:rFonts w:ascii="Arial" w:hAnsi="Arial" w:cs="Arial"/>
          <w:sz w:val="22"/>
          <w:szCs w:val="22"/>
        </w:rPr>
        <w:t xml:space="preserve">Thus the results </w:t>
      </w:r>
      <w:r w:rsidR="00FB175E" w:rsidRPr="005E6149">
        <w:rPr>
          <w:rFonts w:ascii="Arial" w:hAnsi="Arial" w:cs="Arial"/>
          <w:sz w:val="22"/>
          <w:szCs w:val="22"/>
        </w:rPr>
        <w:t xml:space="preserve">need to be </w:t>
      </w:r>
      <w:r w:rsidRPr="005E6149">
        <w:rPr>
          <w:rFonts w:ascii="Arial" w:hAnsi="Arial" w:cs="Arial"/>
          <w:sz w:val="22"/>
          <w:szCs w:val="22"/>
        </w:rPr>
        <w:t>considered within the whole of same-day activity profile.</w:t>
      </w:r>
      <w:r w:rsidR="00FB175E" w:rsidRPr="005E6149">
        <w:rPr>
          <w:rFonts w:ascii="Arial" w:hAnsi="Arial" w:cs="Arial"/>
          <w:sz w:val="22"/>
          <w:szCs w:val="22"/>
        </w:rPr>
        <w:t xml:space="preserve"> </w:t>
      </w:r>
    </w:p>
    <w:p w:rsidR="000E3966" w:rsidRDefault="00857EBE" w:rsidP="00E86862">
      <w:pPr>
        <w:pStyle w:val="ListParagraph"/>
        <w:numPr>
          <w:ilvl w:val="0"/>
          <w:numId w:val="29"/>
        </w:numPr>
        <w:spacing w:before="120" w:after="120"/>
        <w:rPr>
          <w:rFonts w:ascii="Arial" w:hAnsi="Arial" w:cs="Arial"/>
          <w:sz w:val="22"/>
          <w:szCs w:val="22"/>
        </w:rPr>
      </w:pPr>
      <w:r w:rsidRPr="005E6149">
        <w:rPr>
          <w:rFonts w:ascii="Arial" w:hAnsi="Arial" w:cs="Arial"/>
          <w:sz w:val="22"/>
          <w:szCs w:val="22"/>
        </w:rPr>
        <w:t xml:space="preserve">Rebasing the overall differences across all AR-DRGs with more than five separations resulted </w:t>
      </w:r>
      <w:r w:rsidR="00834AF0" w:rsidRPr="005E6149">
        <w:rPr>
          <w:rFonts w:ascii="Arial" w:hAnsi="Arial" w:cs="Arial"/>
          <w:sz w:val="22"/>
          <w:szCs w:val="22"/>
        </w:rPr>
        <w:t xml:space="preserve">costs </w:t>
      </w:r>
      <w:r w:rsidRPr="005E6149">
        <w:rPr>
          <w:rFonts w:ascii="Arial" w:hAnsi="Arial" w:cs="Arial"/>
          <w:sz w:val="22"/>
          <w:szCs w:val="22"/>
        </w:rPr>
        <w:t xml:space="preserve">5% </w:t>
      </w:r>
      <w:r w:rsidR="00834AF0" w:rsidRPr="005E6149">
        <w:rPr>
          <w:rFonts w:ascii="Arial" w:hAnsi="Arial" w:cs="Arial"/>
          <w:sz w:val="22"/>
          <w:szCs w:val="22"/>
        </w:rPr>
        <w:t>m</w:t>
      </w:r>
      <w:r w:rsidR="0065063B" w:rsidRPr="005E6149">
        <w:rPr>
          <w:rFonts w:ascii="Arial" w:hAnsi="Arial" w:cs="Arial"/>
          <w:sz w:val="22"/>
          <w:szCs w:val="22"/>
        </w:rPr>
        <w:t>o</w:t>
      </w:r>
      <w:r w:rsidR="00834AF0" w:rsidRPr="005E6149">
        <w:rPr>
          <w:rFonts w:ascii="Arial" w:hAnsi="Arial" w:cs="Arial"/>
          <w:sz w:val="22"/>
          <w:szCs w:val="22"/>
        </w:rPr>
        <w:t>re on average</w:t>
      </w:r>
      <w:r w:rsidRPr="005E6149">
        <w:rPr>
          <w:rFonts w:ascii="Arial" w:hAnsi="Arial" w:cs="Arial"/>
          <w:sz w:val="22"/>
          <w:szCs w:val="22"/>
        </w:rPr>
        <w:t xml:space="preserve"> to treat an Indigenous patient than a </w:t>
      </w:r>
      <w:r w:rsidR="007A097D">
        <w:rPr>
          <w:rFonts w:ascii="Arial" w:hAnsi="Arial" w:cs="Arial"/>
          <w:sz w:val="22"/>
          <w:szCs w:val="22"/>
        </w:rPr>
        <w:t>Non-Indigenous</w:t>
      </w:r>
      <w:r w:rsidRPr="005E6149">
        <w:rPr>
          <w:rFonts w:ascii="Arial" w:hAnsi="Arial" w:cs="Arial"/>
          <w:sz w:val="22"/>
          <w:szCs w:val="22"/>
        </w:rPr>
        <w:t xml:space="preserve"> patient being admitted on a same-day basis</w:t>
      </w:r>
      <w:r w:rsidR="00AB0F38" w:rsidRPr="005E6149">
        <w:rPr>
          <w:rFonts w:ascii="Arial" w:hAnsi="Arial" w:cs="Arial"/>
          <w:sz w:val="22"/>
          <w:szCs w:val="22"/>
        </w:rPr>
        <w:t>.</w:t>
      </w:r>
    </w:p>
    <w:p w:rsidR="001618CA" w:rsidRPr="005E6149" w:rsidRDefault="001618CA" w:rsidP="00091B70">
      <w:pPr>
        <w:pStyle w:val="Heading2"/>
        <w:rPr>
          <w:rFonts w:ascii="Arial" w:hAnsi="Arial" w:cs="Arial"/>
        </w:rPr>
      </w:pPr>
      <w:bookmarkStart w:id="41" w:name="_Toc278480621"/>
      <w:r w:rsidRPr="005E6149">
        <w:rPr>
          <w:rFonts w:ascii="Arial" w:hAnsi="Arial" w:cs="Arial"/>
        </w:rPr>
        <w:lastRenderedPageBreak/>
        <w:t>Data quality and trimming within the Overnight acute admitted datasets</w:t>
      </w:r>
      <w:bookmarkEnd w:id="41"/>
    </w:p>
    <w:p w:rsidR="009E3328" w:rsidRPr="005E6149" w:rsidRDefault="009E3328" w:rsidP="00A55197">
      <w:pPr>
        <w:spacing w:before="120" w:after="120"/>
        <w:rPr>
          <w:rFonts w:ascii="Arial" w:hAnsi="Arial" w:cs="Arial"/>
          <w:sz w:val="22"/>
          <w:szCs w:val="22"/>
        </w:rPr>
      </w:pPr>
      <w:r w:rsidRPr="005E6149">
        <w:rPr>
          <w:rFonts w:ascii="Arial" w:hAnsi="Arial" w:cs="Arial"/>
          <w:sz w:val="22"/>
          <w:szCs w:val="22"/>
        </w:rPr>
        <w:t>The following sections provide the more salient findings with respect to the cost differentials, viewing the data from an aggregate perspective, then at MDC level and finally at DRG level.</w:t>
      </w:r>
    </w:p>
    <w:p w:rsidR="000528B2" w:rsidRPr="005E6149" w:rsidRDefault="009D61B7" w:rsidP="00A55197">
      <w:pPr>
        <w:spacing w:before="120" w:after="120"/>
        <w:rPr>
          <w:rFonts w:ascii="Arial" w:hAnsi="Arial" w:cs="Arial"/>
          <w:sz w:val="22"/>
          <w:szCs w:val="22"/>
        </w:rPr>
      </w:pPr>
      <w:r w:rsidRPr="005E6149">
        <w:rPr>
          <w:rFonts w:ascii="Arial" w:hAnsi="Arial" w:cs="Arial"/>
          <w:sz w:val="22"/>
          <w:szCs w:val="22"/>
        </w:rPr>
        <w:t>Prior to the application of cost outlier trim points, the datasets were reviewed</w:t>
      </w:r>
      <w:r w:rsidR="00420794">
        <w:rPr>
          <w:rFonts w:ascii="Arial" w:hAnsi="Arial" w:cs="Arial"/>
          <w:sz w:val="22"/>
          <w:szCs w:val="22"/>
        </w:rPr>
        <w:t xml:space="preserve"> and t</w:t>
      </w:r>
      <w:r w:rsidR="003F1F61" w:rsidRPr="005E6149">
        <w:rPr>
          <w:rFonts w:ascii="Arial" w:hAnsi="Arial" w:cs="Arial"/>
          <w:sz w:val="22"/>
          <w:szCs w:val="22"/>
        </w:rPr>
        <w:t>he trimmed dataset, at an aggregate level, yielded cost distribution pr</w:t>
      </w:r>
      <w:r w:rsidR="00386C1C" w:rsidRPr="005E6149">
        <w:rPr>
          <w:rFonts w:ascii="Arial" w:hAnsi="Arial" w:cs="Arial"/>
          <w:sz w:val="22"/>
          <w:szCs w:val="22"/>
        </w:rPr>
        <w:t>ofiles as depicted in Table 5.</w:t>
      </w:r>
      <w:r w:rsidR="00880CFB">
        <w:rPr>
          <w:rFonts w:ascii="Arial" w:hAnsi="Arial" w:cs="Arial"/>
          <w:sz w:val="22"/>
          <w:szCs w:val="22"/>
        </w:rPr>
        <w:t>3</w:t>
      </w:r>
      <w:r w:rsidR="00E56BAB" w:rsidRPr="005E6149">
        <w:rPr>
          <w:rFonts w:ascii="Arial" w:hAnsi="Arial" w:cs="Arial"/>
          <w:sz w:val="22"/>
          <w:szCs w:val="22"/>
        </w:rPr>
        <w:t>.</w:t>
      </w:r>
    </w:p>
    <w:p w:rsidR="00B479D2" w:rsidRPr="005E6149" w:rsidRDefault="00B479D2" w:rsidP="00880CFB">
      <w:pPr>
        <w:pStyle w:val="TableCaption"/>
        <w:tabs>
          <w:tab w:val="left" w:pos="7088"/>
        </w:tabs>
        <w:spacing w:before="0" w:after="0"/>
        <w:rPr>
          <w:rFonts w:ascii="Arial" w:hAnsi="Arial" w:cs="Arial"/>
          <w:sz w:val="18"/>
          <w:szCs w:val="18"/>
        </w:rPr>
      </w:pPr>
      <w:bookmarkStart w:id="42" w:name="_Toc278480666"/>
      <w:r w:rsidRPr="005E6149">
        <w:rPr>
          <w:rFonts w:ascii="Arial" w:hAnsi="Arial" w:cs="Arial"/>
          <w:sz w:val="18"/>
          <w:szCs w:val="18"/>
        </w:rPr>
        <w:t>Tabl</w:t>
      </w:r>
      <w:r w:rsidR="00386C1C" w:rsidRPr="005E6149">
        <w:rPr>
          <w:rFonts w:ascii="Arial" w:hAnsi="Arial" w:cs="Arial"/>
          <w:sz w:val="18"/>
          <w:szCs w:val="18"/>
        </w:rPr>
        <w:t>e 5.</w:t>
      </w:r>
      <w:r w:rsidR="00880CFB">
        <w:rPr>
          <w:rFonts w:ascii="Arial" w:hAnsi="Arial" w:cs="Arial"/>
          <w:sz w:val="18"/>
          <w:szCs w:val="18"/>
        </w:rPr>
        <w:t xml:space="preserve">3: </w:t>
      </w:r>
      <w:r w:rsidRPr="005E6149">
        <w:rPr>
          <w:rFonts w:ascii="Arial" w:hAnsi="Arial" w:cs="Arial"/>
          <w:sz w:val="18"/>
          <w:szCs w:val="18"/>
        </w:rPr>
        <w:t xml:space="preserve">Overnight cost distributions – trimmed </w:t>
      </w:r>
      <w:r w:rsidR="00880CFB">
        <w:rPr>
          <w:rFonts w:ascii="Arial" w:hAnsi="Arial" w:cs="Arial"/>
          <w:sz w:val="18"/>
          <w:szCs w:val="18"/>
        </w:rPr>
        <w:t xml:space="preserve">NHCDC </w:t>
      </w:r>
      <w:r w:rsidRPr="005E6149">
        <w:rPr>
          <w:rFonts w:ascii="Arial" w:hAnsi="Arial" w:cs="Arial"/>
          <w:sz w:val="18"/>
          <w:szCs w:val="18"/>
        </w:rPr>
        <w:t xml:space="preserve">datasets for Round </w:t>
      </w:r>
      <w:proofErr w:type="gramStart"/>
      <w:r w:rsidRPr="005E6149">
        <w:rPr>
          <w:rFonts w:ascii="Arial" w:hAnsi="Arial" w:cs="Arial"/>
          <w:sz w:val="18"/>
          <w:szCs w:val="18"/>
        </w:rPr>
        <w:t>16  and</w:t>
      </w:r>
      <w:proofErr w:type="gramEnd"/>
      <w:r w:rsidRPr="005E6149">
        <w:rPr>
          <w:rFonts w:ascii="Arial" w:hAnsi="Arial" w:cs="Arial"/>
          <w:sz w:val="18"/>
          <w:szCs w:val="18"/>
        </w:rPr>
        <w:t xml:space="preserve"> Round 17 </w:t>
      </w:r>
      <w:bookmarkEnd w:id="42"/>
    </w:p>
    <w:tbl>
      <w:tblPr>
        <w:tblW w:w="8763" w:type="dxa"/>
        <w:tblInd w:w="93" w:type="dxa"/>
        <w:tblLook w:val="04A0" w:firstRow="1" w:lastRow="0" w:firstColumn="1" w:lastColumn="0" w:noHBand="0" w:noVBand="1"/>
        <w:tblCaption w:val="Table 5.3: Overnight cost distributions – trimmed NHCDC datasets for Round 16  and Round 17 "/>
      </w:tblPr>
      <w:tblGrid>
        <w:gridCol w:w="2107"/>
        <w:gridCol w:w="2061"/>
        <w:gridCol w:w="2184"/>
        <w:gridCol w:w="1339"/>
        <w:gridCol w:w="1072"/>
      </w:tblGrid>
      <w:tr w:rsidR="00154888" w:rsidRPr="005E6149" w:rsidTr="00C628C4">
        <w:trPr>
          <w:trHeight w:val="580"/>
        </w:trPr>
        <w:tc>
          <w:tcPr>
            <w:tcW w:w="2107" w:type="dxa"/>
            <w:tcBorders>
              <w:top w:val="single" w:sz="4" w:space="0" w:color="auto"/>
              <w:left w:val="single" w:sz="8" w:space="0" w:color="auto"/>
              <w:bottom w:val="single" w:sz="8" w:space="0" w:color="auto"/>
              <w:right w:val="single" w:sz="8" w:space="0" w:color="auto"/>
            </w:tcBorders>
            <w:shd w:val="clear" w:color="000000" w:fill="CCCCCC"/>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p>
        </w:tc>
        <w:tc>
          <w:tcPr>
            <w:tcW w:w="6656" w:type="dxa"/>
            <w:gridSpan w:val="4"/>
            <w:tcBorders>
              <w:top w:val="single" w:sz="4" w:space="0" w:color="auto"/>
              <w:left w:val="single" w:sz="8" w:space="0" w:color="auto"/>
              <w:bottom w:val="single" w:sz="8" w:space="0" w:color="auto"/>
              <w:right w:val="single" w:sz="8" w:space="0" w:color="auto"/>
            </w:tcBorders>
            <w:shd w:val="clear" w:color="000000" w:fill="CCCCCC"/>
            <w:vAlign w:val="center"/>
          </w:tcPr>
          <w:p w:rsidR="00154888" w:rsidRPr="00C628C4" w:rsidRDefault="00154888" w:rsidP="00154888">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Overnight Cases: Trimmed Dataset</w:t>
            </w:r>
          </w:p>
        </w:tc>
      </w:tr>
      <w:tr w:rsidR="00154888" w:rsidRPr="005E6149" w:rsidTr="00154888">
        <w:trPr>
          <w:trHeight w:val="580"/>
        </w:trPr>
        <w:tc>
          <w:tcPr>
            <w:tcW w:w="2107" w:type="dxa"/>
            <w:vMerge w:val="restart"/>
            <w:tcBorders>
              <w:top w:val="nil"/>
              <w:left w:val="single" w:sz="8" w:space="0" w:color="auto"/>
              <w:right w:val="single" w:sz="8" w:space="0" w:color="auto"/>
            </w:tcBorders>
            <w:shd w:val="clear" w:color="000000" w:fill="CCCCCC"/>
          </w:tcPr>
          <w:p w:rsidR="00154888" w:rsidRPr="00C628C4" w:rsidRDefault="00154888" w:rsidP="00154888">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Round 16 NHCDC (2011/12)</w:t>
            </w:r>
          </w:p>
        </w:tc>
        <w:tc>
          <w:tcPr>
            <w:tcW w:w="2061" w:type="dxa"/>
            <w:tcBorders>
              <w:top w:val="nil"/>
              <w:left w:val="single" w:sz="8" w:space="0" w:color="auto"/>
              <w:bottom w:val="single" w:sz="8" w:space="0" w:color="auto"/>
              <w:right w:val="single" w:sz="8" w:space="0" w:color="auto"/>
            </w:tcBorders>
            <w:shd w:val="clear" w:color="000000" w:fill="CCCCCC"/>
            <w:vAlign w:val="center"/>
            <w:hideMark/>
          </w:tcPr>
          <w:p w:rsidR="00154888" w:rsidRPr="00C628C4" w:rsidRDefault="00154888" w:rsidP="009D61B7">
            <w:pP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Indigenous Status</w:t>
            </w:r>
          </w:p>
        </w:tc>
        <w:tc>
          <w:tcPr>
            <w:tcW w:w="2184"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Number of Records</w:t>
            </w:r>
          </w:p>
        </w:tc>
        <w:tc>
          <w:tcPr>
            <w:tcW w:w="1339"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Mean Cost</w:t>
            </w:r>
          </w:p>
        </w:tc>
        <w:tc>
          <w:tcPr>
            <w:tcW w:w="1072"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proofErr w:type="spellStart"/>
            <w:r w:rsidRPr="00C628C4">
              <w:rPr>
                <w:rFonts w:asciiTheme="majorHAnsi" w:eastAsia="Times New Roman" w:hAnsiTheme="majorHAnsi" w:cs="Arial"/>
                <w:b/>
                <w:bCs/>
                <w:color w:val="000000" w:themeColor="text1"/>
                <w:sz w:val="20"/>
                <w:szCs w:val="20"/>
                <w:lang w:val="en-AU"/>
              </w:rPr>
              <w:t>Std</w:t>
            </w:r>
            <w:proofErr w:type="spellEnd"/>
            <w:r w:rsidRPr="00C628C4">
              <w:rPr>
                <w:rFonts w:asciiTheme="majorHAnsi" w:eastAsia="Times New Roman" w:hAnsiTheme="majorHAnsi" w:cs="Arial"/>
                <w:b/>
                <w:bCs/>
                <w:color w:val="000000" w:themeColor="text1"/>
                <w:sz w:val="20"/>
                <w:szCs w:val="20"/>
                <w:lang w:val="en-AU"/>
              </w:rPr>
              <w:t xml:space="preserve"> Dev</w:t>
            </w:r>
          </w:p>
        </w:tc>
      </w:tr>
      <w:tr w:rsidR="00154888" w:rsidRPr="005E6149" w:rsidTr="003955DE">
        <w:trPr>
          <w:trHeight w:val="320"/>
        </w:trPr>
        <w:tc>
          <w:tcPr>
            <w:tcW w:w="2107" w:type="dxa"/>
            <w:vMerge/>
            <w:tcBorders>
              <w:left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154888"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Indigenous</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52195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99,667</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A90A1F">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$7,592</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A90A1F">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$7,694</w:t>
            </w:r>
          </w:p>
        </w:tc>
      </w:tr>
      <w:tr w:rsidR="00154888" w:rsidRPr="005E6149" w:rsidTr="003955DE">
        <w:trPr>
          <w:trHeight w:val="320"/>
        </w:trPr>
        <w:tc>
          <w:tcPr>
            <w:tcW w:w="2107" w:type="dxa"/>
            <w:vMerge/>
            <w:tcBorders>
              <w:left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7A097D"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Non-Indigenous</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52195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1,981,144</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570149">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$6,928</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570149">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$7,699</w:t>
            </w:r>
          </w:p>
        </w:tc>
      </w:tr>
      <w:tr w:rsidR="00154888" w:rsidRPr="005E6149" w:rsidTr="00154888">
        <w:trPr>
          <w:trHeight w:val="320"/>
        </w:trPr>
        <w:tc>
          <w:tcPr>
            <w:tcW w:w="2107" w:type="dxa"/>
            <w:vMerge/>
            <w:tcBorders>
              <w:left w:val="single" w:sz="8" w:space="0" w:color="auto"/>
              <w:bottom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154888"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Total</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154888">
            <w:pPr>
              <w:jc w:val="right"/>
              <w:rPr>
                <w:rFonts w:asciiTheme="majorHAnsi" w:eastAsia="Times New Roman" w:hAnsiTheme="majorHAnsi" w:cs="Arial"/>
                <w:color w:val="000000"/>
                <w:sz w:val="20"/>
                <w:szCs w:val="20"/>
                <w:highlight w:val="green"/>
                <w:lang w:val="en-AU"/>
              </w:rPr>
            </w:pPr>
            <w:r w:rsidRPr="00C628C4">
              <w:rPr>
                <w:rFonts w:asciiTheme="majorHAnsi" w:eastAsia="Times New Roman" w:hAnsiTheme="majorHAnsi" w:cs="Arial"/>
                <w:color w:val="000000"/>
                <w:sz w:val="20"/>
                <w:szCs w:val="20"/>
                <w:lang w:val="en-AU"/>
              </w:rPr>
              <w:t>2,080,811</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570149">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$6,923</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570149">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$7,694</w:t>
            </w:r>
          </w:p>
        </w:tc>
      </w:tr>
      <w:tr w:rsidR="00154888" w:rsidRPr="005E6149" w:rsidTr="00154888">
        <w:trPr>
          <w:trHeight w:val="580"/>
        </w:trPr>
        <w:tc>
          <w:tcPr>
            <w:tcW w:w="2107" w:type="dxa"/>
            <w:vMerge w:val="restart"/>
            <w:tcBorders>
              <w:top w:val="nil"/>
              <w:left w:val="single" w:sz="8" w:space="0" w:color="auto"/>
              <w:right w:val="single" w:sz="8" w:space="0" w:color="auto"/>
            </w:tcBorders>
            <w:shd w:val="clear" w:color="000000" w:fill="CCCCCC"/>
          </w:tcPr>
          <w:p w:rsidR="00154888" w:rsidRPr="00C628C4" w:rsidRDefault="00154888" w:rsidP="00154888">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Round 17 NHCDC (2012/13)</w:t>
            </w:r>
          </w:p>
        </w:tc>
        <w:tc>
          <w:tcPr>
            <w:tcW w:w="2061" w:type="dxa"/>
            <w:tcBorders>
              <w:top w:val="nil"/>
              <w:left w:val="single" w:sz="8" w:space="0" w:color="auto"/>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Indigenous Status</w:t>
            </w:r>
          </w:p>
        </w:tc>
        <w:tc>
          <w:tcPr>
            <w:tcW w:w="2184"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Number of Records</w:t>
            </w:r>
          </w:p>
        </w:tc>
        <w:tc>
          <w:tcPr>
            <w:tcW w:w="1339"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Mean Cost</w:t>
            </w:r>
          </w:p>
        </w:tc>
        <w:tc>
          <w:tcPr>
            <w:tcW w:w="1072" w:type="dxa"/>
            <w:tcBorders>
              <w:top w:val="nil"/>
              <w:left w:val="nil"/>
              <w:bottom w:val="single" w:sz="8" w:space="0" w:color="auto"/>
              <w:right w:val="single" w:sz="8" w:space="0" w:color="auto"/>
            </w:tcBorders>
            <w:shd w:val="clear" w:color="000000" w:fill="CCCCCC"/>
            <w:hideMark/>
          </w:tcPr>
          <w:p w:rsidR="00154888" w:rsidRPr="00C628C4" w:rsidRDefault="00154888" w:rsidP="00B479D2">
            <w:pPr>
              <w:jc w:val="center"/>
              <w:rPr>
                <w:rFonts w:asciiTheme="majorHAnsi" w:eastAsia="Times New Roman" w:hAnsiTheme="majorHAnsi" w:cs="Arial"/>
                <w:b/>
                <w:bCs/>
                <w:color w:val="000000" w:themeColor="text1"/>
                <w:sz w:val="20"/>
                <w:szCs w:val="20"/>
                <w:lang w:val="en-AU"/>
              </w:rPr>
            </w:pPr>
            <w:proofErr w:type="spellStart"/>
            <w:r w:rsidRPr="00C628C4">
              <w:rPr>
                <w:rFonts w:asciiTheme="majorHAnsi" w:eastAsia="Times New Roman" w:hAnsiTheme="majorHAnsi" w:cs="Arial"/>
                <w:b/>
                <w:bCs/>
                <w:color w:val="000000" w:themeColor="text1"/>
                <w:sz w:val="20"/>
                <w:szCs w:val="20"/>
                <w:lang w:val="en-AU"/>
              </w:rPr>
              <w:t>Std</w:t>
            </w:r>
            <w:proofErr w:type="spellEnd"/>
            <w:r w:rsidRPr="00C628C4">
              <w:rPr>
                <w:rFonts w:asciiTheme="majorHAnsi" w:eastAsia="Times New Roman" w:hAnsiTheme="majorHAnsi" w:cs="Arial"/>
                <w:b/>
                <w:bCs/>
                <w:color w:val="000000" w:themeColor="text1"/>
                <w:sz w:val="20"/>
                <w:szCs w:val="20"/>
                <w:lang w:val="en-AU"/>
              </w:rPr>
              <w:t xml:space="preserve"> Dev</w:t>
            </w:r>
          </w:p>
        </w:tc>
      </w:tr>
      <w:tr w:rsidR="00154888" w:rsidRPr="005E6149" w:rsidTr="003955DE">
        <w:trPr>
          <w:trHeight w:val="320"/>
        </w:trPr>
        <w:tc>
          <w:tcPr>
            <w:tcW w:w="2107" w:type="dxa"/>
            <w:vMerge/>
            <w:tcBorders>
              <w:left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154888"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Indigenous</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E3688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101,703</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A90A1F">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$7,249</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A90A1F">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$7,552</w:t>
            </w:r>
          </w:p>
        </w:tc>
      </w:tr>
      <w:tr w:rsidR="00154888" w:rsidRPr="005E6149" w:rsidTr="003955DE">
        <w:trPr>
          <w:trHeight w:val="320"/>
        </w:trPr>
        <w:tc>
          <w:tcPr>
            <w:tcW w:w="2107" w:type="dxa"/>
            <w:vMerge/>
            <w:tcBorders>
              <w:left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7A097D"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Non-Indigenous</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E3688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1,944,304</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9822B0">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$7,321</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9822B0">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$7,472</w:t>
            </w:r>
          </w:p>
        </w:tc>
      </w:tr>
      <w:tr w:rsidR="00154888" w:rsidRPr="005E6149" w:rsidTr="00154888">
        <w:trPr>
          <w:trHeight w:val="320"/>
        </w:trPr>
        <w:tc>
          <w:tcPr>
            <w:tcW w:w="2107" w:type="dxa"/>
            <w:vMerge/>
            <w:tcBorders>
              <w:left w:val="single" w:sz="8" w:space="0" w:color="auto"/>
              <w:bottom w:val="single" w:sz="8" w:space="0" w:color="auto"/>
              <w:right w:val="single" w:sz="8" w:space="0" w:color="auto"/>
            </w:tcBorders>
          </w:tcPr>
          <w:p w:rsidR="00154888" w:rsidRPr="00C628C4" w:rsidRDefault="00154888" w:rsidP="009D61B7">
            <w:pPr>
              <w:rPr>
                <w:rFonts w:asciiTheme="majorHAnsi" w:eastAsia="Times New Roman" w:hAnsiTheme="majorHAnsi" w:cs="Arial"/>
                <w:color w:val="000000"/>
                <w:sz w:val="20"/>
                <w:szCs w:val="20"/>
                <w:lang w:val="en-AU"/>
              </w:rPr>
            </w:pPr>
          </w:p>
        </w:tc>
        <w:tc>
          <w:tcPr>
            <w:tcW w:w="2061" w:type="dxa"/>
            <w:tcBorders>
              <w:top w:val="nil"/>
              <w:left w:val="single" w:sz="8" w:space="0" w:color="auto"/>
              <w:bottom w:val="single" w:sz="8" w:space="0" w:color="auto"/>
              <w:right w:val="single" w:sz="8" w:space="0" w:color="auto"/>
            </w:tcBorders>
            <w:shd w:val="clear" w:color="auto" w:fill="auto"/>
            <w:noWrap/>
            <w:vAlign w:val="center"/>
            <w:hideMark/>
          </w:tcPr>
          <w:p w:rsidR="00154888" w:rsidRPr="00C628C4" w:rsidRDefault="00154888" w:rsidP="009D61B7">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Total</w:t>
            </w:r>
          </w:p>
        </w:tc>
        <w:tc>
          <w:tcPr>
            <w:tcW w:w="2184" w:type="dxa"/>
            <w:tcBorders>
              <w:top w:val="nil"/>
              <w:left w:val="nil"/>
              <w:bottom w:val="single" w:sz="8" w:space="0" w:color="auto"/>
              <w:right w:val="single" w:sz="8" w:space="0" w:color="auto"/>
            </w:tcBorders>
            <w:shd w:val="clear" w:color="auto" w:fill="auto"/>
            <w:noWrap/>
            <w:vAlign w:val="center"/>
          </w:tcPr>
          <w:p w:rsidR="00154888" w:rsidRPr="00C628C4" w:rsidRDefault="00154888" w:rsidP="0015488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2,046,007</w:t>
            </w:r>
          </w:p>
        </w:tc>
        <w:tc>
          <w:tcPr>
            <w:tcW w:w="1339" w:type="dxa"/>
            <w:tcBorders>
              <w:top w:val="nil"/>
              <w:left w:val="nil"/>
              <w:bottom w:val="single" w:sz="8" w:space="0" w:color="auto"/>
              <w:right w:val="single" w:sz="8" w:space="0" w:color="auto"/>
            </w:tcBorders>
            <w:shd w:val="clear" w:color="auto" w:fill="auto"/>
            <w:noWrap/>
            <w:vAlign w:val="center"/>
          </w:tcPr>
          <w:p w:rsidR="00154888" w:rsidRPr="00C628C4" w:rsidRDefault="00154888" w:rsidP="009822B0">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$7,317</w:t>
            </w:r>
          </w:p>
        </w:tc>
        <w:tc>
          <w:tcPr>
            <w:tcW w:w="1072" w:type="dxa"/>
            <w:tcBorders>
              <w:top w:val="nil"/>
              <w:left w:val="nil"/>
              <w:bottom w:val="single" w:sz="8" w:space="0" w:color="auto"/>
              <w:right w:val="single" w:sz="8" w:space="0" w:color="auto"/>
            </w:tcBorders>
            <w:shd w:val="clear" w:color="auto" w:fill="auto"/>
            <w:noWrap/>
            <w:vAlign w:val="center"/>
          </w:tcPr>
          <w:p w:rsidR="00154888" w:rsidRPr="00C628C4" w:rsidRDefault="00154888" w:rsidP="009822B0">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$7,476</w:t>
            </w:r>
          </w:p>
        </w:tc>
      </w:tr>
    </w:tbl>
    <w:p w:rsidR="00873A06" w:rsidRDefault="002217A6" w:rsidP="002217A6">
      <w:pPr>
        <w:spacing w:before="120" w:after="120"/>
        <w:rPr>
          <w:rFonts w:ascii="Arial" w:hAnsi="Arial" w:cs="Arial"/>
          <w:sz w:val="22"/>
          <w:szCs w:val="22"/>
        </w:rPr>
      </w:pPr>
      <w:r w:rsidRPr="005E6149">
        <w:rPr>
          <w:rFonts w:ascii="Arial" w:hAnsi="Arial" w:cs="Arial"/>
          <w:sz w:val="22"/>
          <w:szCs w:val="22"/>
        </w:rPr>
        <w:t xml:space="preserve">The number of records that were trimmed from the respective datasets suggests that there is a need to either develop a data quality checklist or update existing </w:t>
      </w:r>
      <w:proofErr w:type="gramStart"/>
      <w:r w:rsidRPr="005E6149">
        <w:rPr>
          <w:rFonts w:ascii="Arial" w:hAnsi="Arial" w:cs="Arial"/>
          <w:sz w:val="22"/>
          <w:szCs w:val="22"/>
        </w:rPr>
        <w:t>hospital,</w:t>
      </w:r>
      <w:proofErr w:type="gramEnd"/>
      <w:r w:rsidRPr="005E6149">
        <w:rPr>
          <w:rFonts w:ascii="Arial" w:hAnsi="Arial" w:cs="Arial"/>
          <w:sz w:val="22"/>
          <w:szCs w:val="22"/>
        </w:rPr>
        <w:t xml:space="preserve"> jurisdiction and IHPA based d</w:t>
      </w:r>
      <w:r w:rsidR="00B3207B" w:rsidRPr="005E6149">
        <w:rPr>
          <w:rFonts w:ascii="Arial" w:hAnsi="Arial" w:cs="Arial"/>
          <w:sz w:val="22"/>
          <w:szCs w:val="22"/>
        </w:rPr>
        <w:t xml:space="preserve">ata quality checks and editing </w:t>
      </w:r>
      <w:r w:rsidRPr="005E6149">
        <w:rPr>
          <w:rFonts w:ascii="Arial" w:hAnsi="Arial" w:cs="Arial"/>
          <w:sz w:val="22"/>
          <w:szCs w:val="22"/>
        </w:rPr>
        <w:t>processes</w:t>
      </w:r>
      <w:r w:rsidR="00D873D2">
        <w:rPr>
          <w:rFonts w:ascii="Arial" w:hAnsi="Arial" w:cs="Arial"/>
          <w:sz w:val="22"/>
          <w:szCs w:val="22"/>
        </w:rPr>
        <w:t xml:space="preserve">. </w:t>
      </w:r>
    </w:p>
    <w:p w:rsidR="00776559" w:rsidRPr="005E6149" w:rsidRDefault="00386C1C" w:rsidP="00776559">
      <w:pPr>
        <w:spacing w:before="120" w:after="120"/>
        <w:rPr>
          <w:rFonts w:ascii="Arial" w:hAnsi="Arial" w:cs="Arial"/>
          <w:sz w:val="22"/>
          <w:szCs w:val="22"/>
        </w:rPr>
      </w:pPr>
      <w:r w:rsidRPr="005E6149">
        <w:rPr>
          <w:rFonts w:ascii="Arial" w:hAnsi="Arial" w:cs="Arial"/>
          <w:sz w:val="22"/>
          <w:szCs w:val="22"/>
        </w:rPr>
        <w:t>Figure 5.</w:t>
      </w:r>
      <w:r w:rsidR="00880CFB">
        <w:rPr>
          <w:rFonts w:ascii="Arial" w:hAnsi="Arial" w:cs="Arial"/>
          <w:sz w:val="22"/>
          <w:szCs w:val="22"/>
        </w:rPr>
        <w:t>2</w:t>
      </w:r>
      <w:r w:rsidR="00776559" w:rsidRPr="005E6149">
        <w:rPr>
          <w:rFonts w:ascii="Arial" w:hAnsi="Arial" w:cs="Arial"/>
          <w:sz w:val="22"/>
          <w:szCs w:val="22"/>
        </w:rPr>
        <w:t xml:space="preserve"> depicts the cost distribution for the two patient cohorts from the Round 17 NHCDC dataset for overnight acute admitted patients</w:t>
      </w:r>
      <w:r w:rsidR="00D873D2">
        <w:rPr>
          <w:rFonts w:ascii="Arial" w:hAnsi="Arial" w:cs="Arial"/>
          <w:sz w:val="22"/>
          <w:szCs w:val="22"/>
        </w:rPr>
        <w:t xml:space="preserve">. </w:t>
      </w:r>
      <w:r w:rsidR="00776559" w:rsidRPr="005E6149">
        <w:rPr>
          <w:rFonts w:ascii="Arial" w:hAnsi="Arial" w:cs="Arial"/>
          <w:sz w:val="22"/>
          <w:szCs w:val="22"/>
        </w:rPr>
        <w:t xml:space="preserve">It shows marginal differences in the distribution patterns and suggests there is no difference in the cost profiles </w:t>
      </w:r>
      <w:r w:rsidRPr="005E6149">
        <w:rPr>
          <w:rFonts w:ascii="Arial" w:hAnsi="Arial" w:cs="Arial"/>
          <w:sz w:val="22"/>
          <w:szCs w:val="22"/>
        </w:rPr>
        <w:t>between the two patient cohorts</w:t>
      </w:r>
      <w:r w:rsidR="00776559" w:rsidRPr="005E6149">
        <w:rPr>
          <w:rFonts w:ascii="Arial" w:hAnsi="Arial" w:cs="Arial"/>
          <w:sz w:val="22"/>
          <w:szCs w:val="22"/>
        </w:rPr>
        <w:t>.</w:t>
      </w:r>
    </w:p>
    <w:p w:rsidR="00776559" w:rsidRPr="005E6149" w:rsidRDefault="00386C1C" w:rsidP="00776559">
      <w:pPr>
        <w:pStyle w:val="FigureCaption"/>
        <w:rPr>
          <w:rFonts w:ascii="Arial" w:hAnsi="Arial" w:cs="Arial"/>
          <w:sz w:val="18"/>
          <w:szCs w:val="18"/>
        </w:rPr>
      </w:pPr>
      <w:bookmarkStart w:id="43" w:name="_Toc278480702"/>
      <w:r w:rsidRPr="005E6149">
        <w:rPr>
          <w:rFonts w:ascii="Arial" w:hAnsi="Arial" w:cs="Arial"/>
          <w:sz w:val="18"/>
          <w:szCs w:val="18"/>
        </w:rPr>
        <w:lastRenderedPageBreak/>
        <w:t>Figure 5.</w:t>
      </w:r>
      <w:r w:rsidR="005E5750">
        <w:rPr>
          <w:rFonts w:ascii="Arial" w:hAnsi="Arial" w:cs="Arial"/>
          <w:sz w:val="18"/>
          <w:szCs w:val="18"/>
        </w:rPr>
        <w:t>2</w:t>
      </w:r>
      <w:r w:rsidR="00776559" w:rsidRPr="005E6149">
        <w:rPr>
          <w:rFonts w:ascii="Arial" w:hAnsi="Arial" w:cs="Arial"/>
          <w:sz w:val="18"/>
          <w:szCs w:val="18"/>
        </w:rPr>
        <w:t xml:space="preserve"> Cost distribution overnight acute admitted trimmed dataset Round 17 NHCDC - Indigenous and </w:t>
      </w:r>
      <w:r w:rsidR="007A097D">
        <w:rPr>
          <w:rFonts w:ascii="Arial" w:hAnsi="Arial" w:cs="Arial"/>
          <w:sz w:val="18"/>
          <w:szCs w:val="18"/>
        </w:rPr>
        <w:t>Non-Indigenous</w:t>
      </w:r>
      <w:r w:rsidR="00776559" w:rsidRPr="005E6149">
        <w:rPr>
          <w:rFonts w:ascii="Arial" w:hAnsi="Arial" w:cs="Arial"/>
          <w:sz w:val="18"/>
          <w:szCs w:val="18"/>
        </w:rPr>
        <w:t xml:space="preserve"> patient cohorts</w:t>
      </w:r>
      <w:bookmarkEnd w:id="43"/>
    </w:p>
    <w:p w:rsidR="00776559" w:rsidRPr="005E6149" w:rsidRDefault="00776559" w:rsidP="00776559">
      <w:pPr>
        <w:jc w:val="center"/>
        <w:rPr>
          <w:rFonts w:ascii="Arial" w:hAnsi="Arial" w:cs="Arial"/>
          <w:sz w:val="22"/>
          <w:szCs w:val="22"/>
        </w:rPr>
      </w:pPr>
      <w:r w:rsidRPr="005E6149">
        <w:rPr>
          <w:rFonts w:ascii="Arial" w:hAnsi="Arial" w:cs="Arial"/>
          <w:noProof/>
          <w:sz w:val="22"/>
          <w:szCs w:val="22"/>
          <w:lang w:val="en-AU" w:eastAsia="en-AU"/>
        </w:rPr>
        <w:drawing>
          <wp:inline distT="0" distB="0" distL="0" distR="0" wp14:anchorId="0A485D3F" wp14:editId="152DE4D3">
            <wp:extent cx="4228114" cy="3185866"/>
            <wp:effectExtent l="0" t="0" r="1270" b="0"/>
            <wp:docPr id="42" name="Picture 42" title="Figure 5.2 Cost distribution overnight acute admitted trimmed dataset Round 17 NHCDC - Indigenous and Non-Indigenous patient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999" cy="3186533"/>
                    </a:xfrm>
                    <a:prstGeom prst="rect">
                      <a:avLst/>
                    </a:prstGeom>
                    <a:noFill/>
                    <a:ln>
                      <a:noFill/>
                    </a:ln>
                  </pic:spPr>
                </pic:pic>
              </a:graphicData>
            </a:graphic>
          </wp:inline>
        </w:drawing>
      </w:r>
    </w:p>
    <w:p w:rsidR="00A96066" w:rsidRPr="005E6149" w:rsidRDefault="00A96066" w:rsidP="00A96066">
      <w:pPr>
        <w:spacing w:before="120" w:after="120"/>
        <w:rPr>
          <w:rFonts w:ascii="Arial" w:hAnsi="Arial" w:cs="Arial"/>
          <w:sz w:val="22"/>
          <w:szCs w:val="22"/>
        </w:rPr>
      </w:pPr>
      <w:r w:rsidRPr="005E6149">
        <w:rPr>
          <w:rFonts w:ascii="Arial" w:hAnsi="Arial" w:cs="Arial"/>
          <w:sz w:val="22"/>
          <w:szCs w:val="22"/>
        </w:rPr>
        <w:t>Based upon the data</w:t>
      </w:r>
      <w:r w:rsidR="00776559" w:rsidRPr="005E6149">
        <w:rPr>
          <w:rFonts w:ascii="Arial" w:hAnsi="Arial" w:cs="Arial"/>
          <w:sz w:val="22"/>
          <w:szCs w:val="22"/>
        </w:rPr>
        <w:t xml:space="preserve"> prese</w:t>
      </w:r>
      <w:r w:rsidR="005E5750">
        <w:rPr>
          <w:rFonts w:ascii="Arial" w:hAnsi="Arial" w:cs="Arial"/>
          <w:sz w:val="22"/>
          <w:szCs w:val="22"/>
        </w:rPr>
        <w:t>nted in</w:t>
      </w:r>
      <w:r w:rsidRPr="005E6149">
        <w:rPr>
          <w:rFonts w:ascii="Arial" w:hAnsi="Arial" w:cs="Arial"/>
          <w:sz w:val="22"/>
          <w:szCs w:val="22"/>
        </w:rPr>
        <w:t xml:space="preserve">, it would be easy to infer that the cost of treating an Indigenous patient for acute overnight services is </w:t>
      </w:r>
      <w:r w:rsidR="00776559" w:rsidRPr="005E6149">
        <w:rPr>
          <w:rFonts w:ascii="Arial" w:hAnsi="Arial" w:cs="Arial"/>
          <w:sz w:val="22"/>
          <w:szCs w:val="22"/>
        </w:rPr>
        <w:t xml:space="preserve">equal to or marginally </w:t>
      </w:r>
      <w:r w:rsidRPr="005E6149">
        <w:rPr>
          <w:rFonts w:ascii="Arial" w:hAnsi="Arial" w:cs="Arial"/>
          <w:sz w:val="22"/>
          <w:szCs w:val="22"/>
        </w:rPr>
        <w:t xml:space="preserve">less than that incurred if treating a </w:t>
      </w:r>
      <w:r w:rsidR="007A097D">
        <w:rPr>
          <w:rFonts w:ascii="Arial" w:hAnsi="Arial" w:cs="Arial"/>
          <w:sz w:val="22"/>
          <w:szCs w:val="22"/>
        </w:rPr>
        <w:t>Non-Indigenous</w:t>
      </w:r>
      <w:r w:rsidRPr="005E6149">
        <w:rPr>
          <w:rFonts w:ascii="Arial" w:hAnsi="Arial" w:cs="Arial"/>
          <w:sz w:val="22"/>
          <w:szCs w:val="22"/>
        </w:rPr>
        <w:t xml:space="preserve"> patient</w:t>
      </w:r>
      <w:r w:rsidR="00D873D2">
        <w:rPr>
          <w:rFonts w:ascii="Arial" w:hAnsi="Arial" w:cs="Arial"/>
          <w:sz w:val="22"/>
          <w:szCs w:val="22"/>
        </w:rPr>
        <w:t xml:space="preserve">. </w:t>
      </w:r>
      <w:r w:rsidRPr="005E6149">
        <w:rPr>
          <w:rFonts w:ascii="Arial" w:hAnsi="Arial" w:cs="Arial"/>
          <w:sz w:val="22"/>
          <w:szCs w:val="22"/>
        </w:rPr>
        <w:t xml:space="preserve">The data however does not take into account variables such as the </w:t>
      </w:r>
      <w:proofErr w:type="spellStart"/>
      <w:r w:rsidRPr="005E6149">
        <w:rPr>
          <w:rFonts w:ascii="Arial" w:hAnsi="Arial" w:cs="Arial"/>
          <w:sz w:val="22"/>
          <w:szCs w:val="22"/>
        </w:rPr>
        <w:t>casemix</w:t>
      </w:r>
      <w:proofErr w:type="spellEnd"/>
      <w:r w:rsidRPr="005E6149">
        <w:rPr>
          <w:rFonts w:ascii="Arial" w:hAnsi="Arial" w:cs="Arial"/>
          <w:sz w:val="22"/>
          <w:szCs w:val="22"/>
        </w:rPr>
        <w:t xml:space="preserve"> of the patient cohort</w:t>
      </w:r>
      <w:r w:rsidR="00D873D2">
        <w:rPr>
          <w:rFonts w:ascii="Arial" w:hAnsi="Arial" w:cs="Arial"/>
          <w:sz w:val="22"/>
          <w:szCs w:val="22"/>
        </w:rPr>
        <w:t xml:space="preserve">. </w:t>
      </w:r>
      <w:r w:rsidRPr="005E6149">
        <w:rPr>
          <w:rFonts w:ascii="Arial" w:hAnsi="Arial" w:cs="Arial"/>
          <w:sz w:val="22"/>
          <w:szCs w:val="22"/>
        </w:rPr>
        <w:t>This is considered further within the context of analyses of the MDC and AR-DRG profiles.</w:t>
      </w:r>
    </w:p>
    <w:p w:rsidR="001618CA" w:rsidRPr="00A46AE7" w:rsidRDefault="001618CA" w:rsidP="00A46AE7">
      <w:pPr>
        <w:pStyle w:val="Heading2"/>
        <w:keepLines w:val="0"/>
        <w:tabs>
          <w:tab w:val="left" w:pos="851"/>
        </w:tabs>
        <w:spacing w:before="360" w:after="240"/>
        <w:ind w:left="851" w:hanging="851"/>
        <w:rPr>
          <w:rFonts w:ascii="Arial" w:hAnsi="Arial" w:cs="Arial"/>
          <w:color w:val="548DD4" w:themeColor="text2" w:themeTint="99"/>
        </w:rPr>
      </w:pPr>
      <w:bookmarkStart w:id="44" w:name="_Toc278480622"/>
      <w:r w:rsidRPr="00A46AE7">
        <w:rPr>
          <w:rFonts w:ascii="Arial" w:hAnsi="Arial" w:cs="Arial"/>
          <w:color w:val="548DD4" w:themeColor="text2" w:themeTint="99"/>
        </w:rPr>
        <w:t>Statistical Analyses of the Overnight acute admitted datasets</w:t>
      </w:r>
      <w:bookmarkEnd w:id="44"/>
    </w:p>
    <w:p w:rsidR="00154888" w:rsidRDefault="00E46B77" w:rsidP="00E46B77">
      <w:pPr>
        <w:spacing w:before="120" w:after="120"/>
        <w:rPr>
          <w:rFonts w:ascii="Arial" w:hAnsi="Arial" w:cs="Arial"/>
          <w:sz w:val="22"/>
          <w:szCs w:val="22"/>
        </w:rPr>
      </w:pPr>
      <w:r w:rsidRPr="005E6149">
        <w:rPr>
          <w:rFonts w:ascii="Arial" w:hAnsi="Arial" w:cs="Arial"/>
          <w:sz w:val="22"/>
          <w:szCs w:val="22"/>
        </w:rPr>
        <w:t>The following null hypothesis is tested in this section of the report:</w:t>
      </w:r>
      <w:r w:rsidR="00154888">
        <w:rPr>
          <w:rFonts w:ascii="Arial" w:hAnsi="Arial" w:cs="Arial"/>
          <w:sz w:val="22"/>
          <w:szCs w:val="22"/>
        </w:rPr>
        <w:t xml:space="preserve"> </w:t>
      </w:r>
    </w:p>
    <w:p w:rsidR="00E46B77" w:rsidRPr="00371D16" w:rsidRDefault="00E46B77" w:rsidP="00371D16">
      <w:pPr>
        <w:rPr>
          <w:color w:val="C0504D" w:themeColor="accent2"/>
          <w:spacing w:val="5"/>
        </w:rPr>
      </w:pPr>
      <w:r w:rsidRPr="005E6149">
        <w:rPr>
          <w:rFonts w:ascii="Arial" w:hAnsi="Arial" w:cs="Arial"/>
          <w:sz w:val="22"/>
          <w:szCs w:val="22"/>
        </w:rPr>
        <w:t>H</w:t>
      </w:r>
      <w:r w:rsidRPr="005E6149">
        <w:rPr>
          <w:rFonts w:ascii="Arial" w:hAnsi="Arial" w:cs="Arial"/>
          <w:sz w:val="22"/>
          <w:szCs w:val="22"/>
          <w:vertAlign w:val="subscript"/>
        </w:rPr>
        <w:t>0</w:t>
      </w:r>
      <w:r w:rsidRPr="005E6149">
        <w:rPr>
          <w:rFonts w:ascii="Arial" w:hAnsi="Arial" w:cs="Arial"/>
          <w:sz w:val="22"/>
          <w:szCs w:val="22"/>
        </w:rPr>
        <w:t xml:space="preserve">: there is no observable difference in the average cost of Indigenous patients and </w:t>
      </w:r>
      <w:r w:rsidR="007A097D">
        <w:rPr>
          <w:rFonts w:ascii="Arial" w:hAnsi="Arial" w:cs="Arial"/>
          <w:sz w:val="22"/>
          <w:szCs w:val="22"/>
        </w:rPr>
        <w:t>Non-Indigenous</w:t>
      </w:r>
      <w:r w:rsidRPr="005E6149">
        <w:rPr>
          <w:rFonts w:ascii="Arial" w:hAnsi="Arial" w:cs="Arial"/>
          <w:sz w:val="22"/>
          <w:szCs w:val="22"/>
        </w:rPr>
        <w:t xml:space="preserve"> patients receiving overnight admitted acute care services (</w:t>
      </w:r>
      <w:r w:rsidR="00371D16" w:rsidRPr="00371D16">
        <w:rPr>
          <w:rStyle w:val="IntenseReference"/>
          <w:rFonts w:ascii="Times New Roman" w:hAnsi="Times New Roman" w:cs="Times New Roman"/>
          <w:b w:val="0"/>
          <w:bCs w:val="0"/>
          <w:i w:val="0"/>
          <w:smallCaps w:val="0"/>
          <w:color w:val="000000" w:themeColor="text1"/>
        </w:rPr>
        <w:t>H</w:t>
      </w:r>
      <w:r w:rsidR="00371D16" w:rsidRPr="00371D16">
        <w:rPr>
          <w:rStyle w:val="IntenseReference"/>
          <w:rFonts w:ascii="Times New Roman" w:hAnsi="Times New Roman" w:cs="Times New Roman"/>
          <w:b w:val="0"/>
          <w:bCs w:val="0"/>
          <w:i w:val="0"/>
          <w:smallCaps w:val="0"/>
          <w:color w:val="000000" w:themeColor="text1"/>
          <w:vertAlign w:val="subscript"/>
        </w:rPr>
        <w:t>0</w:t>
      </w:r>
      <w:r w:rsidR="00371D16">
        <w:rPr>
          <w:rStyle w:val="IntenseReference"/>
          <w:rFonts w:ascii="Times New Roman" w:hAnsi="Times New Roman" w:cs="Times New Roman"/>
          <w:b w:val="0"/>
          <w:bCs w:val="0"/>
          <w:i w:val="0"/>
          <w:smallCaps w:val="0"/>
          <w:color w:val="000000" w:themeColor="text1"/>
        </w:rPr>
        <w:t>:</w:t>
      </w:r>
      <w:r w:rsidR="00371D16" w:rsidRPr="00371D16">
        <w:rPr>
          <w:rStyle w:val="IntenseReference"/>
          <w:rFonts w:ascii="Times New Roman" w:hAnsi="Times New Roman" w:cs="Times New Roman"/>
          <w:b w:val="0"/>
          <w:bCs w:val="0"/>
          <w:i w:val="0"/>
          <w:smallCaps w:val="0"/>
          <w:color w:val="000000" w:themeColor="text1"/>
        </w:rPr>
        <w:t>µ</w:t>
      </w:r>
      <w:r w:rsidR="00371D16" w:rsidRPr="00371D16">
        <w:rPr>
          <w:rStyle w:val="IntenseReference"/>
          <w:rFonts w:ascii="Times New Roman" w:hAnsi="Times New Roman" w:cs="Times New Roman"/>
          <w:b w:val="0"/>
          <w:bCs w:val="0"/>
          <w:i w:val="0"/>
          <w:smallCaps w:val="0"/>
          <w:color w:val="000000" w:themeColor="text1"/>
          <w:vertAlign w:val="subscript"/>
        </w:rPr>
        <w:t>1=</w:t>
      </w:r>
      <w:r w:rsidR="00371D16" w:rsidRPr="00371D16">
        <w:rPr>
          <w:rStyle w:val="IntenseReference"/>
          <w:rFonts w:ascii="Times New Roman" w:hAnsi="Times New Roman" w:cs="Times New Roman"/>
          <w:b w:val="0"/>
          <w:bCs w:val="0"/>
          <w:i w:val="0"/>
          <w:smallCaps w:val="0"/>
          <w:color w:val="000000" w:themeColor="text1"/>
        </w:rPr>
        <w:t>µ</w:t>
      </w:r>
      <w:r w:rsidR="00371D16" w:rsidRPr="00371D16">
        <w:rPr>
          <w:rStyle w:val="IntenseReference"/>
          <w:rFonts w:ascii="Times New Roman" w:hAnsi="Times New Roman" w:cs="Times New Roman"/>
          <w:b w:val="0"/>
          <w:bCs w:val="0"/>
          <w:i w:val="0"/>
          <w:smallCaps w:val="0"/>
          <w:color w:val="000000" w:themeColor="text1"/>
          <w:vertAlign w:val="subscript"/>
        </w:rPr>
        <w:t>2</w:t>
      </w:r>
      <w:r w:rsidRPr="005E6149">
        <w:rPr>
          <w:rFonts w:ascii="Arial" w:hAnsi="Arial" w:cs="Arial"/>
          <w:sz w:val="20"/>
          <w:szCs w:val="20"/>
        </w:rPr>
        <w:t>).</w:t>
      </w:r>
    </w:p>
    <w:p w:rsidR="00A92CF1" w:rsidRDefault="00790667" w:rsidP="00386C1C">
      <w:pPr>
        <w:spacing w:before="120" w:after="120"/>
        <w:rPr>
          <w:rFonts w:ascii="Arial" w:hAnsi="Arial" w:cs="Arial"/>
          <w:sz w:val="22"/>
          <w:szCs w:val="22"/>
        </w:rPr>
      </w:pPr>
      <w:r w:rsidRPr="005E6149">
        <w:rPr>
          <w:rFonts w:ascii="Arial" w:hAnsi="Arial" w:cs="Arial"/>
          <w:sz w:val="22"/>
          <w:szCs w:val="22"/>
        </w:rPr>
        <w:t xml:space="preserve">Without accounting for </w:t>
      </w:r>
      <w:proofErr w:type="spellStart"/>
      <w:r w:rsidRPr="005E6149">
        <w:rPr>
          <w:rFonts w:ascii="Arial" w:hAnsi="Arial" w:cs="Arial"/>
          <w:sz w:val="22"/>
          <w:szCs w:val="22"/>
        </w:rPr>
        <w:t>casemix</w:t>
      </w:r>
      <w:proofErr w:type="spellEnd"/>
      <w:r w:rsidRPr="005E6149">
        <w:rPr>
          <w:rFonts w:ascii="Arial" w:hAnsi="Arial" w:cs="Arial"/>
          <w:sz w:val="22"/>
          <w:szCs w:val="22"/>
        </w:rPr>
        <w:t xml:space="preserve"> profiles of the two patient cohorts, the t-test was conducted on the aggregate overnight dataset</w:t>
      </w:r>
      <w:r w:rsidR="00D873D2">
        <w:rPr>
          <w:rFonts w:ascii="Arial" w:hAnsi="Arial" w:cs="Arial"/>
          <w:sz w:val="22"/>
          <w:szCs w:val="22"/>
        </w:rPr>
        <w:t xml:space="preserve">. </w:t>
      </w:r>
      <w:r w:rsidRPr="005E6149">
        <w:rPr>
          <w:rFonts w:ascii="Arial" w:hAnsi="Arial" w:cs="Arial"/>
          <w:sz w:val="22"/>
          <w:szCs w:val="22"/>
        </w:rPr>
        <w:t>The statistics yielded for the respective data</w:t>
      </w:r>
      <w:r w:rsidR="002B4FC5" w:rsidRPr="005E6149">
        <w:rPr>
          <w:rFonts w:ascii="Arial" w:hAnsi="Arial" w:cs="Arial"/>
          <w:sz w:val="22"/>
          <w:szCs w:val="22"/>
        </w:rPr>
        <w:t xml:space="preserve">sets is </w:t>
      </w:r>
      <w:proofErr w:type="spellStart"/>
      <w:r w:rsidR="002B4FC5" w:rsidRPr="005E6149">
        <w:rPr>
          <w:rFonts w:ascii="Arial" w:hAnsi="Arial" w:cs="Arial"/>
          <w:sz w:val="22"/>
          <w:szCs w:val="22"/>
        </w:rPr>
        <w:t>summarised</w:t>
      </w:r>
      <w:proofErr w:type="spellEnd"/>
      <w:r w:rsidR="002B4FC5" w:rsidRPr="005E6149">
        <w:rPr>
          <w:rFonts w:ascii="Arial" w:hAnsi="Arial" w:cs="Arial"/>
          <w:sz w:val="22"/>
          <w:szCs w:val="22"/>
        </w:rPr>
        <w:t xml:space="preserve"> in Table 5.</w:t>
      </w:r>
      <w:r w:rsidR="005E5750">
        <w:rPr>
          <w:rFonts w:ascii="Arial" w:hAnsi="Arial" w:cs="Arial"/>
          <w:sz w:val="22"/>
          <w:szCs w:val="22"/>
        </w:rPr>
        <w:t>4</w:t>
      </w:r>
      <w:r w:rsidR="003955DE">
        <w:rPr>
          <w:rFonts w:ascii="Arial" w:hAnsi="Arial" w:cs="Arial"/>
          <w:sz w:val="22"/>
          <w:szCs w:val="22"/>
        </w:rPr>
        <w:t>. They indicate</w:t>
      </w:r>
      <w:r w:rsidR="00776559" w:rsidRPr="005E6149">
        <w:rPr>
          <w:rFonts w:ascii="Arial" w:hAnsi="Arial" w:cs="Arial"/>
          <w:sz w:val="22"/>
          <w:szCs w:val="22"/>
        </w:rPr>
        <w:t xml:space="preserve"> that a</w:t>
      </w:r>
      <w:r w:rsidR="0025056E" w:rsidRPr="005E6149">
        <w:rPr>
          <w:rFonts w:ascii="Arial" w:hAnsi="Arial" w:cs="Arial"/>
          <w:sz w:val="22"/>
          <w:szCs w:val="22"/>
        </w:rPr>
        <w:t xml:space="preserve"> cost differential </w:t>
      </w:r>
      <w:r w:rsidR="00776559" w:rsidRPr="005E6149">
        <w:rPr>
          <w:rFonts w:ascii="Arial" w:hAnsi="Arial" w:cs="Arial"/>
          <w:sz w:val="22"/>
          <w:szCs w:val="22"/>
        </w:rPr>
        <w:t>exists for both Round 16 and Round 17 acute admitted overnight cases</w:t>
      </w:r>
      <w:r w:rsidR="0049731D">
        <w:rPr>
          <w:rFonts w:ascii="Arial" w:hAnsi="Arial" w:cs="Arial"/>
          <w:sz w:val="22"/>
          <w:szCs w:val="22"/>
        </w:rPr>
        <w:t xml:space="preserve"> with Indigenous patients costing less than </w:t>
      </w:r>
      <w:r w:rsidR="007A097D">
        <w:rPr>
          <w:rFonts w:ascii="Arial" w:hAnsi="Arial" w:cs="Arial"/>
          <w:sz w:val="22"/>
          <w:szCs w:val="22"/>
        </w:rPr>
        <w:t>non-Indigenous</w:t>
      </w:r>
      <w:r w:rsidR="0049731D">
        <w:rPr>
          <w:rFonts w:ascii="Arial" w:hAnsi="Arial" w:cs="Arial"/>
          <w:sz w:val="22"/>
          <w:szCs w:val="22"/>
        </w:rPr>
        <w:t xml:space="preserve"> patients by $107 per separation in Round 16 and $71 per separation in Round 17</w:t>
      </w:r>
      <w:r w:rsidR="00A92CF1">
        <w:rPr>
          <w:rFonts w:ascii="Arial" w:hAnsi="Arial" w:cs="Arial"/>
          <w:sz w:val="22"/>
          <w:szCs w:val="22"/>
        </w:rPr>
        <w:t>.</w:t>
      </w:r>
    </w:p>
    <w:p w:rsidR="00E46B77" w:rsidRPr="005E6149" w:rsidRDefault="00E46B77" w:rsidP="00386C1C">
      <w:pPr>
        <w:spacing w:before="120" w:after="120"/>
        <w:rPr>
          <w:rFonts w:ascii="Arial" w:hAnsi="Arial" w:cs="Arial"/>
          <w:sz w:val="22"/>
          <w:szCs w:val="22"/>
        </w:rPr>
      </w:pPr>
    </w:p>
    <w:p w:rsidR="00F37F2F" w:rsidRPr="005E6149" w:rsidRDefault="00F37F2F" w:rsidP="00F37F2F">
      <w:pPr>
        <w:rPr>
          <w:rFonts w:ascii="Arial" w:hAnsi="Arial" w:cs="Arial"/>
          <w:highlight w:val="green"/>
        </w:rPr>
        <w:sectPr w:rsidR="00F37F2F" w:rsidRPr="005E6149" w:rsidSect="004D21FA">
          <w:footerReference w:type="default" r:id="rId17"/>
          <w:pgSz w:w="12240" w:h="15840"/>
          <w:pgMar w:top="1440" w:right="1800" w:bottom="1440" w:left="1800" w:header="720" w:footer="720" w:gutter="0"/>
          <w:cols w:space="720"/>
          <w:docGrid w:linePitch="360"/>
        </w:sectPr>
      </w:pPr>
    </w:p>
    <w:p w:rsidR="002217A6" w:rsidRPr="005E6149" w:rsidRDefault="002B4FC5" w:rsidP="002217A6">
      <w:pPr>
        <w:pStyle w:val="TableCaption"/>
        <w:rPr>
          <w:rFonts w:ascii="Arial" w:hAnsi="Arial" w:cs="Arial"/>
          <w:sz w:val="18"/>
          <w:szCs w:val="18"/>
        </w:rPr>
      </w:pPr>
      <w:bookmarkStart w:id="45" w:name="_Toc278480667"/>
      <w:r w:rsidRPr="005E6149">
        <w:rPr>
          <w:rFonts w:ascii="Arial" w:hAnsi="Arial" w:cs="Arial"/>
          <w:sz w:val="18"/>
          <w:szCs w:val="18"/>
        </w:rPr>
        <w:lastRenderedPageBreak/>
        <w:t>Table 5.</w:t>
      </w:r>
      <w:r w:rsidR="005E5750">
        <w:rPr>
          <w:rFonts w:ascii="Arial" w:hAnsi="Arial" w:cs="Arial"/>
          <w:sz w:val="18"/>
          <w:szCs w:val="18"/>
        </w:rPr>
        <w:t>4</w:t>
      </w:r>
      <w:r w:rsidR="002217A6" w:rsidRPr="005E6149">
        <w:rPr>
          <w:rFonts w:ascii="Arial" w:hAnsi="Arial" w:cs="Arial"/>
          <w:sz w:val="18"/>
          <w:szCs w:val="18"/>
        </w:rPr>
        <w:t xml:space="preserve">: </w:t>
      </w:r>
      <w:r w:rsidR="003955DE">
        <w:rPr>
          <w:rFonts w:ascii="Arial" w:hAnsi="Arial" w:cs="Arial"/>
          <w:sz w:val="18"/>
          <w:szCs w:val="18"/>
        </w:rPr>
        <w:t xml:space="preserve">T </w:t>
      </w:r>
      <w:r w:rsidR="002217A6" w:rsidRPr="005E6149">
        <w:rPr>
          <w:rFonts w:ascii="Arial" w:hAnsi="Arial" w:cs="Arial"/>
          <w:sz w:val="18"/>
          <w:szCs w:val="18"/>
        </w:rPr>
        <w:t xml:space="preserve">statistics for the aggregate overnight acute admitted patient cohorts – trimmed </w:t>
      </w:r>
      <w:r w:rsidR="005E5750">
        <w:rPr>
          <w:rFonts w:ascii="Arial" w:hAnsi="Arial" w:cs="Arial"/>
          <w:sz w:val="18"/>
          <w:szCs w:val="18"/>
        </w:rPr>
        <w:t xml:space="preserve">NHCDC </w:t>
      </w:r>
      <w:r w:rsidR="002217A6" w:rsidRPr="005E6149">
        <w:rPr>
          <w:rFonts w:ascii="Arial" w:hAnsi="Arial" w:cs="Arial"/>
          <w:sz w:val="18"/>
          <w:szCs w:val="18"/>
        </w:rPr>
        <w:t>datasets for Round 16</w:t>
      </w:r>
      <w:r w:rsidR="005E5750">
        <w:rPr>
          <w:rFonts w:ascii="Arial" w:hAnsi="Arial" w:cs="Arial"/>
          <w:sz w:val="18"/>
          <w:szCs w:val="18"/>
        </w:rPr>
        <w:t xml:space="preserve"> and Round 17 </w:t>
      </w:r>
      <w:bookmarkEnd w:id="45"/>
    </w:p>
    <w:tbl>
      <w:tblPr>
        <w:tblW w:w="11275"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Table 5.4: T statistics for the aggregate overnight acute admitted patient cohorts – trimmed NHCDC datasets for Round 16 and Round 17 "/>
      </w:tblPr>
      <w:tblGrid>
        <w:gridCol w:w="1186"/>
        <w:gridCol w:w="1134"/>
        <w:gridCol w:w="1134"/>
        <w:gridCol w:w="1276"/>
        <w:gridCol w:w="1134"/>
        <w:gridCol w:w="800"/>
        <w:gridCol w:w="992"/>
        <w:gridCol w:w="850"/>
        <w:gridCol w:w="2745"/>
        <w:gridCol w:w="24"/>
      </w:tblGrid>
      <w:tr w:rsidR="00F37F2F" w:rsidRPr="002019C1" w:rsidTr="00B31DC7">
        <w:trPr>
          <w:gridAfter w:val="1"/>
          <w:wAfter w:w="24" w:type="dxa"/>
          <w:trHeight w:val="300"/>
          <w:tblHeader/>
          <w:jc w:val="center"/>
        </w:trPr>
        <w:tc>
          <w:tcPr>
            <w:tcW w:w="1186" w:type="dxa"/>
            <w:shd w:val="clear" w:color="auto" w:fill="CCCCCC"/>
            <w:vAlign w:val="bottom"/>
          </w:tcPr>
          <w:p w:rsidR="00F37F2F" w:rsidRPr="00C628C4" w:rsidRDefault="00F37F2F" w:rsidP="00690C7F">
            <w:pPr>
              <w:rPr>
                <w:rFonts w:asciiTheme="majorHAnsi" w:eastAsia="Times New Roman" w:hAnsiTheme="majorHAnsi" w:cs="Arial"/>
                <w:b/>
                <w:color w:val="000000"/>
                <w:sz w:val="20"/>
                <w:szCs w:val="20"/>
                <w:lang w:val="en-AU"/>
              </w:rPr>
            </w:pPr>
          </w:p>
        </w:tc>
        <w:tc>
          <w:tcPr>
            <w:tcW w:w="2268" w:type="dxa"/>
            <w:gridSpan w:val="2"/>
            <w:shd w:val="clear" w:color="auto" w:fill="CCCCCC"/>
            <w:vAlign w:val="bottom"/>
          </w:tcPr>
          <w:p w:rsidR="00F37F2F" w:rsidRPr="00C628C4" w:rsidRDefault="00F37F2F" w:rsidP="00690C7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2410" w:type="dxa"/>
            <w:gridSpan w:val="2"/>
            <w:shd w:val="clear" w:color="auto" w:fill="CCCCCC"/>
            <w:vAlign w:val="bottom"/>
          </w:tcPr>
          <w:p w:rsidR="00F37F2F" w:rsidRPr="00C628C4" w:rsidRDefault="007A097D" w:rsidP="00690C7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5387" w:type="dxa"/>
            <w:gridSpan w:val="4"/>
            <w:shd w:val="clear" w:color="auto" w:fill="CCCCCC"/>
            <w:vAlign w:val="bottom"/>
          </w:tcPr>
          <w:p w:rsidR="00F37F2F" w:rsidRPr="00C628C4" w:rsidRDefault="00F37F2F" w:rsidP="00690C7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Statistics</w:t>
            </w:r>
          </w:p>
        </w:tc>
      </w:tr>
      <w:tr w:rsidR="00154888" w:rsidRPr="005E6149" w:rsidTr="00B31DC7">
        <w:trPr>
          <w:trHeight w:val="877"/>
          <w:tblHeader/>
          <w:jc w:val="center"/>
        </w:trPr>
        <w:tc>
          <w:tcPr>
            <w:tcW w:w="1186"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p>
        </w:tc>
        <w:tc>
          <w:tcPr>
            <w:tcW w:w="1134"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134"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1276"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134"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800"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992" w:type="dxa"/>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 |t|</w:t>
            </w:r>
          </w:p>
        </w:tc>
        <w:tc>
          <w:tcPr>
            <w:tcW w:w="3619" w:type="dxa"/>
            <w:gridSpan w:val="3"/>
            <w:shd w:val="clear" w:color="auto" w:fill="CCCCCC"/>
            <w:noWrap/>
            <w:vAlign w:val="bottom"/>
            <w:hideMark/>
          </w:tcPr>
          <w:p w:rsidR="00154888" w:rsidRPr="00C628C4" w:rsidRDefault="00154888" w:rsidP="00F37F2F">
            <w:pP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rPr>
              <w:t>Hypothesis (</w:t>
            </w:r>
            <w:r w:rsidRPr="00C628C4">
              <w:rPr>
                <w:rFonts w:asciiTheme="majorHAnsi" w:hAnsiTheme="majorHAnsi" w:cs="Arial"/>
                <w:b/>
                <w:sz w:val="20"/>
                <w:szCs w:val="20"/>
              </w:rPr>
              <w:t>H</w:t>
            </w:r>
            <w:r w:rsidRPr="00C628C4">
              <w:rPr>
                <w:rFonts w:asciiTheme="majorHAnsi" w:hAnsiTheme="majorHAnsi" w:cs="Arial"/>
                <w:b/>
                <w:sz w:val="20"/>
                <w:szCs w:val="20"/>
                <w:vertAlign w:val="subscript"/>
              </w:rPr>
              <w:t>0</w:t>
            </w:r>
            <w:r w:rsidRPr="00C628C4">
              <w:rPr>
                <w:rFonts w:asciiTheme="majorHAnsi" w:hAnsiTheme="majorHAnsi" w:cs="Arial"/>
                <w:b/>
                <w:sz w:val="20"/>
                <w:szCs w:val="20"/>
              </w:rPr>
              <w:t xml:space="preserve">: </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heme="majorHAnsi" w:hAnsiTheme="majorHAnsi" w:cs="Times New Roman"/>
                <w:b w:val="0"/>
                <w:bCs w:val="0"/>
                <w:smallCaps w:val="0"/>
                <w:color w:val="000000" w:themeColor="text1"/>
                <w:sz w:val="22"/>
                <w:szCs w:val="22"/>
                <w:vertAlign w:val="subscript"/>
              </w:rPr>
              <w:t>1</w:t>
            </w:r>
            <w:r w:rsidR="00EA703E" w:rsidRPr="009D7F6D">
              <w:rPr>
                <w:rStyle w:val="IntenseReference"/>
                <w:rFonts w:asciiTheme="majorHAnsi" w:hAnsiTheme="majorHAnsi" w:cs="Times New Roman"/>
                <w:b w:val="0"/>
                <w:bCs w:val="0"/>
                <w:smallCaps w:val="0"/>
                <w:color w:val="000000" w:themeColor="text1"/>
                <w:sz w:val="20"/>
                <w:szCs w:val="20"/>
              </w:rPr>
              <w:t>=</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b/>
                <w:sz w:val="20"/>
                <w:szCs w:val="20"/>
              </w:rPr>
              <w:t>)</w:t>
            </w:r>
          </w:p>
        </w:tc>
      </w:tr>
      <w:tr w:rsidR="00154888" w:rsidRPr="005E6149" w:rsidTr="00B31DC7">
        <w:trPr>
          <w:trHeight w:val="500"/>
          <w:jc w:val="center"/>
        </w:trPr>
        <w:tc>
          <w:tcPr>
            <w:tcW w:w="1186" w:type="dxa"/>
            <w:shd w:val="clear" w:color="auto" w:fill="auto"/>
            <w:vAlign w:val="bottom"/>
            <w:hideMark/>
          </w:tcPr>
          <w:p w:rsidR="00154888" w:rsidRPr="00C628C4" w:rsidRDefault="00154888" w:rsidP="00237FAE">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Round 16</w:t>
            </w:r>
          </w:p>
        </w:tc>
        <w:tc>
          <w:tcPr>
            <w:tcW w:w="1134"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99,667</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$6,82</w:t>
            </w:r>
            <w:r w:rsidR="0049731D" w:rsidRPr="00C628C4">
              <w:rPr>
                <w:rFonts w:asciiTheme="majorHAnsi" w:eastAsia="Times New Roman" w:hAnsiTheme="majorHAnsi" w:cs="Arial"/>
                <w:color w:val="000000"/>
                <w:sz w:val="20"/>
                <w:szCs w:val="20"/>
                <w:lang w:val="en-AU"/>
              </w:rPr>
              <w:t>1</w:t>
            </w:r>
          </w:p>
        </w:tc>
        <w:tc>
          <w:tcPr>
            <w:tcW w:w="1276"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1,981,144</w:t>
            </w:r>
          </w:p>
        </w:tc>
        <w:tc>
          <w:tcPr>
            <w:tcW w:w="1134"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6,92</w:t>
            </w:r>
            <w:r w:rsidRPr="00C628C4">
              <w:rPr>
                <w:rFonts w:asciiTheme="majorHAnsi" w:eastAsia="Times New Roman" w:hAnsiTheme="majorHAnsi" w:cs="Arial"/>
                <w:color w:val="000000"/>
                <w:sz w:val="20"/>
                <w:szCs w:val="20"/>
                <w:lang w:val="en-AU"/>
              </w:rPr>
              <w:t>8</w:t>
            </w:r>
          </w:p>
        </w:tc>
        <w:tc>
          <w:tcPr>
            <w:tcW w:w="800"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-4.34</w:t>
            </w:r>
          </w:p>
        </w:tc>
        <w:tc>
          <w:tcPr>
            <w:tcW w:w="992" w:type="dxa"/>
            <w:shd w:val="clear" w:color="auto" w:fill="auto"/>
            <w:noWrap/>
            <w:vAlign w:val="bottom"/>
            <w:hideMark/>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850" w:type="dxa"/>
            <w:shd w:val="clear" w:color="auto" w:fill="auto"/>
            <w:noWrap/>
            <w:vAlign w:val="bottom"/>
            <w:hideMark/>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EA703E">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heme="majorHAnsi" w:hAnsiTheme="majorHAnsi" w:cs="Times New Roman"/>
                <w:b w:val="0"/>
                <w:bCs w:val="0"/>
                <w:smallCaps w:val="0"/>
                <w:color w:val="000000" w:themeColor="text1"/>
                <w:sz w:val="22"/>
                <w:szCs w:val="22"/>
                <w:vertAlign w:val="subscript"/>
              </w:rPr>
              <w:t>1</w:t>
            </w:r>
            <w:r w:rsidR="009D7F6D">
              <w:rPr>
                <w:rStyle w:val="IntenseReference"/>
                <w:rFonts w:asciiTheme="majorHAnsi" w:hAnsiTheme="majorHAnsi" w:cs="Times New Roman"/>
                <w:b w:val="0"/>
                <w:bCs w:val="0"/>
                <w:smallCaps w:val="0"/>
                <w:color w:val="000000" w:themeColor="text1"/>
                <w:sz w:val="22"/>
                <w:szCs w:val="22"/>
                <w:vertAlign w:val="subscript"/>
              </w:rPr>
              <w:t xml:space="preserve"> </w:t>
            </w:r>
            <w:r w:rsidR="00EA703E" w:rsidRPr="009D7F6D">
              <w:rPr>
                <w:rStyle w:val="IntenseReference"/>
                <w:rFonts w:asciiTheme="majorHAnsi" w:hAnsiTheme="majorHAnsi" w:cs="Times New Roman"/>
                <w:b w:val="0"/>
                <w:bCs w:val="0"/>
                <w:smallCaps w:val="0"/>
                <w:color w:val="000000" w:themeColor="text1"/>
                <w:sz w:val="20"/>
                <w:szCs w:val="20"/>
              </w:rPr>
              <w:t xml:space="preserve">˂ </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186" w:type="dxa"/>
            <w:shd w:val="clear" w:color="auto" w:fill="auto"/>
            <w:vAlign w:val="bottom"/>
            <w:hideMark/>
          </w:tcPr>
          <w:p w:rsidR="00154888" w:rsidRPr="00C628C4" w:rsidRDefault="00154888" w:rsidP="00237FAE">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Round 17</w:t>
            </w:r>
          </w:p>
        </w:tc>
        <w:tc>
          <w:tcPr>
            <w:tcW w:w="1134"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101,703</w:t>
            </w:r>
          </w:p>
        </w:tc>
        <w:tc>
          <w:tcPr>
            <w:tcW w:w="1134" w:type="dxa"/>
            <w:shd w:val="clear" w:color="auto" w:fill="auto"/>
            <w:noWrap/>
            <w:vAlign w:val="bottom"/>
          </w:tcPr>
          <w:p w:rsidR="00154888" w:rsidRPr="00C628C4" w:rsidRDefault="0049731D"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$7,250</w:t>
            </w:r>
          </w:p>
        </w:tc>
        <w:tc>
          <w:tcPr>
            <w:tcW w:w="1276"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1,944,304</w:t>
            </w:r>
          </w:p>
        </w:tc>
        <w:tc>
          <w:tcPr>
            <w:tcW w:w="1134" w:type="dxa"/>
            <w:shd w:val="clear" w:color="auto" w:fill="auto"/>
            <w:noWrap/>
            <w:vAlign w:val="bottom"/>
          </w:tcPr>
          <w:p w:rsidR="00154888" w:rsidRPr="00C628C4" w:rsidRDefault="0049731D"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$7,321</w:t>
            </w:r>
          </w:p>
        </w:tc>
        <w:tc>
          <w:tcPr>
            <w:tcW w:w="800" w:type="dxa"/>
            <w:shd w:val="clear" w:color="auto" w:fill="auto"/>
            <w:noWrap/>
            <w:vAlign w:val="bottom"/>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-2.97</w:t>
            </w:r>
          </w:p>
        </w:tc>
        <w:tc>
          <w:tcPr>
            <w:tcW w:w="992" w:type="dxa"/>
            <w:shd w:val="clear" w:color="auto" w:fill="auto"/>
            <w:noWrap/>
            <w:vAlign w:val="bottom"/>
            <w:hideMark/>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0.003</w:t>
            </w:r>
          </w:p>
        </w:tc>
        <w:tc>
          <w:tcPr>
            <w:tcW w:w="850" w:type="dxa"/>
            <w:shd w:val="clear" w:color="auto" w:fill="auto"/>
            <w:noWrap/>
            <w:vAlign w:val="bottom"/>
            <w:hideMark/>
          </w:tcPr>
          <w:p w:rsidR="00154888" w:rsidRPr="00C628C4" w:rsidRDefault="00154888" w:rsidP="005E000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EA703E">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heme="majorHAnsi" w:hAnsiTheme="majorHAnsi" w:cs="Times New Roman"/>
                <w:b w:val="0"/>
                <w:bCs w:val="0"/>
                <w:smallCaps w:val="0"/>
                <w:color w:val="000000" w:themeColor="text1"/>
                <w:sz w:val="22"/>
                <w:szCs w:val="22"/>
                <w:vertAlign w:val="subscript"/>
              </w:rPr>
              <w:t>1</w:t>
            </w:r>
            <w:r w:rsidR="009D7F6D">
              <w:rPr>
                <w:rStyle w:val="IntenseReference"/>
                <w:rFonts w:asciiTheme="majorHAnsi" w:hAnsiTheme="majorHAnsi" w:cs="Times New Roman"/>
                <w:b w:val="0"/>
                <w:bCs w:val="0"/>
                <w:smallCaps w:val="0"/>
                <w:color w:val="000000" w:themeColor="text1"/>
                <w:sz w:val="22"/>
                <w:szCs w:val="22"/>
                <w:vertAlign w:val="subscript"/>
              </w:rPr>
              <w:t xml:space="preserve"> </w:t>
            </w:r>
            <w:r w:rsidR="00EA703E" w:rsidRPr="009D7F6D">
              <w:rPr>
                <w:rStyle w:val="IntenseReference"/>
                <w:rFonts w:asciiTheme="majorHAnsi" w:hAnsiTheme="majorHAnsi" w:cs="Times New Roman"/>
                <w:b w:val="0"/>
                <w:bCs w:val="0"/>
                <w:smallCaps w:val="0"/>
                <w:color w:val="000000" w:themeColor="text1"/>
                <w:sz w:val="20"/>
                <w:szCs w:val="20"/>
              </w:rPr>
              <w:t>˂</w:t>
            </w:r>
            <w:r w:rsidR="009D7F6D">
              <w:rPr>
                <w:rStyle w:val="IntenseReference"/>
                <w:rFonts w:asciiTheme="majorHAnsi" w:hAnsiTheme="majorHAnsi" w:cs="Times New Roman"/>
                <w:b w:val="0"/>
                <w:bCs w:val="0"/>
                <w:smallCaps w:val="0"/>
                <w:color w:val="000000" w:themeColor="text1"/>
                <w:sz w:val="22"/>
                <w:szCs w:val="22"/>
                <w:vertAlign w:val="subscript"/>
              </w:rPr>
              <w:t xml:space="preserve"> </w:t>
            </w:r>
            <w:r w:rsidR="00EA703E" w:rsidRPr="009D7F6D">
              <w:rPr>
                <w:rStyle w:val="IntenseReference"/>
                <w:rFonts w:asciiTheme="majorHAnsi" w:hAnsiTheme="majorHAnsi" w:cs="Times New Roman"/>
                <w:b w:val="0"/>
                <w:bCs w:val="0"/>
                <w:smallCaps w:val="0"/>
                <w:color w:val="000000" w:themeColor="text1"/>
                <w:sz w:val="22"/>
                <w:szCs w:val="22"/>
              </w:rPr>
              <w:t>µ</w:t>
            </w:r>
            <w:r w:rsidR="00EA703E"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bl>
    <w:p w:rsidR="00BA0F64" w:rsidRPr="005E6149" w:rsidRDefault="00BA0F64" w:rsidP="00EE2419">
      <w:pPr>
        <w:spacing w:before="120" w:after="120"/>
        <w:rPr>
          <w:rFonts w:ascii="Arial" w:hAnsi="Arial" w:cs="Arial"/>
          <w:sz w:val="22"/>
          <w:szCs w:val="22"/>
        </w:rPr>
      </w:pPr>
      <w:r w:rsidRPr="005E6149">
        <w:rPr>
          <w:rFonts w:ascii="Arial" w:hAnsi="Arial" w:cs="Arial"/>
          <w:sz w:val="22"/>
          <w:szCs w:val="22"/>
        </w:rPr>
        <w:t>The analysis was extended to consider whether this observation held for each State and Territory</w:t>
      </w:r>
      <w:r w:rsidR="00D873D2">
        <w:rPr>
          <w:rFonts w:ascii="Arial" w:hAnsi="Arial" w:cs="Arial"/>
          <w:sz w:val="22"/>
          <w:szCs w:val="22"/>
        </w:rPr>
        <w:t xml:space="preserve">. </w:t>
      </w:r>
      <w:r w:rsidR="005E5750">
        <w:rPr>
          <w:rFonts w:ascii="Arial" w:hAnsi="Arial" w:cs="Arial"/>
          <w:sz w:val="22"/>
          <w:szCs w:val="22"/>
        </w:rPr>
        <w:t>Table 5.5</w:t>
      </w:r>
      <w:r w:rsidRPr="005E6149">
        <w:rPr>
          <w:rFonts w:ascii="Arial" w:hAnsi="Arial" w:cs="Arial"/>
          <w:sz w:val="22"/>
          <w:szCs w:val="22"/>
        </w:rPr>
        <w:t xml:space="preserve"> shows the outputs </w:t>
      </w:r>
      <w:r w:rsidR="00A92CF1">
        <w:rPr>
          <w:rFonts w:ascii="Arial" w:hAnsi="Arial" w:cs="Arial"/>
          <w:sz w:val="22"/>
          <w:szCs w:val="22"/>
        </w:rPr>
        <w:t xml:space="preserve">each </w:t>
      </w:r>
      <w:r w:rsidRPr="005E6149">
        <w:rPr>
          <w:rFonts w:ascii="Arial" w:hAnsi="Arial" w:cs="Arial"/>
          <w:sz w:val="22"/>
          <w:szCs w:val="22"/>
        </w:rPr>
        <w:t xml:space="preserve">respective </w:t>
      </w:r>
      <w:proofErr w:type="gramStart"/>
      <w:r w:rsidRPr="005E6149">
        <w:rPr>
          <w:rFonts w:ascii="Arial" w:hAnsi="Arial" w:cs="Arial"/>
          <w:sz w:val="22"/>
          <w:szCs w:val="22"/>
        </w:rPr>
        <w:t>jurisdictions</w:t>
      </w:r>
      <w:proofErr w:type="gramEnd"/>
      <w:r w:rsidRPr="005E6149">
        <w:rPr>
          <w:rFonts w:ascii="Arial" w:hAnsi="Arial" w:cs="Arial"/>
          <w:sz w:val="22"/>
          <w:szCs w:val="22"/>
        </w:rPr>
        <w:t>.</w:t>
      </w:r>
      <w:r w:rsidR="003955DE">
        <w:rPr>
          <w:rFonts w:ascii="Arial" w:hAnsi="Arial" w:cs="Arial"/>
          <w:sz w:val="22"/>
          <w:szCs w:val="22"/>
        </w:rPr>
        <w:t xml:space="preserve"> The results indicate that in ACT there is no difference between the patient cohorts and Western Australia shows Indigenous costing more than </w:t>
      </w:r>
      <w:r w:rsidR="007A097D">
        <w:rPr>
          <w:rFonts w:ascii="Arial" w:hAnsi="Arial" w:cs="Arial"/>
          <w:sz w:val="22"/>
          <w:szCs w:val="22"/>
        </w:rPr>
        <w:t>non-Indigenous</w:t>
      </w:r>
      <w:r w:rsidR="003955DE">
        <w:rPr>
          <w:rFonts w:ascii="Arial" w:hAnsi="Arial" w:cs="Arial"/>
          <w:sz w:val="22"/>
          <w:szCs w:val="22"/>
        </w:rPr>
        <w:t xml:space="preserve">. Results for all other jurisdictions showed that the average cost for Indigenous patients is less than </w:t>
      </w:r>
      <w:r w:rsidR="007A097D">
        <w:rPr>
          <w:rFonts w:ascii="Arial" w:hAnsi="Arial" w:cs="Arial"/>
          <w:sz w:val="22"/>
          <w:szCs w:val="22"/>
        </w:rPr>
        <w:t>non-Indigenous</w:t>
      </w:r>
      <w:r w:rsidR="003955DE">
        <w:rPr>
          <w:rFonts w:ascii="Arial" w:hAnsi="Arial" w:cs="Arial"/>
          <w:sz w:val="22"/>
          <w:szCs w:val="22"/>
        </w:rPr>
        <w:t xml:space="preserve">. </w:t>
      </w:r>
    </w:p>
    <w:p w:rsidR="00BA0F64" w:rsidRPr="005E6149" w:rsidRDefault="00BA0F64" w:rsidP="00BA0F64">
      <w:pPr>
        <w:pStyle w:val="TableCaption"/>
        <w:rPr>
          <w:rFonts w:ascii="Arial" w:hAnsi="Arial" w:cs="Arial"/>
          <w:sz w:val="18"/>
          <w:szCs w:val="18"/>
        </w:rPr>
      </w:pPr>
      <w:bookmarkStart w:id="46" w:name="_Toc278480668"/>
      <w:r w:rsidRPr="005E6149">
        <w:rPr>
          <w:rFonts w:ascii="Arial" w:hAnsi="Arial" w:cs="Arial"/>
          <w:sz w:val="18"/>
          <w:szCs w:val="18"/>
        </w:rPr>
        <w:t>Table 5.</w:t>
      </w:r>
      <w:r w:rsidR="005E5750">
        <w:rPr>
          <w:rFonts w:ascii="Arial" w:hAnsi="Arial" w:cs="Arial"/>
          <w:sz w:val="18"/>
          <w:szCs w:val="18"/>
        </w:rPr>
        <w:t>5</w:t>
      </w:r>
      <w:r w:rsidRPr="005E6149">
        <w:rPr>
          <w:rFonts w:ascii="Arial" w:hAnsi="Arial" w:cs="Arial"/>
          <w:sz w:val="18"/>
          <w:szCs w:val="18"/>
        </w:rPr>
        <w:t xml:space="preserve">: </w:t>
      </w:r>
      <w:r w:rsidR="003955DE">
        <w:rPr>
          <w:rFonts w:ascii="Arial" w:hAnsi="Arial" w:cs="Arial"/>
          <w:sz w:val="18"/>
          <w:szCs w:val="18"/>
        </w:rPr>
        <w:t xml:space="preserve">T </w:t>
      </w:r>
      <w:r w:rsidRPr="005E6149">
        <w:rPr>
          <w:rFonts w:ascii="Arial" w:hAnsi="Arial" w:cs="Arial"/>
          <w:sz w:val="18"/>
          <w:szCs w:val="18"/>
        </w:rPr>
        <w:t xml:space="preserve">statistics for the </w:t>
      </w:r>
      <w:r w:rsidR="00513F03" w:rsidRPr="005E6149">
        <w:rPr>
          <w:rFonts w:ascii="Arial" w:hAnsi="Arial" w:cs="Arial"/>
          <w:sz w:val="18"/>
          <w:szCs w:val="18"/>
        </w:rPr>
        <w:t>trimmed</w:t>
      </w:r>
      <w:r w:rsidRPr="005E6149">
        <w:rPr>
          <w:rFonts w:ascii="Arial" w:hAnsi="Arial" w:cs="Arial"/>
          <w:sz w:val="18"/>
          <w:szCs w:val="18"/>
        </w:rPr>
        <w:t xml:space="preserve"> overnight acute admitted patient cohorts by State/Territory –</w:t>
      </w:r>
      <w:r w:rsidR="005E5750">
        <w:rPr>
          <w:rFonts w:ascii="Arial" w:hAnsi="Arial" w:cs="Arial"/>
          <w:sz w:val="18"/>
          <w:szCs w:val="18"/>
        </w:rPr>
        <w:t xml:space="preserve"> trimmed </w:t>
      </w:r>
      <w:r w:rsidR="005E5750" w:rsidRPr="005E6149">
        <w:rPr>
          <w:rFonts w:ascii="Arial" w:hAnsi="Arial" w:cs="Arial"/>
          <w:sz w:val="18"/>
          <w:szCs w:val="18"/>
        </w:rPr>
        <w:t>NHCDC</w:t>
      </w:r>
      <w:r w:rsidR="005E5750">
        <w:rPr>
          <w:rFonts w:ascii="Arial" w:hAnsi="Arial" w:cs="Arial"/>
          <w:sz w:val="18"/>
          <w:szCs w:val="18"/>
        </w:rPr>
        <w:t xml:space="preserve"> datasets for Round 17 </w:t>
      </w:r>
      <w:bookmarkEnd w:id="46"/>
    </w:p>
    <w:tbl>
      <w:tblPr>
        <w:tblW w:w="11601"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Table 5.5: T statistics for the trimmed overnight acute admitted patient cohorts by State/Territory – trimmed NHCDC datasets for Round 17 "/>
      </w:tblPr>
      <w:tblGrid>
        <w:gridCol w:w="1512"/>
        <w:gridCol w:w="1134"/>
        <w:gridCol w:w="1231"/>
        <w:gridCol w:w="1179"/>
        <w:gridCol w:w="1134"/>
        <w:gridCol w:w="800"/>
        <w:gridCol w:w="992"/>
        <w:gridCol w:w="850"/>
        <w:gridCol w:w="2728"/>
        <w:gridCol w:w="41"/>
      </w:tblGrid>
      <w:tr w:rsidR="00BA0F64" w:rsidRPr="002019C1" w:rsidTr="00B31DC7">
        <w:trPr>
          <w:gridAfter w:val="1"/>
          <w:wAfter w:w="41" w:type="dxa"/>
          <w:trHeight w:val="300"/>
          <w:tblHeader/>
          <w:jc w:val="center"/>
        </w:trPr>
        <w:tc>
          <w:tcPr>
            <w:tcW w:w="1512" w:type="dxa"/>
            <w:vMerge w:val="restart"/>
            <w:shd w:val="clear" w:color="auto" w:fill="CCCCCC"/>
          </w:tcPr>
          <w:p w:rsidR="00BA0F64" w:rsidRPr="00C628C4" w:rsidRDefault="00BA0F64" w:rsidP="00BA0F6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Jurisdiction</w:t>
            </w:r>
          </w:p>
        </w:tc>
        <w:tc>
          <w:tcPr>
            <w:tcW w:w="2365" w:type="dxa"/>
            <w:gridSpan w:val="2"/>
            <w:shd w:val="clear" w:color="auto" w:fill="CCCCCC"/>
          </w:tcPr>
          <w:p w:rsidR="00BA0F64" w:rsidRPr="00C628C4" w:rsidRDefault="00BA0F64"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2313" w:type="dxa"/>
            <w:gridSpan w:val="2"/>
            <w:shd w:val="clear" w:color="auto" w:fill="CCCCCC"/>
          </w:tcPr>
          <w:p w:rsidR="00BA0F64" w:rsidRPr="00C628C4" w:rsidRDefault="007A097D"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5370" w:type="dxa"/>
            <w:gridSpan w:val="4"/>
            <w:shd w:val="clear" w:color="auto" w:fill="CCCCCC"/>
          </w:tcPr>
          <w:p w:rsidR="00BA0F64" w:rsidRPr="00C628C4" w:rsidRDefault="00BA0F64"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Statistics</w:t>
            </w:r>
          </w:p>
        </w:tc>
      </w:tr>
      <w:tr w:rsidR="00154888" w:rsidRPr="005E6149" w:rsidTr="00B31DC7">
        <w:trPr>
          <w:trHeight w:val="877"/>
          <w:tblHeader/>
          <w:jc w:val="center"/>
        </w:trPr>
        <w:tc>
          <w:tcPr>
            <w:tcW w:w="1512" w:type="dxa"/>
            <w:vMerge/>
            <w:shd w:val="clear" w:color="auto" w:fill="CCCCCC"/>
            <w:noWrap/>
            <w:vAlign w:val="bottom"/>
            <w:hideMark/>
          </w:tcPr>
          <w:p w:rsidR="00154888" w:rsidRPr="00C628C4" w:rsidRDefault="00154888" w:rsidP="00BE30AC">
            <w:pPr>
              <w:rPr>
                <w:rFonts w:asciiTheme="majorHAnsi" w:eastAsia="Times New Roman" w:hAnsiTheme="majorHAnsi" w:cs="Arial"/>
                <w:b/>
                <w:color w:val="000000"/>
                <w:sz w:val="20"/>
                <w:szCs w:val="20"/>
                <w:lang w:val="en-AU"/>
              </w:rPr>
            </w:pPr>
          </w:p>
        </w:tc>
        <w:tc>
          <w:tcPr>
            <w:tcW w:w="1134"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231"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1179"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134"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800"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992" w:type="dxa"/>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 |t|</w:t>
            </w:r>
          </w:p>
        </w:tc>
        <w:tc>
          <w:tcPr>
            <w:tcW w:w="3619" w:type="dxa"/>
            <w:gridSpan w:val="3"/>
            <w:shd w:val="clear" w:color="auto" w:fill="CCCCCC"/>
            <w:noWrap/>
            <w:vAlign w:val="bottom"/>
            <w:hideMark/>
          </w:tcPr>
          <w:p w:rsidR="00154888" w:rsidRPr="00C628C4" w:rsidRDefault="00154888" w:rsidP="00237FAE">
            <w:pP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rPr>
              <w:t>Hypothesis (</w:t>
            </w:r>
            <w:r w:rsidRPr="00C628C4">
              <w:rPr>
                <w:rFonts w:asciiTheme="majorHAnsi" w:hAnsiTheme="majorHAnsi" w:cs="Arial"/>
                <w:b/>
                <w:sz w:val="20"/>
                <w:szCs w:val="20"/>
              </w:rPr>
              <w:t>H</w:t>
            </w:r>
            <w:r w:rsidRPr="00C628C4">
              <w:rPr>
                <w:rFonts w:asciiTheme="majorHAnsi" w:hAnsiTheme="majorHAnsi" w:cs="Arial"/>
                <w:b/>
                <w:sz w:val="20"/>
                <w:szCs w:val="20"/>
                <w:vertAlign w:val="subscript"/>
              </w:rPr>
              <w:t>0</w:t>
            </w:r>
            <w:r w:rsidRPr="00C628C4">
              <w:rPr>
                <w:rFonts w:asciiTheme="majorHAnsi" w:hAnsiTheme="majorHAnsi" w:cs="Arial"/>
                <w:b/>
                <w:sz w:val="20"/>
                <w:szCs w:val="20"/>
              </w:rPr>
              <w:t xml:space="preserve">: </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heme="majorHAnsi" w:hAnsiTheme="majorHAnsi" w:cs="Times New Roman"/>
                <w:b w:val="0"/>
                <w:bCs w:val="0"/>
                <w:smallCaps w:val="0"/>
                <w:color w:val="000000" w:themeColor="text1"/>
                <w:sz w:val="22"/>
                <w:szCs w:val="22"/>
                <w:vertAlign w:val="subscript"/>
              </w:rPr>
              <w:t>1</w:t>
            </w:r>
            <w:r w:rsidR="009C1A0A" w:rsidRPr="009D7F6D">
              <w:rPr>
                <w:rStyle w:val="IntenseReference"/>
                <w:rFonts w:asciiTheme="majorHAnsi" w:hAnsiTheme="majorHAnsi" w:cs="Times New Roman"/>
                <w:b w:val="0"/>
                <w:bCs w:val="0"/>
                <w:smallCaps w:val="0"/>
                <w:color w:val="000000" w:themeColor="text1"/>
                <w:sz w:val="20"/>
                <w:szCs w:val="20"/>
              </w:rPr>
              <w:t>=</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b/>
                <w:sz w:val="20"/>
                <w:szCs w:val="20"/>
              </w:rPr>
              <w:t>)</w:t>
            </w:r>
          </w:p>
        </w:tc>
      </w:tr>
      <w:tr w:rsidR="00154888" w:rsidRPr="005E6149" w:rsidTr="00B31DC7">
        <w:trPr>
          <w:trHeight w:val="500"/>
          <w:jc w:val="center"/>
        </w:trPr>
        <w:tc>
          <w:tcPr>
            <w:tcW w:w="1512" w:type="dxa"/>
            <w:shd w:val="clear" w:color="auto" w:fill="auto"/>
            <w:vAlign w:val="bottom"/>
            <w:hideMark/>
          </w:tcPr>
          <w:p w:rsidR="00154888" w:rsidRPr="00C628C4" w:rsidRDefault="00154888" w:rsidP="009C1A0A">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Queensland</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34,478</w:t>
            </w:r>
          </w:p>
        </w:tc>
        <w:tc>
          <w:tcPr>
            <w:tcW w:w="1231"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r w:rsidR="0049731D" w:rsidRPr="00C628C4">
              <w:rPr>
                <w:rFonts w:asciiTheme="majorHAnsi" w:eastAsia="Times New Roman" w:hAnsiTheme="majorHAnsi" w:cs="Arial"/>
                <w:color w:val="000000"/>
                <w:sz w:val="20"/>
                <w:szCs w:val="20"/>
                <w:lang w:val="en-AU"/>
              </w:rPr>
              <w:t>126</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435,834</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$7,370</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-5.87</w:t>
            </w:r>
          </w:p>
        </w:tc>
        <w:tc>
          <w:tcPr>
            <w:tcW w:w="992"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reject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heme="majorHAnsi" w:hAnsiTheme="majorHAnsi" w:cs="Times New Roman"/>
                <w:b w:val="0"/>
                <w:bCs w:val="0"/>
                <w:smallCaps w:val="0"/>
                <w:color w:val="000000" w:themeColor="text1"/>
                <w:sz w:val="22"/>
                <w:szCs w:val="22"/>
                <w:vertAlign w:val="subscript"/>
              </w:rPr>
              <w:t>1</w:t>
            </w:r>
            <w:r w:rsidR="009C3E10">
              <w:rPr>
                <w:rStyle w:val="IntenseReference"/>
                <w:rFonts w:asciiTheme="majorHAnsi" w:hAnsiTheme="majorHAnsi" w:cs="Times New Roman"/>
                <w:b w:val="0"/>
                <w:bCs w:val="0"/>
                <w:smallCaps w:val="0"/>
                <w:color w:val="000000" w:themeColor="text1"/>
                <w:sz w:val="22"/>
                <w:szCs w:val="22"/>
                <w:vertAlign w:val="subscript"/>
              </w:rPr>
              <w:t xml:space="preserve"> </w:t>
            </w:r>
            <w:r w:rsidR="009C3E10" w:rsidRPr="009D7F6D">
              <w:rPr>
                <w:rStyle w:val="IntenseReference"/>
                <w:rFonts w:asciiTheme="majorHAnsi" w:hAnsiTheme="majorHAnsi" w:cs="Times New Roman"/>
                <w:b w:val="0"/>
                <w:bCs w:val="0"/>
                <w:smallCaps w:val="0"/>
                <w:color w:val="000000" w:themeColor="text1"/>
                <w:sz w:val="20"/>
                <w:szCs w:val="20"/>
              </w:rPr>
              <w:t xml:space="preserve">˂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512" w:type="dxa"/>
            <w:shd w:val="clear" w:color="auto" w:fill="auto"/>
            <w:vAlign w:val="bottom"/>
            <w:hideMark/>
          </w:tcPr>
          <w:p w:rsidR="00154888" w:rsidRPr="00C628C4" w:rsidRDefault="00154888" w:rsidP="00237FAE">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New South Wales</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27,649</w:t>
            </w:r>
          </w:p>
        </w:tc>
        <w:tc>
          <w:tcPr>
            <w:tcW w:w="1231"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6,885</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699,777</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r w:rsidR="0049731D" w:rsidRPr="00C628C4">
              <w:rPr>
                <w:rFonts w:asciiTheme="majorHAnsi" w:eastAsia="Times New Roman" w:hAnsiTheme="majorHAnsi" w:cs="Arial"/>
                <w:color w:val="000000"/>
                <w:sz w:val="20"/>
                <w:szCs w:val="20"/>
                <w:lang w:val="en-AU"/>
              </w:rPr>
              <w:t>323</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-10.14</w:t>
            </w:r>
          </w:p>
        </w:tc>
        <w:tc>
          <w:tcPr>
            <w:tcW w:w="992"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reject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heme="majorHAnsi" w:hAnsiTheme="majorHAnsi" w:cs="Times New Roman"/>
                <w:b w:val="0"/>
                <w:bCs w:val="0"/>
                <w:smallCaps w:val="0"/>
                <w:color w:val="000000" w:themeColor="text1"/>
                <w:sz w:val="22"/>
                <w:szCs w:val="22"/>
                <w:vertAlign w:val="subscript"/>
              </w:rPr>
              <w:t>1</w:t>
            </w:r>
            <w:r w:rsidR="009C3E10">
              <w:rPr>
                <w:rStyle w:val="IntenseReference"/>
                <w:rFonts w:asciiTheme="majorHAnsi" w:hAnsiTheme="majorHAnsi" w:cs="Times New Roman"/>
                <w:b w:val="0"/>
                <w:bCs w:val="0"/>
                <w:smallCaps w:val="0"/>
                <w:color w:val="000000" w:themeColor="text1"/>
                <w:sz w:val="22"/>
                <w:szCs w:val="22"/>
                <w:vertAlign w:val="subscript"/>
              </w:rPr>
              <w:t xml:space="preserve"> </w:t>
            </w:r>
            <w:r w:rsidR="009C3E10" w:rsidRPr="009D7F6D">
              <w:rPr>
                <w:rStyle w:val="IntenseReference"/>
                <w:rFonts w:asciiTheme="majorHAnsi" w:hAnsiTheme="majorHAnsi" w:cs="Times New Roman"/>
                <w:b w:val="0"/>
                <w:bCs w:val="0"/>
                <w:smallCaps w:val="0"/>
                <w:color w:val="000000" w:themeColor="text1"/>
                <w:sz w:val="20"/>
                <w:szCs w:val="20"/>
              </w:rPr>
              <w:t xml:space="preserve">˂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512" w:type="dxa"/>
            <w:shd w:val="clear" w:color="auto" w:fill="auto"/>
            <w:vAlign w:val="bottom"/>
          </w:tcPr>
          <w:p w:rsidR="00154888" w:rsidRPr="00C628C4" w:rsidRDefault="00154888" w:rsidP="00237FAE">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Australian Capital Territory</w:t>
            </w:r>
          </w:p>
        </w:tc>
        <w:tc>
          <w:tcPr>
            <w:tcW w:w="1134"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1,048</w:t>
            </w:r>
          </w:p>
        </w:tc>
        <w:tc>
          <w:tcPr>
            <w:tcW w:w="1231"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10,4010</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37,489</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w:t>
            </w:r>
            <w:r w:rsidR="0049731D" w:rsidRPr="00C628C4">
              <w:rPr>
                <w:rFonts w:asciiTheme="majorHAnsi" w:eastAsia="Times New Roman" w:hAnsiTheme="majorHAnsi" w:cs="Arial"/>
                <w:color w:val="000000"/>
                <w:sz w:val="20"/>
                <w:szCs w:val="20"/>
                <w:lang w:val="en-AU"/>
              </w:rPr>
              <w:t>092</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0.98</w:t>
            </w:r>
          </w:p>
        </w:tc>
        <w:tc>
          <w:tcPr>
            <w:tcW w:w="992"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0.3249</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accept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No differential</w:t>
            </w:r>
          </w:p>
        </w:tc>
      </w:tr>
      <w:tr w:rsidR="00154888" w:rsidRPr="005E6149" w:rsidTr="00B31DC7">
        <w:trPr>
          <w:trHeight w:val="500"/>
          <w:jc w:val="center"/>
        </w:trPr>
        <w:tc>
          <w:tcPr>
            <w:tcW w:w="1512" w:type="dxa"/>
            <w:shd w:val="clear" w:color="auto" w:fill="auto"/>
            <w:vAlign w:val="bottom"/>
          </w:tcPr>
          <w:p w:rsidR="00154888" w:rsidRPr="00C628C4" w:rsidRDefault="00154888" w:rsidP="00237FAE">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Victoria</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5,957</w:t>
            </w:r>
          </w:p>
        </w:tc>
        <w:tc>
          <w:tcPr>
            <w:tcW w:w="1231"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6,535</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520,527</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6,886</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-3.95</w:t>
            </w:r>
          </w:p>
        </w:tc>
        <w:tc>
          <w:tcPr>
            <w:tcW w:w="992"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heme="majorHAnsi" w:hAnsiTheme="majorHAnsi" w:cs="Times New Roman"/>
                <w:b w:val="0"/>
                <w:bCs w:val="0"/>
                <w:smallCaps w:val="0"/>
                <w:color w:val="000000" w:themeColor="text1"/>
                <w:sz w:val="22"/>
                <w:szCs w:val="22"/>
                <w:vertAlign w:val="subscript"/>
              </w:rPr>
              <w:t>1</w:t>
            </w:r>
            <w:r w:rsidR="009C3E10">
              <w:rPr>
                <w:rStyle w:val="IntenseReference"/>
                <w:rFonts w:asciiTheme="majorHAnsi" w:hAnsiTheme="majorHAnsi" w:cs="Times New Roman"/>
                <w:b w:val="0"/>
                <w:bCs w:val="0"/>
                <w:smallCaps w:val="0"/>
                <w:color w:val="000000" w:themeColor="text1"/>
                <w:sz w:val="22"/>
                <w:szCs w:val="22"/>
                <w:vertAlign w:val="subscript"/>
              </w:rPr>
              <w:t xml:space="preserve"> </w:t>
            </w:r>
            <w:r w:rsidR="009C3E10" w:rsidRPr="009D7F6D">
              <w:rPr>
                <w:rStyle w:val="IntenseReference"/>
                <w:rFonts w:asciiTheme="majorHAnsi" w:hAnsiTheme="majorHAnsi" w:cs="Times New Roman"/>
                <w:b w:val="0"/>
                <w:bCs w:val="0"/>
                <w:smallCaps w:val="0"/>
                <w:color w:val="000000" w:themeColor="text1"/>
                <w:sz w:val="20"/>
                <w:szCs w:val="20"/>
              </w:rPr>
              <w:t xml:space="preserve">˂ </w:t>
            </w:r>
            <w:r w:rsidR="009C3E10" w:rsidRPr="009D7F6D">
              <w:rPr>
                <w:rStyle w:val="IntenseReference"/>
                <w:rFonts w:asciiTheme="majorHAnsi" w:hAnsiTheme="majorHAnsi" w:cs="Times New Roman"/>
                <w:b w:val="0"/>
                <w:bCs w:val="0"/>
                <w:smallCaps w:val="0"/>
                <w:color w:val="000000" w:themeColor="text1"/>
                <w:sz w:val="22"/>
                <w:szCs w:val="22"/>
              </w:rPr>
              <w:t>µ</w:t>
            </w:r>
            <w:r w:rsidR="009C3E10"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512" w:type="dxa"/>
            <w:shd w:val="clear" w:color="auto" w:fill="auto"/>
            <w:vAlign w:val="bottom"/>
          </w:tcPr>
          <w:p w:rsidR="00154888" w:rsidRPr="00C628C4" w:rsidRDefault="00154888" w:rsidP="00BE30AC">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lastRenderedPageBreak/>
              <w:t>Tasmania</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1,878</w:t>
            </w:r>
          </w:p>
        </w:tc>
        <w:tc>
          <w:tcPr>
            <w:tcW w:w="1231"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$7,094</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43,585</w:t>
            </w:r>
          </w:p>
        </w:tc>
        <w:tc>
          <w:tcPr>
            <w:tcW w:w="1134" w:type="dxa"/>
            <w:shd w:val="clear" w:color="auto" w:fill="auto"/>
            <w:noWrap/>
            <w:vAlign w:val="bottom"/>
          </w:tcPr>
          <w:p w:rsidR="00154888" w:rsidRPr="00C628C4" w:rsidRDefault="00154888" w:rsidP="0049731D">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49731D" w:rsidRPr="00C628C4">
              <w:rPr>
                <w:rFonts w:asciiTheme="majorHAnsi" w:eastAsia="Times New Roman" w:hAnsiTheme="majorHAnsi" w:cs="Arial"/>
                <w:color w:val="000000"/>
                <w:sz w:val="20"/>
                <w:szCs w:val="20"/>
                <w:lang w:val="en-AU"/>
              </w:rPr>
              <w:t>7,920</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-4.62</w:t>
            </w:r>
          </w:p>
        </w:tc>
        <w:tc>
          <w:tcPr>
            <w:tcW w:w="992"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7C7DA9" w:rsidRPr="009D7F6D">
              <w:rPr>
                <w:rStyle w:val="IntenseReference"/>
                <w:rFonts w:asciiTheme="majorHAnsi" w:hAnsiTheme="majorHAnsi" w:cs="Times New Roman"/>
                <w:b w:val="0"/>
                <w:bCs w:val="0"/>
                <w:smallCaps w:val="0"/>
                <w:color w:val="000000" w:themeColor="text1"/>
                <w:sz w:val="22"/>
                <w:szCs w:val="22"/>
              </w:rPr>
              <w:t>µ</w:t>
            </w:r>
            <w:r w:rsidR="007C7DA9" w:rsidRPr="009D7F6D">
              <w:rPr>
                <w:rStyle w:val="IntenseReference"/>
                <w:rFonts w:asciiTheme="majorHAnsi" w:hAnsiTheme="majorHAnsi" w:cs="Times New Roman"/>
                <w:b w:val="0"/>
                <w:bCs w:val="0"/>
                <w:smallCaps w:val="0"/>
                <w:color w:val="000000" w:themeColor="text1"/>
                <w:sz w:val="22"/>
                <w:szCs w:val="22"/>
                <w:vertAlign w:val="subscript"/>
              </w:rPr>
              <w:t>1</w:t>
            </w:r>
            <w:r w:rsidR="007C7DA9">
              <w:rPr>
                <w:rStyle w:val="IntenseReference"/>
                <w:rFonts w:asciiTheme="majorHAnsi" w:hAnsiTheme="majorHAnsi" w:cs="Times New Roman"/>
                <w:b w:val="0"/>
                <w:bCs w:val="0"/>
                <w:smallCaps w:val="0"/>
                <w:color w:val="000000" w:themeColor="text1"/>
                <w:sz w:val="22"/>
                <w:szCs w:val="22"/>
                <w:vertAlign w:val="subscript"/>
              </w:rPr>
              <w:t xml:space="preserve"> </w:t>
            </w:r>
            <w:r w:rsidR="007C7DA9" w:rsidRPr="009D7F6D">
              <w:rPr>
                <w:rStyle w:val="IntenseReference"/>
                <w:rFonts w:asciiTheme="majorHAnsi" w:hAnsiTheme="majorHAnsi" w:cs="Times New Roman"/>
                <w:b w:val="0"/>
                <w:bCs w:val="0"/>
                <w:smallCaps w:val="0"/>
                <w:color w:val="000000" w:themeColor="text1"/>
                <w:sz w:val="20"/>
                <w:szCs w:val="20"/>
              </w:rPr>
              <w:t xml:space="preserve">˂ </w:t>
            </w:r>
            <w:r w:rsidR="007C7DA9" w:rsidRPr="009D7F6D">
              <w:rPr>
                <w:rStyle w:val="IntenseReference"/>
                <w:rFonts w:asciiTheme="majorHAnsi" w:hAnsiTheme="majorHAnsi" w:cs="Times New Roman"/>
                <w:b w:val="0"/>
                <w:bCs w:val="0"/>
                <w:smallCaps w:val="0"/>
                <w:color w:val="000000" w:themeColor="text1"/>
                <w:sz w:val="22"/>
                <w:szCs w:val="22"/>
              </w:rPr>
              <w:t>µ</w:t>
            </w:r>
            <w:r w:rsidR="007C7DA9"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512" w:type="dxa"/>
            <w:shd w:val="clear" w:color="auto" w:fill="auto"/>
            <w:vAlign w:val="bottom"/>
          </w:tcPr>
          <w:p w:rsidR="00154888" w:rsidRPr="00C628C4" w:rsidRDefault="00154888" w:rsidP="00BE30AC">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South Australia</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7,001</w:t>
            </w:r>
          </w:p>
        </w:tc>
        <w:tc>
          <w:tcPr>
            <w:tcW w:w="1231" w:type="dxa"/>
            <w:shd w:val="clear" w:color="auto" w:fill="auto"/>
            <w:noWrap/>
            <w:vAlign w:val="bottom"/>
          </w:tcPr>
          <w:p w:rsidR="00154888" w:rsidRPr="00C628C4" w:rsidRDefault="00154888" w:rsidP="00A1331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$7,657</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161,953</w:t>
            </w:r>
          </w:p>
        </w:tc>
        <w:tc>
          <w:tcPr>
            <w:tcW w:w="1134" w:type="dxa"/>
            <w:shd w:val="clear" w:color="auto" w:fill="auto"/>
            <w:noWrap/>
            <w:vAlign w:val="bottom"/>
          </w:tcPr>
          <w:p w:rsidR="00154888" w:rsidRPr="00C628C4" w:rsidRDefault="00154888" w:rsidP="001D45B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$7,780.80</w:t>
            </w:r>
          </w:p>
        </w:tc>
        <w:tc>
          <w:tcPr>
            <w:tcW w:w="80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-1.20</w:t>
            </w:r>
          </w:p>
        </w:tc>
        <w:tc>
          <w:tcPr>
            <w:tcW w:w="992"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0.2314</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accept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No differential</w:t>
            </w:r>
          </w:p>
        </w:tc>
      </w:tr>
      <w:tr w:rsidR="00154888" w:rsidRPr="005E6149" w:rsidTr="00B31DC7">
        <w:trPr>
          <w:trHeight w:val="500"/>
          <w:jc w:val="center"/>
        </w:trPr>
        <w:tc>
          <w:tcPr>
            <w:tcW w:w="1512" w:type="dxa"/>
            <w:shd w:val="clear" w:color="auto" w:fill="auto"/>
            <w:vAlign w:val="bottom"/>
          </w:tcPr>
          <w:p w:rsidR="00154888" w:rsidRPr="00C628C4" w:rsidRDefault="00154888" w:rsidP="00BE30AC">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Western Australia</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3,601</w:t>
            </w:r>
          </w:p>
        </w:tc>
        <w:tc>
          <w:tcPr>
            <w:tcW w:w="1231" w:type="dxa"/>
            <w:shd w:val="clear" w:color="auto" w:fill="auto"/>
            <w:noWrap/>
            <w:vAlign w:val="bottom"/>
          </w:tcPr>
          <w:p w:rsidR="00154888" w:rsidRPr="00C628C4" w:rsidRDefault="00154888" w:rsidP="001D45B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$7,517.30</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28,523</w:t>
            </w:r>
          </w:p>
        </w:tc>
        <w:tc>
          <w:tcPr>
            <w:tcW w:w="1134"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$6,850.40</w:t>
            </w:r>
          </w:p>
        </w:tc>
        <w:tc>
          <w:tcPr>
            <w:tcW w:w="80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4.82</w:t>
            </w:r>
          </w:p>
        </w:tc>
        <w:tc>
          <w:tcPr>
            <w:tcW w:w="992"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9C1A0A">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Higher (</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heme="majorHAnsi" w:hAnsiTheme="majorHAnsi" w:cs="Times New Roman"/>
                <w:b w:val="0"/>
                <w:bCs w:val="0"/>
                <w:smallCaps w:val="0"/>
                <w:color w:val="000000" w:themeColor="text1"/>
                <w:sz w:val="22"/>
                <w:szCs w:val="22"/>
                <w:vertAlign w:val="subscript"/>
              </w:rPr>
              <w:t>1</w:t>
            </w:r>
            <w:r w:rsidR="009C1A0A">
              <w:rPr>
                <w:rStyle w:val="IntenseReference"/>
                <w:rFonts w:asciiTheme="majorHAnsi" w:hAnsiTheme="majorHAnsi" w:cs="Times New Roman"/>
                <w:b w:val="0"/>
                <w:bCs w:val="0"/>
                <w:smallCaps w:val="0"/>
                <w:color w:val="000000" w:themeColor="text1"/>
                <w:sz w:val="22"/>
                <w:szCs w:val="22"/>
                <w:vertAlign w:val="subscript"/>
              </w:rPr>
              <w:t xml:space="preserve"> </w:t>
            </w:r>
            <w:r w:rsidR="009C1A0A">
              <w:rPr>
                <w:rStyle w:val="IntenseReference"/>
                <w:rFonts w:asciiTheme="majorHAnsi" w:hAnsiTheme="majorHAnsi" w:cs="Times New Roman"/>
                <w:b w:val="0"/>
                <w:bCs w:val="0"/>
                <w:smallCaps w:val="0"/>
                <w:color w:val="000000" w:themeColor="text1"/>
                <w:sz w:val="20"/>
                <w:szCs w:val="20"/>
              </w:rPr>
              <w:t>˃</w:t>
            </w:r>
            <w:r w:rsidR="009C1A0A" w:rsidRPr="009D7F6D">
              <w:rPr>
                <w:rStyle w:val="IntenseReference"/>
                <w:rFonts w:asciiTheme="majorHAnsi" w:hAnsiTheme="majorHAnsi" w:cs="Times New Roman"/>
                <w:b w:val="0"/>
                <w:bCs w:val="0"/>
                <w:smallCaps w:val="0"/>
                <w:color w:val="000000" w:themeColor="text1"/>
                <w:sz w:val="20"/>
                <w:szCs w:val="20"/>
              </w:rPr>
              <w:t xml:space="preserve"> </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r w:rsidR="00154888" w:rsidRPr="005E6149" w:rsidTr="00B31DC7">
        <w:trPr>
          <w:trHeight w:val="500"/>
          <w:jc w:val="center"/>
        </w:trPr>
        <w:tc>
          <w:tcPr>
            <w:tcW w:w="1512" w:type="dxa"/>
            <w:shd w:val="clear" w:color="auto" w:fill="auto"/>
            <w:vAlign w:val="bottom"/>
          </w:tcPr>
          <w:p w:rsidR="00154888" w:rsidRPr="00C628C4" w:rsidRDefault="00154888" w:rsidP="00BE30AC">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Northern Territory</w:t>
            </w:r>
          </w:p>
        </w:tc>
        <w:tc>
          <w:tcPr>
            <w:tcW w:w="1134"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20,091</w:t>
            </w:r>
          </w:p>
        </w:tc>
        <w:tc>
          <w:tcPr>
            <w:tcW w:w="1231"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$7,836.20</w:t>
            </w:r>
          </w:p>
        </w:tc>
        <w:tc>
          <w:tcPr>
            <w:tcW w:w="1179"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16,616</w:t>
            </w:r>
          </w:p>
        </w:tc>
        <w:tc>
          <w:tcPr>
            <w:tcW w:w="1134" w:type="dxa"/>
            <w:shd w:val="clear" w:color="auto" w:fill="auto"/>
            <w:noWrap/>
            <w:vAlign w:val="bottom"/>
          </w:tcPr>
          <w:p w:rsidR="00154888" w:rsidRPr="00C628C4" w:rsidRDefault="00154888" w:rsidP="001D45B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$8059.50</w:t>
            </w:r>
          </w:p>
        </w:tc>
        <w:tc>
          <w:tcPr>
            <w:tcW w:w="800"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-2.62</w:t>
            </w:r>
          </w:p>
        </w:tc>
        <w:tc>
          <w:tcPr>
            <w:tcW w:w="992" w:type="dxa"/>
            <w:shd w:val="clear" w:color="auto" w:fill="auto"/>
            <w:noWrap/>
            <w:vAlign w:val="bottom"/>
          </w:tcPr>
          <w:p w:rsidR="00154888" w:rsidRPr="00C628C4" w:rsidRDefault="00154888" w:rsidP="00325414">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0.0089</w:t>
            </w:r>
          </w:p>
        </w:tc>
        <w:tc>
          <w:tcPr>
            <w:tcW w:w="850" w:type="dxa"/>
            <w:shd w:val="clear" w:color="auto" w:fill="auto"/>
            <w:noWrap/>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2769" w:type="dxa"/>
            <w:gridSpan w:val="2"/>
            <w:vAlign w:val="bottom"/>
          </w:tcPr>
          <w:p w:rsidR="00154888" w:rsidRPr="00C628C4" w:rsidRDefault="00154888"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Lower (</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heme="majorHAnsi" w:hAnsiTheme="majorHAnsi" w:cs="Times New Roman"/>
                <w:b w:val="0"/>
                <w:bCs w:val="0"/>
                <w:smallCaps w:val="0"/>
                <w:color w:val="000000" w:themeColor="text1"/>
                <w:sz w:val="22"/>
                <w:szCs w:val="22"/>
                <w:vertAlign w:val="subscript"/>
              </w:rPr>
              <w:t>1</w:t>
            </w:r>
            <w:r w:rsidR="009C1A0A">
              <w:rPr>
                <w:rStyle w:val="IntenseReference"/>
                <w:rFonts w:asciiTheme="majorHAnsi" w:hAnsiTheme="majorHAnsi" w:cs="Times New Roman"/>
                <w:b w:val="0"/>
                <w:bCs w:val="0"/>
                <w:smallCaps w:val="0"/>
                <w:color w:val="000000" w:themeColor="text1"/>
                <w:sz w:val="22"/>
                <w:szCs w:val="22"/>
                <w:vertAlign w:val="subscript"/>
              </w:rPr>
              <w:t xml:space="preserve"> </w:t>
            </w:r>
            <w:r w:rsidR="009C1A0A" w:rsidRPr="009D7F6D">
              <w:rPr>
                <w:rStyle w:val="IntenseReference"/>
                <w:rFonts w:asciiTheme="majorHAnsi" w:hAnsiTheme="majorHAnsi" w:cs="Times New Roman"/>
                <w:b w:val="0"/>
                <w:bCs w:val="0"/>
                <w:smallCaps w:val="0"/>
                <w:color w:val="000000" w:themeColor="text1"/>
                <w:sz w:val="20"/>
                <w:szCs w:val="20"/>
              </w:rPr>
              <w:t xml:space="preserve">˂ </w:t>
            </w:r>
            <w:r w:rsidR="009C1A0A" w:rsidRPr="009D7F6D">
              <w:rPr>
                <w:rStyle w:val="IntenseReference"/>
                <w:rFonts w:asciiTheme="majorHAnsi" w:hAnsiTheme="majorHAnsi" w:cs="Times New Roman"/>
                <w:b w:val="0"/>
                <w:bCs w:val="0"/>
                <w:smallCaps w:val="0"/>
                <w:color w:val="000000" w:themeColor="text1"/>
                <w:sz w:val="22"/>
                <w:szCs w:val="22"/>
              </w:rPr>
              <w:t>µ</w:t>
            </w:r>
            <w:r w:rsidR="009C1A0A" w:rsidRPr="009D7F6D">
              <w:rPr>
                <w:rStyle w:val="IntenseReference"/>
                <w:rFonts w:ascii="Times New Roman" w:hAnsi="Times New Roman"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20"/>
                <w:szCs w:val="20"/>
              </w:rPr>
              <w:t>)</w:t>
            </w:r>
          </w:p>
        </w:tc>
      </w:tr>
    </w:tbl>
    <w:p w:rsidR="00BA0F64" w:rsidRPr="005E6149" w:rsidRDefault="00ED753B" w:rsidP="00EE2419">
      <w:pPr>
        <w:spacing w:before="120" w:after="120"/>
        <w:rPr>
          <w:rFonts w:ascii="Arial" w:hAnsi="Arial" w:cs="Arial"/>
          <w:sz w:val="22"/>
          <w:szCs w:val="22"/>
        </w:rPr>
      </w:pPr>
      <w:r w:rsidRPr="005E6149">
        <w:rPr>
          <w:rFonts w:ascii="Arial" w:hAnsi="Arial" w:cs="Arial"/>
          <w:sz w:val="22"/>
          <w:szCs w:val="22"/>
        </w:rPr>
        <w:t>The high level jurisdictionally based analysis is counter-intuitive to feedback received from clinicians</w:t>
      </w:r>
      <w:r w:rsidR="005522CC" w:rsidRPr="005E6149">
        <w:rPr>
          <w:rFonts w:ascii="Arial" w:hAnsi="Arial" w:cs="Arial"/>
          <w:sz w:val="22"/>
          <w:szCs w:val="22"/>
        </w:rPr>
        <w:t xml:space="preserve"> and also State and Territory based health administrators</w:t>
      </w:r>
      <w:r w:rsidR="00D873D2">
        <w:rPr>
          <w:rFonts w:ascii="Arial" w:hAnsi="Arial" w:cs="Arial"/>
          <w:sz w:val="22"/>
          <w:szCs w:val="22"/>
        </w:rPr>
        <w:t xml:space="preserve">. </w:t>
      </w:r>
      <w:r w:rsidR="00BE6BD9" w:rsidRPr="005E6149">
        <w:rPr>
          <w:rFonts w:ascii="Arial" w:hAnsi="Arial" w:cs="Arial"/>
          <w:sz w:val="22"/>
          <w:szCs w:val="22"/>
        </w:rPr>
        <w:t>These results may be influenced by the cost allocations adopted by hospitals within jurisdictions</w:t>
      </w:r>
      <w:r w:rsidR="005E5750">
        <w:rPr>
          <w:rFonts w:ascii="Arial" w:hAnsi="Arial" w:cs="Arial"/>
          <w:sz w:val="22"/>
          <w:szCs w:val="22"/>
        </w:rPr>
        <w:t>.</w:t>
      </w:r>
    </w:p>
    <w:p w:rsidR="00EE2419" w:rsidRPr="005E6149" w:rsidRDefault="00BE6BD9" w:rsidP="00EE2419">
      <w:pPr>
        <w:spacing w:before="120" w:after="120"/>
        <w:rPr>
          <w:rFonts w:ascii="Arial" w:hAnsi="Arial" w:cs="Arial"/>
          <w:sz w:val="22"/>
          <w:szCs w:val="22"/>
        </w:rPr>
      </w:pPr>
      <w:r w:rsidRPr="005E6149">
        <w:rPr>
          <w:rFonts w:ascii="Arial" w:hAnsi="Arial" w:cs="Arial"/>
          <w:sz w:val="22"/>
          <w:szCs w:val="22"/>
        </w:rPr>
        <w:t>The</w:t>
      </w:r>
      <w:r w:rsidR="00EE2419" w:rsidRPr="005E6149">
        <w:rPr>
          <w:rFonts w:ascii="Arial" w:hAnsi="Arial" w:cs="Arial"/>
          <w:sz w:val="22"/>
          <w:szCs w:val="22"/>
        </w:rPr>
        <w:t xml:space="preserve"> statistics </w:t>
      </w:r>
      <w:r w:rsidRPr="005E6149">
        <w:rPr>
          <w:rFonts w:ascii="Arial" w:hAnsi="Arial" w:cs="Arial"/>
          <w:sz w:val="22"/>
          <w:szCs w:val="22"/>
        </w:rPr>
        <w:t xml:space="preserve">presented in Tables 5.10 and 5.11 do not </w:t>
      </w:r>
      <w:r w:rsidR="00EE2419" w:rsidRPr="005E6149">
        <w:rPr>
          <w:rFonts w:ascii="Arial" w:hAnsi="Arial" w:cs="Arial"/>
          <w:sz w:val="22"/>
          <w:szCs w:val="22"/>
        </w:rPr>
        <w:t xml:space="preserve">take into account the </w:t>
      </w:r>
      <w:proofErr w:type="spellStart"/>
      <w:r w:rsidR="00EE2419" w:rsidRPr="005E6149">
        <w:rPr>
          <w:rFonts w:ascii="Arial" w:hAnsi="Arial" w:cs="Arial"/>
          <w:sz w:val="22"/>
          <w:szCs w:val="22"/>
        </w:rPr>
        <w:t>casemix</w:t>
      </w:r>
      <w:proofErr w:type="spellEnd"/>
      <w:r w:rsidR="00EE2419" w:rsidRPr="005E6149">
        <w:rPr>
          <w:rFonts w:ascii="Arial" w:hAnsi="Arial" w:cs="Arial"/>
          <w:sz w:val="22"/>
          <w:szCs w:val="22"/>
        </w:rPr>
        <w:t xml:space="preserve"> profiles of the respective patient cohorts. Accordingly, analysis </w:t>
      </w:r>
      <w:r w:rsidR="005E000C" w:rsidRPr="005E6149">
        <w:rPr>
          <w:rFonts w:ascii="Arial" w:hAnsi="Arial" w:cs="Arial"/>
          <w:sz w:val="22"/>
          <w:szCs w:val="22"/>
        </w:rPr>
        <w:t xml:space="preserve">progressed to consider any potential variation </w:t>
      </w:r>
      <w:r w:rsidR="00EE2419" w:rsidRPr="005E6149">
        <w:rPr>
          <w:rFonts w:ascii="Arial" w:hAnsi="Arial" w:cs="Arial"/>
          <w:sz w:val="22"/>
          <w:szCs w:val="22"/>
        </w:rPr>
        <w:t>at the MDC level.</w:t>
      </w:r>
    </w:p>
    <w:p w:rsidR="00EE2419" w:rsidRPr="00A46AE7" w:rsidRDefault="00EE2419" w:rsidP="00A46AE7">
      <w:pPr>
        <w:pStyle w:val="Heading2"/>
        <w:keepLines w:val="0"/>
        <w:tabs>
          <w:tab w:val="left" w:pos="851"/>
        </w:tabs>
        <w:spacing w:before="360" w:after="240"/>
        <w:ind w:left="851" w:hanging="851"/>
        <w:rPr>
          <w:rFonts w:ascii="Arial" w:hAnsi="Arial" w:cs="Arial"/>
          <w:color w:val="548DD4" w:themeColor="text2" w:themeTint="99"/>
        </w:rPr>
      </w:pPr>
      <w:bookmarkStart w:id="47" w:name="_Toc278480623"/>
      <w:r w:rsidRPr="00A46AE7">
        <w:rPr>
          <w:rFonts w:ascii="Arial" w:hAnsi="Arial" w:cs="Arial"/>
          <w:color w:val="548DD4" w:themeColor="text2" w:themeTint="99"/>
        </w:rPr>
        <w:t>Analysis at the Major Diagnostic Category level</w:t>
      </w:r>
      <w:bookmarkEnd w:id="47"/>
    </w:p>
    <w:p w:rsidR="0025056E" w:rsidRPr="005E6149" w:rsidRDefault="007E033E" w:rsidP="008964BF">
      <w:pPr>
        <w:spacing w:before="120" w:after="120"/>
        <w:rPr>
          <w:rFonts w:ascii="Arial" w:hAnsi="Arial" w:cs="Arial"/>
          <w:sz w:val="22"/>
          <w:szCs w:val="22"/>
        </w:rPr>
      </w:pPr>
      <w:r w:rsidRPr="005E6149">
        <w:rPr>
          <w:rFonts w:ascii="Arial" w:hAnsi="Arial" w:cs="Arial"/>
          <w:sz w:val="22"/>
          <w:szCs w:val="22"/>
        </w:rPr>
        <w:t xml:space="preserve">The distribution of cases by MDC for the respective NHCDC Rounds trimmed overnight dataset is depicted in Appendix </w:t>
      </w:r>
      <w:r w:rsidR="00BC5687">
        <w:rPr>
          <w:rFonts w:ascii="Arial" w:hAnsi="Arial" w:cs="Arial"/>
          <w:sz w:val="22"/>
          <w:szCs w:val="22"/>
        </w:rPr>
        <w:t>E</w:t>
      </w:r>
      <w:r w:rsidR="00D873D2">
        <w:rPr>
          <w:rFonts w:ascii="Arial" w:hAnsi="Arial" w:cs="Arial"/>
          <w:sz w:val="22"/>
          <w:szCs w:val="22"/>
        </w:rPr>
        <w:t xml:space="preserve">. </w:t>
      </w:r>
      <w:r w:rsidRPr="005E6149">
        <w:rPr>
          <w:rFonts w:ascii="Arial" w:hAnsi="Arial" w:cs="Arial"/>
          <w:sz w:val="22"/>
          <w:szCs w:val="22"/>
        </w:rPr>
        <w:t xml:space="preserve">There is variation in the potential cost differential between Indigenous and </w:t>
      </w:r>
      <w:r w:rsidR="007A097D">
        <w:rPr>
          <w:rFonts w:ascii="Arial" w:hAnsi="Arial" w:cs="Arial"/>
          <w:sz w:val="22"/>
          <w:szCs w:val="22"/>
        </w:rPr>
        <w:t>Non-Indigenous</w:t>
      </w:r>
      <w:r w:rsidRPr="005E6149">
        <w:rPr>
          <w:rFonts w:ascii="Arial" w:hAnsi="Arial" w:cs="Arial"/>
          <w:sz w:val="22"/>
          <w:szCs w:val="22"/>
        </w:rPr>
        <w:t xml:space="preserve"> patients across the MDCs</w:t>
      </w:r>
      <w:r w:rsidR="00D873D2">
        <w:rPr>
          <w:rFonts w:ascii="Arial" w:hAnsi="Arial" w:cs="Arial"/>
          <w:sz w:val="22"/>
          <w:szCs w:val="22"/>
        </w:rPr>
        <w:t xml:space="preserve">. </w:t>
      </w:r>
      <w:r w:rsidRPr="005E6149">
        <w:rPr>
          <w:rFonts w:ascii="Arial" w:hAnsi="Arial" w:cs="Arial"/>
          <w:sz w:val="22"/>
          <w:szCs w:val="22"/>
        </w:rPr>
        <w:t xml:space="preserve">Statistical analyses comparing the dispersion of total costs within each MDC was used to identify those MDCs where the cost variation between the two population cohorts was </w:t>
      </w:r>
      <w:r w:rsidR="00A92CF1">
        <w:rPr>
          <w:rFonts w:ascii="Arial" w:hAnsi="Arial" w:cs="Arial"/>
          <w:sz w:val="22"/>
          <w:szCs w:val="22"/>
        </w:rPr>
        <w:t>deemed to be significant</w:t>
      </w:r>
      <w:r w:rsidRPr="005E6149">
        <w:rPr>
          <w:rFonts w:ascii="Arial" w:hAnsi="Arial" w:cs="Arial"/>
          <w:sz w:val="22"/>
          <w:szCs w:val="22"/>
        </w:rPr>
        <w:t>.</w:t>
      </w:r>
    </w:p>
    <w:p w:rsidR="00203EF1" w:rsidRPr="005E6149" w:rsidRDefault="00203EF1" w:rsidP="00203EF1">
      <w:pPr>
        <w:spacing w:before="120" w:after="120"/>
        <w:rPr>
          <w:rFonts w:ascii="Arial" w:hAnsi="Arial" w:cs="Arial"/>
          <w:sz w:val="22"/>
          <w:szCs w:val="22"/>
        </w:rPr>
      </w:pPr>
      <w:r w:rsidRPr="005E6149">
        <w:rPr>
          <w:rFonts w:ascii="Arial" w:hAnsi="Arial" w:cs="Arial"/>
          <w:sz w:val="22"/>
          <w:szCs w:val="22"/>
        </w:rPr>
        <w:t>Some commonality exists in the observations of cost differentials by MDC across the two NHCDC da</w:t>
      </w:r>
      <w:r w:rsidR="002B4FC5" w:rsidRPr="005E6149">
        <w:rPr>
          <w:rFonts w:ascii="Arial" w:hAnsi="Arial" w:cs="Arial"/>
          <w:sz w:val="22"/>
          <w:szCs w:val="22"/>
        </w:rPr>
        <w:t>tasets as outlined in Table 5.</w:t>
      </w:r>
      <w:r w:rsidR="005E5750">
        <w:rPr>
          <w:rFonts w:ascii="Arial" w:hAnsi="Arial" w:cs="Arial"/>
          <w:sz w:val="22"/>
          <w:szCs w:val="22"/>
        </w:rPr>
        <w:t>6</w:t>
      </w:r>
      <w:r w:rsidRPr="005E6149">
        <w:rPr>
          <w:rFonts w:ascii="Arial" w:hAnsi="Arial" w:cs="Arial"/>
          <w:sz w:val="22"/>
          <w:szCs w:val="22"/>
        </w:rPr>
        <w:t xml:space="preserve">. </w:t>
      </w:r>
    </w:p>
    <w:p w:rsidR="00203EF1" w:rsidRPr="005E6149" w:rsidRDefault="00203EF1" w:rsidP="00203EF1">
      <w:pPr>
        <w:spacing w:before="120" w:after="120"/>
        <w:rPr>
          <w:rFonts w:ascii="Arial" w:hAnsi="Arial" w:cs="Arial"/>
          <w:sz w:val="22"/>
          <w:szCs w:val="22"/>
          <w:highlight w:val="green"/>
        </w:rPr>
        <w:sectPr w:rsidR="00203EF1" w:rsidRPr="005E6149" w:rsidSect="00F37F2F">
          <w:pgSz w:w="15840" w:h="12240" w:orient="landscape"/>
          <w:pgMar w:top="1800" w:right="1440" w:bottom="1800" w:left="1440" w:header="720" w:footer="720" w:gutter="0"/>
          <w:cols w:space="720"/>
          <w:docGrid w:linePitch="360"/>
        </w:sectPr>
      </w:pPr>
    </w:p>
    <w:p w:rsidR="00203EF1" w:rsidRPr="005E6149" w:rsidRDefault="002B4FC5" w:rsidP="00203EF1">
      <w:pPr>
        <w:pStyle w:val="TableCaption"/>
        <w:rPr>
          <w:rFonts w:ascii="Arial" w:hAnsi="Arial" w:cs="Arial"/>
          <w:sz w:val="18"/>
          <w:szCs w:val="18"/>
        </w:rPr>
      </w:pPr>
      <w:bookmarkStart w:id="48" w:name="_Toc278480669"/>
      <w:r w:rsidRPr="005E6149">
        <w:rPr>
          <w:rFonts w:ascii="Arial" w:hAnsi="Arial" w:cs="Arial"/>
          <w:sz w:val="18"/>
          <w:szCs w:val="18"/>
        </w:rPr>
        <w:lastRenderedPageBreak/>
        <w:t>Table 5.</w:t>
      </w:r>
      <w:r w:rsidR="005E5750">
        <w:rPr>
          <w:rFonts w:ascii="Arial" w:hAnsi="Arial" w:cs="Arial"/>
          <w:sz w:val="18"/>
          <w:szCs w:val="18"/>
        </w:rPr>
        <w:t>6</w:t>
      </w:r>
      <w:r w:rsidR="00203EF1" w:rsidRPr="005E6149">
        <w:rPr>
          <w:rFonts w:ascii="Arial" w:hAnsi="Arial" w:cs="Arial"/>
          <w:sz w:val="18"/>
          <w:szCs w:val="18"/>
        </w:rPr>
        <w:t>: Commonality in cost differential profiles of MDCs (overn</w:t>
      </w:r>
      <w:r w:rsidR="005E5750">
        <w:rPr>
          <w:rFonts w:ascii="Arial" w:hAnsi="Arial" w:cs="Arial"/>
          <w:sz w:val="18"/>
          <w:szCs w:val="18"/>
        </w:rPr>
        <w:t>ight services only) – Round 16</w:t>
      </w:r>
      <w:r w:rsidR="00203EF1" w:rsidRPr="005E6149">
        <w:rPr>
          <w:rFonts w:ascii="Arial" w:hAnsi="Arial" w:cs="Arial"/>
          <w:sz w:val="18"/>
          <w:szCs w:val="18"/>
        </w:rPr>
        <w:t xml:space="preserve"> and Round 17</w:t>
      </w:r>
      <w:bookmarkEnd w:id="48"/>
    </w:p>
    <w:tbl>
      <w:tblPr>
        <w:tblStyle w:val="TableGrid"/>
        <w:tblW w:w="0" w:type="auto"/>
        <w:tblLook w:val="04A0" w:firstRow="1" w:lastRow="0" w:firstColumn="1" w:lastColumn="0" w:noHBand="0" w:noVBand="1"/>
        <w:tblCaption w:val="Table 5.6: Commonality in cost differential profiles of MDCs (overnight services only) – Round 16 and Round 17"/>
      </w:tblPr>
      <w:tblGrid>
        <w:gridCol w:w="8856"/>
      </w:tblGrid>
      <w:tr w:rsidR="00203EF1" w:rsidRPr="002019C1" w:rsidTr="00B31DC7">
        <w:trPr>
          <w:tblHeader/>
        </w:trPr>
        <w:tc>
          <w:tcPr>
            <w:tcW w:w="8856" w:type="dxa"/>
            <w:shd w:val="clear" w:color="auto" w:fill="E0E0E0"/>
          </w:tcPr>
          <w:p w:rsidR="00203EF1" w:rsidRPr="00C628C4" w:rsidRDefault="00203EF1" w:rsidP="00203EF1">
            <w:pPr>
              <w:pStyle w:val="ListParagraph"/>
              <w:spacing w:before="120" w:after="120"/>
              <w:rPr>
                <w:rFonts w:asciiTheme="majorHAnsi" w:hAnsiTheme="majorHAnsi" w:cs="Arial"/>
                <w:b/>
                <w:color w:val="000000"/>
                <w:lang w:val="en-AU"/>
              </w:rPr>
            </w:pPr>
            <w:r w:rsidRPr="00C628C4">
              <w:rPr>
                <w:rFonts w:asciiTheme="majorHAnsi" w:hAnsiTheme="majorHAnsi" w:cs="Arial"/>
                <w:b/>
                <w:color w:val="000000"/>
                <w:lang w:val="en-AU"/>
              </w:rPr>
              <w:t>MDC with no statistical difference in cost profiles - common across both Round 16 and Round 17 costing periods</w:t>
            </w:r>
          </w:p>
        </w:tc>
      </w:tr>
      <w:tr w:rsidR="00203EF1" w:rsidRPr="002019C1" w:rsidTr="00B31DC7">
        <w:tc>
          <w:tcPr>
            <w:tcW w:w="8856" w:type="dxa"/>
          </w:tcPr>
          <w:p w:rsidR="00203EF1" w:rsidRPr="00C628C4" w:rsidRDefault="00203EF1"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color w:val="000000"/>
                <w:lang w:val="en-AU"/>
              </w:rPr>
              <w:t>00 Pre-MDC</w:t>
            </w:r>
          </w:p>
          <w:p w:rsidR="00203EF1" w:rsidRPr="00C628C4" w:rsidRDefault="00203EF1"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color w:val="000000"/>
                <w:lang w:val="en-AU"/>
              </w:rPr>
              <w:t xml:space="preserve">04 </w:t>
            </w:r>
            <w:r w:rsidRPr="00C628C4">
              <w:rPr>
                <w:rFonts w:asciiTheme="majorHAnsi" w:hAnsiTheme="majorHAnsi" w:cs="Arial"/>
                <w:lang w:val="en-AU"/>
              </w:rPr>
              <w:t>Diseases and disorders of the respiratory system</w:t>
            </w:r>
          </w:p>
          <w:p w:rsidR="00203EF1" w:rsidRPr="00C628C4" w:rsidRDefault="00203EF1"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lang w:val="en-AU"/>
              </w:rPr>
              <w:t xml:space="preserve">09 </w:t>
            </w:r>
            <w:r w:rsidRPr="00C628C4">
              <w:rPr>
                <w:rFonts w:asciiTheme="majorHAnsi" w:hAnsiTheme="majorHAnsi" w:cs="Arial"/>
                <w:color w:val="000000"/>
              </w:rPr>
              <w:t>Diseases and disorders of the skin, subcutaneous tissue and breast</w:t>
            </w:r>
          </w:p>
          <w:p w:rsidR="00203EF1" w:rsidRPr="00C628C4" w:rsidRDefault="00203EF1" w:rsidP="00E86862">
            <w:pPr>
              <w:pStyle w:val="ListParagraph"/>
              <w:numPr>
                <w:ilvl w:val="0"/>
                <w:numId w:val="23"/>
              </w:numPr>
              <w:spacing w:before="120" w:after="120"/>
              <w:rPr>
                <w:rFonts w:asciiTheme="majorHAnsi" w:hAnsiTheme="majorHAnsi" w:cs="Arial"/>
                <w:color w:val="000000"/>
                <w:lang w:val="en-AU"/>
              </w:rPr>
            </w:pPr>
            <w:r w:rsidRPr="00C628C4">
              <w:rPr>
                <w:rFonts w:asciiTheme="majorHAnsi" w:hAnsiTheme="majorHAnsi" w:cs="Arial"/>
                <w:color w:val="000000"/>
                <w:lang w:val="en-AU"/>
              </w:rPr>
              <w:t xml:space="preserve">21 </w:t>
            </w:r>
            <w:r w:rsidRPr="00C628C4">
              <w:rPr>
                <w:rFonts w:asciiTheme="majorHAnsi" w:hAnsiTheme="majorHAnsi" w:cs="Arial"/>
                <w:lang w:val="en-AU"/>
              </w:rPr>
              <w:t>Injuries, poisoning and toxic effects of drugs</w:t>
            </w:r>
          </w:p>
        </w:tc>
      </w:tr>
      <w:tr w:rsidR="00203EF1" w:rsidRPr="002019C1" w:rsidTr="00B31DC7">
        <w:tc>
          <w:tcPr>
            <w:tcW w:w="8856" w:type="dxa"/>
            <w:shd w:val="clear" w:color="auto" w:fill="E0E0E0"/>
          </w:tcPr>
          <w:p w:rsidR="00203EF1" w:rsidRPr="00C628C4" w:rsidRDefault="00203EF1" w:rsidP="00203EF1">
            <w:pPr>
              <w:pStyle w:val="ListParagraph"/>
              <w:spacing w:before="120" w:after="120"/>
              <w:rPr>
                <w:rFonts w:asciiTheme="majorHAnsi" w:hAnsiTheme="majorHAnsi" w:cs="Arial"/>
                <w:b/>
              </w:rPr>
            </w:pPr>
            <w:r w:rsidRPr="00C628C4">
              <w:rPr>
                <w:rFonts w:asciiTheme="majorHAnsi" w:hAnsiTheme="majorHAnsi" w:cs="Arial"/>
                <w:b/>
              </w:rPr>
              <w:t xml:space="preserve">MDC with statistical difference in cost profiles – Indigenous less expensive than </w:t>
            </w:r>
            <w:r w:rsidR="007A097D" w:rsidRPr="00C628C4">
              <w:rPr>
                <w:rFonts w:asciiTheme="majorHAnsi" w:hAnsiTheme="majorHAnsi" w:cs="Arial"/>
                <w:b/>
              </w:rPr>
              <w:t>Non-Indigenous</w:t>
            </w:r>
            <w:r w:rsidRPr="00C628C4">
              <w:rPr>
                <w:rFonts w:asciiTheme="majorHAnsi" w:hAnsiTheme="majorHAnsi" w:cs="Arial"/>
                <w:b/>
              </w:rPr>
              <w:t xml:space="preserve"> patients – common across both Round 16 and Round 17 costing periods</w:t>
            </w:r>
          </w:p>
        </w:tc>
      </w:tr>
      <w:tr w:rsidR="00203EF1" w:rsidRPr="002019C1" w:rsidTr="00B31DC7">
        <w:tc>
          <w:tcPr>
            <w:tcW w:w="8856" w:type="dxa"/>
          </w:tcPr>
          <w:p w:rsidR="00203EF1" w:rsidRPr="00C628C4" w:rsidRDefault="00203EF1" w:rsidP="00E86862">
            <w:pPr>
              <w:pStyle w:val="ListParagraph"/>
              <w:numPr>
                <w:ilvl w:val="0"/>
                <w:numId w:val="23"/>
              </w:numPr>
              <w:spacing w:before="120" w:after="120"/>
              <w:rPr>
                <w:rFonts w:asciiTheme="majorHAnsi" w:hAnsiTheme="majorHAnsi" w:cs="Arial"/>
              </w:rPr>
            </w:pPr>
            <w:r w:rsidRPr="00C628C4">
              <w:rPr>
                <w:rFonts w:asciiTheme="majorHAnsi" w:hAnsiTheme="majorHAnsi" w:cs="Arial"/>
              </w:rPr>
              <w:t xml:space="preserve">01 </w:t>
            </w:r>
            <w:r w:rsidRPr="00C628C4">
              <w:rPr>
                <w:rFonts w:asciiTheme="majorHAnsi" w:hAnsiTheme="majorHAnsi" w:cs="Arial"/>
                <w:lang w:val="en-AU"/>
              </w:rPr>
              <w:t>Diseases and disorders of the nervous system</w:t>
            </w:r>
          </w:p>
          <w:p w:rsidR="00203EF1" w:rsidRPr="00C628C4" w:rsidRDefault="00203EF1" w:rsidP="00E86862">
            <w:pPr>
              <w:pStyle w:val="ListParagraph"/>
              <w:numPr>
                <w:ilvl w:val="0"/>
                <w:numId w:val="23"/>
              </w:numPr>
              <w:spacing w:before="120" w:after="120"/>
              <w:rPr>
                <w:rFonts w:asciiTheme="majorHAnsi" w:hAnsiTheme="majorHAnsi" w:cs="Arial"/>
                <w:lang w:val="en-AU"/>
              </w:rPr>
            </w:pPr>
            <w:r w:rsidRPr="00C628C4">
              <w:rPr>
                <w:rFonts w:asciiTheme="majorHAnsi" w:hAnsiTheme="majorHAnsi" w:cs="Arial"/>
                <w:lang w:val="en-AU"/>
              </w:rPr>
              <w:t>06 Diseases and disorders of the digestive system</w:t>
            </w:r>
          </w:p>
          <w:p w:rsidR="00203EF1" w:rsidRPr="00C628C4" w:rsidRDefault="00203EF1" w:rsidP="00E86862">
            <w:pPr>
              <w:pStyle w:val="ListParagraph"/>
              <w:numPr>
                <w:ilvl w:val="0"/>
                <w:numId w:val="23"/>
              </w:numPr>
              <w:spacing w:before="120" w:after="120"/>
              <w:rPr>
                <w:rFonts w:asciiTheme="majorHAnsi" w:hAnsiTheme="majorHAnsi" w:cs="Arial"/>
                <w:lang w:val="en-AU"/>
              </w:rPr>
            </w:pPr>
            <w:r w:rsidRPr="00C628C4">
              <w:rPr>
                <w:rFonts w:asciiTheme="majorHAnsi" w:hAnsiTheme="majorHAnsi" w:cs="Arial"/>
                <w:color w:val="000000"/>
                <w:lang w:val="en-AU"/>
              </w:rPr>
              <w:t xml:space="preserve">07 </w:t>
            </w:r>
            <w:r w:rsidRPr="00C628C4">
              <w:rPr>
                <w:rFonts w:asciiTheme="majorHAnsi" w:hAnsiTheme="majorHAnsi" w:cs="Arial"/>
                <w:lang w:val="en-AU"/>
              </w:rPr>
              <w:t>Diseases and disorders of the hepatobiliary system and pancreas</w:t>
            </w:r>
          </w:p>
          <w:p w:rsidR="00203EF1" w:rsidRPr="00C628C4" w:rsidRDefault="00203EF1" w:rsidP="00E86862">
            <w:pPr>
              <w:pStyle w:val="ListParagraph"/>
              <w:numPr>
                <w:ilvl w:val="0"/>
                <w:numId w:val="23"/>
              </w:numPr>
              <w:spacing w:before="120" w:after="120"/>
              <w:rPr>
                <w:rFonts w:asciiTheme="majorHAnsi" w:hAnsiTheme="majorHAnsi" w:cs="Arial"/>
                <w:sz w:val="22"/>
                <w:szCs w:val="22"/>
              </w:rPr>
            </w:pPr>
            <w:r w:rsidRPr="00C628C4">
              <w:rPr>
                <w:rFonts w:asciiTheme="majorHAnsi" w:hAnsiTheme="majorHAnsi" w:cs="Arial"/>
                <w:sz w:val="22"/>
                <w:szCs w:val="22"/>
              </w:rPr>
              <w:t xml:space="preserve">08 </w:t>
            </w:r>
            <w:r w:rsidRPr="00C628C4">
              <w:rPr>
                <w:rFonts w:asciiTheme="majorHAnsi" w:hAnsiTheme="majorHAnsi" w:cs="Arial"/>
                <w:lang w:val="en-AU"/>
              </w:rPr>
              <w:t>Diseases and disorders of the musculoskeletal system and connective tissue</w:t>
            </w:r>
          </w:p>
          <w:p w:rsidR="00203EF1" w:rsidRPr="00C628C4" w:rsidRDefault="00203EF1" w:rsidP="00E86862">
            <w:pPr>
              <w:pStyle w:val="ListParagraph"/>
              <w:numPr>
                <w:ilvl w:val="0"/>
                <w:numId w:val="23"/>
              </w:numPr>
              <w:spacing w:before="120" w:after="120"/>
              <w:rPr>
                <w:rFonts w:asciiTheme="majorHAnsi" w:hAnsiTheme="majorHAnsi" w:cs="Arial"/>
              </w:rPr>
            </w:pPr>
            <w:r w:rsidRPr="00C628C4">
              <w:rPr>
                <w:rFonts w:asciiTheme="majorHAnsi" w:hAnsiTheme="majorHAnsi" w:cs="Arial"/>
              </w:rPr>
              <w:t xml:space="preserve">12 </w:t>
            </w:r>
            <w:r w:rsidRPr="00C628C4">
              <w:rPr>
                <w:rFonts w:asciiTheme="majorHAnsi" w:hAnsiTheme="majorHAnsi" w:cs="Arial"/>
                <w:lang w:val="en-AU" w:eastAsia="en-AU"/>
              </w:rPr>
              <w:t>Diseases and disorders of the male reproductive system</w:t>
            </w:r>
          </w:p>
          <w:p w:rsidR="00203EF1" w:rsidRPr="00C628C4" w:rsidRDefault="00203EF1" w:rsidP="00E86862">
            <w:pPr>
              <w:pStyle w:val="ListParagraph"/>
              <w:numPr>
                <w:ilvl w:val="0"/>
                <w:numId w:val="23"/>
              </w:numPr>
              <w:spacing w:before="120" w:after="120"/>
              <w:rPr>
                <w:rFonts w:asciiTheme="majorHAnsi" w:hAnsiTheme="majorHAnsi" w:cs="Arial"/>
              </w:rPr>
            </w:pPr>
            <w:r w:rsidRPr="00C628C4">
              <w:rPr>
                <w:rFonts w:asciiTheme="majorHAnsi" w:hAnsiTheme="majorHAnsi" w:cs="Arial"/>
              </w:rPr>
              <w:t>20 Alcohol/drug use and alcohol/drug induced organic mental disorders</w:t>
            </w:r>
          </w:p>
        </w:tc>
      </w:tr>
      <w:tr w:rsidR="00203EF1" w:rsidRPr="002019C1" w:rsidTr="00B31DC7">
        <w:tc>
          <w:tcPr>
            <w:tcW w:w="8856" w:type="dxa"/>
          </w:tcPr>
          <w:p w:rsidR="00203EF1" w:rsidRPr="00C628C4" w:rsidRDefault="00203EF1" w:rsidP="00203EF1">
            <w:pPr>
              <w:spacing w:before="120" w:after="120"/>
              <w:rPr>
                <w:rFonts w:asciiTheme="majorHAnsi" w:hAnsiTheme="majorHAnsi" w:cs="Arial"/>
                <w:b/>
                <w:color w:val="000000"/>
                <w:highlight w:val="green"/>
                <w:lang w:val="en-AU"/>
              </w:rPr>
            </w:pPr>
            <w:r w:rsidRPr="00C628C4">
              <w:rPr>
                <w:rFonts w:asciiTheme="majorHAnsi" w:hAnsiTheme="majorHAnsi" w:cs="Arial"/>
                <w:b/>
                <w:color w:val="000000"/>
                <w:lang w:val="en-AU"/>
              </w:rPr>
              <w:t>Common with Same-day Cohorts</w:t>
            </w:r>
          </w:p>
        </w:tc>
      </w:tr>
      <w:tr w:rsidR="00203EF1" w:rsidRPr="002019C1" w:rsidTr="00B31DC7">
        <w:tc>
          <w:tcPr>
            <w:tcW w:w="8856" w:type="dxa"/>
          </w:tcPr>
          <w:p w:rsidR="00203EF1" w:rsidRPr="00C628C4" w:rsidRDefault="00203EF1" w:rsidP="00E86862">
            <w:pPr>
              <w:pStyle w:val="ListParagraph"/>
              <w:numPr>
                <w:ilvl w:val="0"/>
                <w:numId w:val="24"/>
              </w:numPr>
              <w:spacing w:before="120" w:after="120"/>
              <w:rPr>
                <w:rFonts w:asciiTheme="majorHAnsi" w:hAnsiTheme="majorHAnsi" w:cs="Arial"/>
                <w:lang w:val="en-AU"/>
              </w:rPr>
            </w:pPr>
            <w:r w:rsidRPr="00C628C4">
              <w:rPr>
                <w:rFonts w:asciiTheme="majorHAnsi" w:hAnsiTheme="majorHAnsi" w:cs="Arial"/>
                <w:lang w:val="en-AU"/>
              </w:rPr>
              <w:t>06 Diseases and disorders of the digestive system</w:t>
            </w:r>
          </w:p>
        </w:tc>
      </w:tr>
      <w:tr w:rsidR="00203EF1" w:rsidRPr="002019C1" w:rsidTr="00B31DC7">
        <w:tc>
          <w:tcPr>
            <w:tcW w:w="8856" w:type="dxa"/>
            <w:shd w:val="clear" w:color="auto" w:fill="E0E0E0"/>
          </w:tcPr>
          <w:p w:rsidR="00203EF1" w:rsidRPr="00C628C4" w:rsidRDefault="00203EF1" w:rsidP="00203EF1">
            <w:pPr>
              <w:pStyle w:val="ListParagraph"/>
              <w:spacing w:before="120" w:after="120"/>
              <w:rPr>
                <w:rFonts w:asciiTheme="majorHAnsi" w:hAnsiTheme="majorHAnsi" w:cs="Arial"/>
                <w:sz w:val="22"/>
                <w:szCs w:val="22"/>
              </w:rPr>
            </w:pPr>
            <w:r w:rsidRPr="00C628C4">
              <w:rPr>
                <w:rFonts w:asciiTheme="majorHAnsi" w:hAnsiTheme="majorHAnsi" w:cs="Arial"/>
                <w:b/>
                <w:color w:val="000000"/>
                <w:lang w:val="en-AU"/>
              </w:rPr>
              <w:t xml:space="preserve">MDC with statistical difference in cost profiles – Indigenous more expensive than </w:t>
            </w:r>
            <w:r w:rsidR="007A097D" w:rsidRPr="00C628C4">
              <w:rPr>
                <w:rFonts w:asciiTheme="majorHAnsi" w:hAnsiTheme="majorHAnsi" w:cs="Arial"/>
                <w:b/>
                <w:color w:val="000000"/>
                <w:lang w:val="en-AU"/>
              </w:rPr>
              <w:t>Non-Indigenous</w:t>
            </w:r>
            <w:r w:rsidRPr="00C628C4">
              <w:rPr>
                <w:rFonts w:asciiTheme="majorHAnsi" w:hAnsiTheme="majorHAnsi" w:cs="Arial"/>
                <w:b/>
                <w:color w:val="000000"/>
                <w:lang w:val="en-AU"/>
              </w:rPr>
              <w:t xml:space="preserve"> patients – common across both Round 16 and Round 17 costing periods</w:t>
            </w:r>
          </w:p>
        </w:tc>
      </w:tr>
      <w:tr w:rsidR="00203EF1" w:rsidRPr="002019C1" w:rsidTr="00B31DC7">
        <w:tc>
          <w:tcPr>
            <w:tcW w:w="8856" w:type="dxa"/>
          </w:tcPr>
          <w:p w:rsidR="00203EF1" w:rsidRPr="00C628C4" w:rsidRDefault="00203EF1" w:rsidP="00203EF1">
            <w:pPr>
              <w:spacing w:before="120" w:after="120"/>
              <w:rPr>
                <w:rFonts w:asciiTheme="majorHAnsi" w:hAnsiTheme="majorHAnsi" w:cs="Arial"/>
                <w:sz w:val="22"/>
                <w:szCs w:val="22"/>
              </w:rPr>
            </w:pPr>
            <w:r w:rsidRPr="00C628C4">
              <w:rPr>
                <w:rFonts w:asciiTheme="majorHAnsi" w:hAnsiTheme="majorHAnsi" w:cs="Arial"/>
                <w:b/>
                <w:color w:val="000000"/>
                <w:lang w:val="en-AU"/>
              </w:rPr>
              <w:t>Common across both years</w:t>
            </w:r>
          </w:p>
        </w:tc>
      </w:tr>
      <w:tr w:rsidR="00203EF1" w:rsidRPr="002019C1" w:rsidTr="00B31DC7">
        <w:tc>
          <w:tcPr>
            <w:tcW w:w="8856" w:type="dxa"/>
          </w:tcPr>
          <w:p w:rsidR="00203EF1" w:rsidRPr="00C628C4" w:rsidRDefault="00203EF1" w:rsidP="00E86862">
            <w:pPr>
              <w:pStyle w:val="ListParagraph"/>
              <w:numPr>
                <w:ilvl w:val="0"/>
                <w:numId w:val="27"/>
              </w:numPr>
              <w:spacing w:before="120" w:after="120"/>
              <w:rPr>
                <w:rFonts w:asciiTheme="majorHAnsi" w:hAnsiTheme="majorHAnsi" w:cs="Arial"/>
                <w:lang w:val="en-AU"/>
              </w:rPr>
            </w:pPr>
            <w:r w:rsidRPr="00C628C4">
              <w:rPr>
                <w:rFonts w:asciiTheme="majorHAnsi" w:hAnsiTheme="majorHAnsi" w:cs="Arial"/>
                <w:color w:val="000000"/>
                <w:lang w:val="en-AU"/>
              </w:rPr>
              <w:t xml:space="preserve">02 </w:t>
            </w:r>
            <w:r w:rsidRPr="00C628C4">
              <w:rPr>
                <w:rFonts w:asciiTheme="majorHAnsi" w:hAnsiTheme="majorHAnsi" w:cs="Arial"/>
                <w:lang w:val="en-AU"/>
              </w:rPr>
              <w:t>Diseases and disorders of the eye</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03 </w:t>
            </w:r>
            <w:r w:rsidRPr="00C628C4">
              <w:rPr>
                <w:rFonts w:asciiTheme="majorHAnsi" w:hAnsiTheme="majorHAnsi" w:cs="Arial"/>
                <w:lang w:val="en-AU" w:eastAsia="en-AU"/>
              </w:rPr>
              <w:t>Diseases and disorders of the ear, nose, mouth and throat</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05 </w:t>
            </w:r>
            <w:r w:rsidRPr="00C628C4">
              <w:rPr>
                <w:rFonts w:asciiTheme="majorHAnsi" w:hAnsiTheme="majorHAnsi" w:cs="Arial"/>
                <w:lang w:val="en-AU" w:eastAsia="en-AU"/>
              </w:rPr>
              <w:t>Diseases and disorders of the circulatory system</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10 </w:t>
            </w:r>
            <w:r w:rsidRPr="00C628C4">
              <w:rPr>
                <w:rFonts w:asciiTheme="majorHAnsi" w:hAnsiTheme="majorHAnsi" w:cs="Arial"/>
                <w:lang w:val="en-AU" w:eastAsia="en-AU"/>
              </w:rPr>
              <w:t>Endocrine, nutritional and metabolic diseases and disorders</w:t>
            </w:r>
            <w:r w:rsidRPr="00C628C4">
              <w:rPr>
                <w:rFonts w:asciiTheme="majorHAnsi" w:hAnsiTheme="majorHAnsi" w:cs="Arial"/>
              </w:rPr>
              <w:t xml:space="preserve"> </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lang w:val="en-AU"/>
              </w:rPr>
              <w:t xml:space="preserve">14 </w:t>
            </w:r>
            <w:r w:rsidRPr="00C628C4">
              <w:rPr>
                <w:rFonts w:asciiTheme="majorHAnsi" w:hAnsiTheme="majorHAnsi" w:cs="Arial"/>
                <w:color w:val="000000"/>
              </w:rPr>
              <w:t xml:space="preserve">Pregnancy, childbirth and the </w:t>
            </w:r>
            <w:proofErr w:type="spellStart"/>
            <w:r w:rsidRPr="00C628C4">
              <w:rPr>
                <w:rFonts w:asciiTheme="majorHAnsi" w:hAnsiTheme="majorHAnsi" w:cs="Arial"/>
                <w:color w:val="000000"/>
              </w:rPr>
              <w:t>puerperium</w:t>
            </w:r>
            <w:proofErr w:type="spellEnd"/>
          </w:p>
          <w:p w:rsidR="00203EF1" w:rsidRPr="00C628C4" w:rsidRDefault="00203EF1" w:rsidP="00E86862">
            <w:pPr>
              <w:pStyle w:val="ListParagraph"/>
              <w:numPr>
                <w:ilvl w:val="0"/>
                <w:numId w:val="27"/>
              </w:numPr>
              <w:spacing w:before="120" w:after="120"/>
              <w:rPr>
                <w:rFonts w:asciiTheme="majorHAnsi" w:hAnsiTheme="majorHAnsi" w:cs="Arial"/>
                <w:sz w:val="22"/>
                <w:szCs w:val="22"/>
              </w:rPr>
            </w:pPr>
            <w:r w:rsidRPr="00C628C4">
              <w:rPr>
                <w:rFonts w:asciiTheme="majorHAnsi" w:hAnsiTheme="majorHAnsi" w:cs="Arial"/>
                <w:sz w:val="22"/>
                <w:szCs w:val="22"/>
              </w:rPr>
              <w:t>15 Newborns and other neonates</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 xml:space="preserve">18 </w:t>
            </w:r>
            <w:r w:rsidRPr="00C628C4">
              <w:rPr>
                <w:rFonts w:asciiTheme="majorHAnsi" w:hAnsiTheme="majorHAnsi" w:cs="Arial"/>
                <w:lang w:val="en-AU" w:eastAsia="en-AU"/>
              </w:rPr>
              <w:t>Infectious and parasitic diseases</w:t>
            </w:r>
          </w:p>
          <w:p w:rsidR="00203EF1" w:rsidRPr="00C628C4" w:rsidRDefault="00203EF1"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rPr>
              <w:t>22 Burns</w:t>
            </w:r>
          </w:p>
          <w:p w:rsidR="003E731C" w:rsidRPr="00C628C4" w:rsidRDefault="003E731C" w:rsidP="00E86862">
            <w:pPr>
              <w:pStyle w:val="ListParagraph"/>
              <w:numPr>
                <w:ilvl w:val="0"/>
                <w:numId w:val="27"/>
              </w:numPr>
              <w:spacing w:before="120" w:after="120"/>
              <w:rPr>
                <w:rFonts w:asciiTheme="majorHAnsi" w:hAnsiTheme="majorHAnsi" w:cs="Arial"/>
              </w:rPr>
            </w:pPr>
            <w:r w:rsidRPr="00C628C4">
              <w:rPr>
                <w:rFonts w:asciiTheme="majorHAnsi" w:hAnsiTheme="majorHAnsi" w:cs="Arial"/>
                <w:color w:val="000000"/>
                <w:lang w:val="en-AU"/>
              </w:rPr>
              <w:t xml:space="preserve">23 </w:t>
            </w:r>
            <w:r w:rsidRPr="00C628C4">
              <w:rPr>
                <w:rFonts w:asciiTheme="majorHAnsi" w:hAnsiTheme="majorHAnsi" w:cs="Arial"/>
                <w:lang w:val="en-AU"/>
              </w:rPr>
              <w:t>Factors influencing health status and other contacts with health services</w:t>
            </w:r>
          </w:p>
        </w:tc>
      </w:tr>
      <w:tr w:rsidR="00203EF1" w:rsidRPr="002019C1" w:rsidTr="00B31DC7">
        <w:tc>
          <w:tcPr>
            <w:tcW w:w="8856" w:type="dxa"/>
          </w:tcPr>
          <w:p w:rsidR="00203EF1" w:rsidRPr="00C628C4" w:rsidRDefault="00203EF1" w:rsidP="00203EF1">
            <w:pPr>
              <w:spacing w:before="120" w:after="120"/>
              <w:rPr>
                <w:rFonts w:asciiTheme="majorHAnsi" w:hAnsiTheme="majorHAnsi" w:cs="Arial"/>
                <w:b/>
                <w:color w:val="000000"/>
                <w:highlight w:val="green"/>
                <w:lang w:val="en-AU"/>
              </w:rPr>
            </w:pPr>
            <w:r w:rsidRPr="00C628C4">
              <w:rPr>
                <w:rFonts w:asciiTheme="majorHAnsi" w:hAnsiTheme="majorHAnsi" w:cs="Arial"/>
                <w:b/>
                <w:color w:val="000000"/>
                <w:lang w:val="en-AU"/>
              </w:rPr>
              <w:t>Common with Same-day Cohorts</w:t>
            </w:r>
          </w:p>
        </w:tc>
      </w:tr>
      <w:tr w:rsidR="00203EF1" w:rsidRPr="002019C1" w:rsidTr="00B31DC7">
        <w:tc>
          <w:tcPr>
            <w:tcW w:w="8856" w:type="dxa"/>
          </w:tcPr>
          <w:p w:rsidR="00203EF1" w:rsidRPr="00C628C4" w:rsidRDefault="00203EF1" w:rsidP="00E86862">
            <w:pPr>
              <w:pStyle w:val="ListParagraph"/>
              <w:numPr>
                <w:ilvl w:val="0"/>
                <w:numId w:val="24"/>
              </w:numPr>
              <w:spacing w:before="120" w:after="120"/>
              <w:rPr>
                <w:rFonts w:asciiTheme="majorHAnsi" w:hAnsiTheme="majorHAnsi" w:cs="Arial"/>
              </w:rPr>
            </w:pPr>
            <w:r w:rsidRPr="00C628C4">
              <w:rPr>
                <w:rFonts w:asciiTheme="majorHAnsi" w:hAnsiTheme="majorHAnsi" w:cs="Arial"/>
              </w:rPr>
              <w:t xml:space="preserve">03 </w:t>
            </w:r>
            <w:r w:rsidRPr="00C628C4">
              <w:rPr>
                <w:rFonts w:asciiTheme="majorHAnsi" w:hAnsiTheme="majorHAnsi" w:cs="Arial"/>
                <w:lang w:val="en-AU" w:eastAsia="en-AU"/>
              </w:rPr>
              <w:t>Diseases and disorders of the ear, nose, mouth and throat</w:t>
            </w:r>
          </w:p>
        </w:tc>
      </w:tr>
    </w:tbl>
    <w:p w:rsidR="003B4B76" w:rsidRPr="005E6149" w:rsidRDefault="005E5750" w:rsidP="008964BF">
      <w:pPr>
        <w:spacing w:before="120" w:after="120"/>
        <w:rPr>
          <w:rFonts w:ascii="Arial" w:hAnsi="Arial" w:cs="Arial"/>
          <w:sz w:val="22"/>
          <w:szCs w:val="22"/>
        </w:rPr>
      </w:pPr>
      <w:r>
        <w:rPr>
          <w:rFonts w:ascii="Arial" w:hAnsi="Arial" w:cs="Arial"/>
          <w:sz w:val="22"/>
          <w:szCs w:val="22"/>
        </w:rPr>
        <w:t xml:space="preserve">Considerable </w:t>
      </w:r>
      <w:proofErr w:type="gramStart"/>
      <w:r>
        <w:rPr>
          <w:rFonts w:ascii="Arial" w:hAnsi="Arial" w:cs="Arial"/>
          <w:sz w:val="22"/>
          <w:szCs w:val="22"/>
        </w:rPr>
        <w:t>variation exist</w:t>
      </w:r>
      <w:proofErr w:type="gramEnd"/>
      <w:r w:rsidR="003B4B76" w:rsidRPr="005E6149">
        <w:rPr>
          <w:rFonts w:ascii="Arial" w:hAnsi="Arial" w:cs="Arial"/>
          <w:sz w:val="22"/>
          <w:szCs w:val="22"/>
        </w:rPr>
        <w:t xml:space="preserve"> in the statistical outputs for the MDCs for the overnight patient cohorts</w:t>
      </w:r>
      <w:r w:rsidR="00D84358" w:rsidRPr="005E6149">
        <w:rPr>
          <w:rFonts w:ascii="Arial" w:hAnsi="Arial" w:cs="Arial"/>
          <w:sz w:val="22"/>
          <w:szCs w:val="22"/>
        </w:rPr>
        <w:t xml:space="preserve"> (Appendix </w:t>
      </w:r>
      <w:r w:rsidR="00FC6B19">
        <w:rPr>
          <w:rFonts w:ascii="Arial" w:hAnsi="Arial" w:cs="Arial"/>
          <w:sz w:val="22"/>
          <w:szCs w:val="22"/>
        </w:rPr>
        <w:t>E</w:t>
      </w:r>
      <w:r w:rsidR="00D84358" w:rsidRPr="005E6149">
        <w:rPr>
          <w:rFonts w:ascii="Arial" w:hAnsi="Arial" w:cs="Arial"/>
          <w:sz w:val="22"/>
          <w:szCs w:val="22"/>
        </w:rPr>
        <w:t>)</w:t>
      </w:r>
      <w:r w:rsidR="003B4B76" w:rsidRPr="005E6149">
        <w:rPr>
          <w:rFonts w:ascii="Arial" w:hAnsi="Arial" w:cs="Arial"/>
          <w:sz w:val="22"/>
          <w:szCs w:val="22"/>
        </w:rPr>
        <w:t xml:space="preserve"> when compared to the same</w:t>
      </w:r>
      <w:r w:rsidR="00D84358" w:rsidRPr="005E6149">
        <w:rPr>
          <w:rFonts w:ascii="Arial" w:hAnsi="Arial" w:cs="Arial"/>
          <w:sz w:val="22"/>
          <w:szCs w:val="22"/>
        </w:rPr>
        <w:t>-</w:t>
      </w:r>
      <w:r w:rsidR="003B4B76" w:rsidRPr="005E6149">
        <w:rPr>
          <w:rFonts w:ascii="Arial" w:hAnsi="Arial" w:cs="Arial"/>
          <w:sz w:val="22"/>
          <w:szCs w:val="22"/>
        </w:rPr>
        <w:t>day patient cohorts</w:t>
      </w:r>
      <w:r w:rsidR="00D873D2">
        <w:rPr>
          <w:rFonts w:ascii="Arial" w:hAnsi="Arial" w:cs="Arial"/>
          <w:sz w:val="22"/>
          <w:szCs w:val="22"/>
        </w:rPr>
        <w:t xml:space="preserve">. </w:t>
      </w:r>
      <w:r w:rsidR="003B4B76" w:rsidRPr="005E6149">
        <w:rPr>
          <w:rFonts w:ascii="Arial" w:hAnsi="Arial" w:cs="Arial"/>
          <w:sz w:val="22"/>
          <w:szCs w:val="22"/>
        </w:rPr>
        <w:t>This provides further evidence that the attributes of the two patient</w:t>
      </w:r>
      <w:r w:rsidR="00203EF1" w:rsidRPr="005E6149">
        <w:rPr>
          <w:rFonts w:ascii="Arial" w:hAnsi="Arial" w:cs="Arial"/>
          <w:sz w:val="22"/>
          <w:szCs w:val="22"/>
        </w:rPr>
        <w:t xml:space="preserve"> cohorts</w:t>
      </w:r>
      <w:r w:rsidR="003B4B76" w:rsidRPr="005E6149">
        <w:rPr>
          <w:rFonts w:ascii="Arial" w:hAnsi="Arial" w:cs="Arial"/>
          <w:sz w:val="22"/>
          <w:szCs w:val="22"/>
        </w:rPr>
        <w:t xml:space="preserve">, </w:t>
      </w:r>
      <w:r w:rsidR="00203EF1" w:rsidRPr="005E6149">
        <w:rPr>
          <w:rFonts w:ascii="Arial" w:hAnsi="Arial" w:cs="Arial"/>
          <w:sz w:val="22"/>
          <w:szCs w:val="22"/>
        </w:rPr>
        <w:t>(</w:t>
      </w:r>
      <w:r w:rsidR="003B4B76" w:rsidRPr="005E6149">
        <w:rPr>
          <w:rFonts w:ascii="Arial" w:hAnsi="Arial" w:cs="Arial"/>
          <w:sz w:val="22"/>
          <w:szCs w:val="22"/>
        </w:rPr>
        <w:t>namely same-day and overnight admitted</w:t>
      </w:r>
      <w:r w:rsidR="00203EF1" w:rsidRPr="005E6149">
        <w:rPr>
          <w:rFonts w:ascii="Arial" w:hAnsi="Arial" w:cs="Arial"/>
          <w:sz w:val="22"/>
          <w:szCs w:val="22"/>
        </w:rPr>
        <w:t xml:space="preserve"> patients)</w:t>
      </w:r>
      <w:r w:rsidR="003B4B76" w:rsidRPr="005E6149">
        <w:rPr>
          <w:rFonts w:ascii="Arial" w:hAnsi="Arial" w:cs="Arial"/>
          <w:sz w:val="22"/>
          <w:szCs w:val="22"/>
        </w:rPr>
        <w:t xml:space="preserve"> are different within MDCs and any judgment about the cost differential between Indigenous patient cohorts and </w:t>
      </w:r>
      <w:r w:rsidR="007A097D">
        <w:rPr>
          <w:rFonts w:ascii="Arial" w:hAnsi="Arial" w:cs="Arial"/>
          <w:sz w:val="22"/>
          <w:szCs w:val="22"/>
        </w:rPr>
        <w:t>Non-Indigenous</w:t>
      </w:r>
      <w:r w:rsidR="003B4B76" w:rsidRPr="005E6149">
        <w:rPr>
          <w:rFonts w:ascii="Arial" w:hAnsi="Arial" w:cs="Arial"/>
          <w:sz w:val="22"/>
          <w:szCs w:val="22"/>
        </w:rPr>
        <w:t xml:space="preserve"> patients should be based on:</w:t>
      </w:r>
    </w:p>
    <w:p w:rsidR="003B4B76" w:rsidRPr="005E6149" w:rsidRDefault="003B4B76" w:rsidP="00E86862">
      <w:pPr>
        <w:pStyle w:val="ListParagraph"/>
        <w:numPr>
          <w:ilvl w:val="0"/>
          <w:numId w:val="34"/>
        </w:numPr>
        <w:spacing w:before="120" w:after="120"/>
        <w:rPr>
          <w:rFonts w:ascii="Arial" w:hAnsi="Arial" w:cs="Arial"/>
          <w:sz w:val="22"/>
          <w:szCs w:val="22"/>
        </w:rPr>
      </w:pPr>
      <w:r w:rsidRPr="005E6149">
        <w:rPr>
          <w:rFonts w:ascii="Arial" w:hAnsi="Arial" w:cs="Arial"/>
          <w:sz w:val="22"/>
          <w:szCs w:val="22"/>
        </w:rPr>
        <w:lastRenderedPageBreak/>
        <w:t>a distinction between same-day and overnight admitted status, and</w:t>
      </w:r>
    </w:p>
    <w:p w:rsidR="003B4B76" w:rsidRPr="005E6149" w:rsidRDefault="003B4B76" w:rsidP="00E86862">
      <w:pPr>
        <w:pStyle w:val="ListParagraph"/>
        <w:numPr>
          <w:ilvl w:val="0"/>
          <w:numId w:val="34"/>
        </w:numPr>
        <w:spacing w:before="120" w:after="120"/>
        <w:rPr>
          <w:rFonts w:ascii="Arial" w:hAnsi="Arial" w:cs="Arial"/>
          <w:sz w:val="22"/>
          <w:szCs w:val="22"/>
        </w:rPr>
      </w:pPr>
      <w:proofErr w:type="gramStart"/>
      <w:r w:rsidRPr="005E6149">
        <w:rPr>
          <w:rFonts w:ascii="Arial" w:hAnsi="Arial" w:cs="Arial"/>
          <w:sz w:val="22"/>
          <w:szCs w:val="22"/>
        </w:rPr>
        <w:t>at</w:t>
      </w:r>
      <w:proofErr w:type="gramEnd"/>
      <w:r w:rsidRPr="005E6149">
        <w:rPr>
          <w:rFonts w:ascii="Arial" w:hAnsi="Arial" w:cs="Arial"/>
          <w:sz w:val="22"/>
          <w:szCs w:val="22"/>
        </w:rPr>
        <w:t xml:space="preserve"> the lowest possible </w:t>
      </w:r>
      <w:proofErr w:type="spellStart"/>
      <w:r w:rsidRPr="005E6149">
        <w:rPr>
          <w:rFonts w:ascii="Arial" w:hAnsi="Arial" w:cs="Arial"/>
          <w:sz w:val="22"/>
          <w:szCs w:val="22"/>
        </w:rPr>
        <w:t>casemix</w:t>
      </w:r>
      <w:proofErr w:type="spellEnd"/>
      <w:r w:rsidRPr="005E6149">
        <w:rPr>
          <w:rFonts w:ascii="Arial" w:hAnsi="Arial" w:cs="Arial"/>
          <w:sz w:val="22"/>
          <w:szCs w:val="22"/>
        </w:rPr>
        <w:t xml:space="preserve"> level, namely at AR-DRG level.</w:t>
      </w:r>
    </w:p>
    <w:p w:rsidR="006F733A" w:rsidRPr="00A46AE7" w:rsidRDefault="006F733A" w:rsidP="00A46AE7">
      <w:pPr>
        <w:pStyle w:val="Heading2"/>
        <w:keepLines w:val="0"/>
        <w:tabs>
          <w:tab w:val="left" w:pos="851"/>
        </w:tabs>
        <w:spacing w:before="360" w:after="240"/>
        <w:ind w:left="851" w:hanging="851"/>
        <w:rPr>
          <w:rFonts w:ascii="Arial" w:hAnsi="Arial" w:cs="Arial"/>
          <w:color w:val="548DD4" w:themeColor="text2" w:themeTint="99"/>
        </w:rPr>
      </w:pPr>
      <w:bookmarkStart w:id="49" w:name="_Toc278480624"/>
      <w:r w:rsidRPr="00A46AE7">
        <w:rPr>
          <w:rFonts w:ascii="Arial" w:hAnsi="Arial" w:cs="Arial"/>
          <w:color w:val="548DD4" w:themeColor="text2" w:themeTint="99"/>
        </w:rPr>
        <w:t>Analysis at the Diagnosis Related Group level</w:t>
      </w:r>
      <w:bookmarkEnd w:id="49"/>
    </w:p>
    <w:p w:rsidR="00946579" w:rsidRPr="005E6149" w:rsidRDefault="00946579" w:rsidP="00A55197">
      <w:pPr>
        <w:spacing w:before="120" w:after="120"/>
        <w:rPr>
          <w:rFonts w:ascii="Arial" w:hAnsi="Arial" w:cs="Arial"/>
          <w:sz w:val="22"/>
          <w:szCs w:val="22"/>
        </w:rPr>
      </w:pPr>
      <w:r w:rsidRPr="005E6149">
        <w:rPr>
          <w:rFonts w:ascii="Arial" w:hAnsi="Arial" w:cs="Arial"/>
          <w:sz w:val="22"/>
          <w:szCs w:val="22"/>
        </w:rPr>
        <w:t>Paired t-tests were undertaken between the two population cohorts admitted for overnight acute care using both Round 16 an</w:t>
      </w:r>
      <w:r w:rsidR="00FF353F" w:rsidRPr="005E6149">
        <w:rPr>
          <w:rFonts w:ascii="Arial" w:hAnsi="Arial" w:cs="Arial"/>
          <w:sz w:val="22"/>
          <w:szCs w:val="22"/>
        </w:rPr>
        <w:t>d</w:t>
      </w:r>
      <w:r w:rsidRPr="005E6149">
        <w:rPr>
          <w:rFonts w:ascii="Arial" w:hAnsi="Arial" w:cs="Arial"/>
          <w:sz w:val="22"/>
          <w:szCs w:val="22"/>
        </w:rPr>
        <w:t xml:space="preserve"> Round 17 NHCDC data</w:t>
      </w:r>
      <w:r w:rsidR="00D873D2">
        <w:rPr>
          <w:rFonts w:ascii="Arial" w:hAnsi="Arial" w:cs="Arial"/>
          <w:sz w:val="22"/>
          <w:szCs w:val="22"/>
        </w:rPr>
        <w:t xml:space="preserve">. </w:t>
      </w:r>
    </w:p>
    <w:p w:rsidR="005B3FF3" w:rsidRPr="005E6149" w:rsidRDefault="005B3FF3" w:rsidP="005B3FF3">
      <w:pPr>
        <w:spacing w:before="120" w:after="120"/>
        <w:rPr>
          <w:rFonts w:ascii="Arial" w:hAnsi="Arial" w:cs="Arial"/>
          <w:sz w:val="22"/>
          <w:szCs w:val="22"/>
        </w:rPr>
      </w:pPr>
      <w:r w:rsidRPr="005E6149">
        <w:rPr>
          <w:rFonts w:ascii="Arial" w:hAnsi="Arial" w:cs="Arial"/>
          <w:sz w:val="22"/>
          <w:szCs w:val="22"/>
        </w:rPr>
        <w:t>The Round 16 dataset contained 608 different AR-DRG classes with five of more separations in both patient cohorts</w:t>
      </w:r>
      <w:r w:rsidR="00D873D2">
        <w:rPr>
          <w:rFonts w:ascii="Arial" w:hAnsi="Arial" w:cs="Arial"/>
          <w:sz w:val="22"/>
          <w:szCs w:val="22"/>
        </w:rPr>
        <w:t xml:space="preserve">. </w:t>
      </w:r>
      <w:r w:rsidR="00A90A1F">
        <w:rPr>
          <w:rFonts w:ascii="Arial" w:hAnsi="Arial" w:cs="Arial"/>
          <w:sz w:val="22"/>
          <w:szCs w:val="22"/>
        </w:rPr>
        <w:t xml:space="preserve">Of these, 180 AR-DRGs </w:t>
      </w:r>
      <w:r w:rsidRPr="005E6149">
        <w:rPr>
          <w:rFonts w:ascii="Arial" w:hAnsi="Arial" w:cs="Arial"/>
          <w:sz w:val="22"/>
          <w:szCs w:val="22"/>
        </w:rPr>
        <w:t xml:space="preserve">were identified as having statistically different cost profiles </w:t>
      </w:r>
      <w:r w:rsidR="00AA2E00" w:rsidRPr="005E6149">
        <w:rPr>
          <w:rFonts w:ascii="Arial" w:hAnsi="Arial" w:cs="Arial"/>
          <w:sz w:val="22"/>
          <w:szCs w:val="22"/>
        </w:rPr>
        <w:t>for</w:t>
      </w:r>
      <w:r w:rsidRPr="005E6149">
        <w:rPr>
          <w:rFonts w:ascii="Arial" w:hAnsi="Arial" w:cs="Arial"/>
          <w:sz w:val="22"/>
          <w:szCs w:val="22"/>
        </w:rPr>
        <w:t xml:space="preserve"> Indigenous patient</w:t>
      </w:r>
      <w:r w:rsidR="00AA2E00" w:rsidRPr="005E6149">
        <w:rPr>
          <w:rFonts w:ascii="Arial" w:hAnsi="Arial" w:cs="Arial"/>
          <w:sz w:val="22"/>
          <w:szCs w:val="22"/>
        </w:rPr>
        <w:t>s compared to</w:t>
      </w:r>
      <w:r w:rsidRPr="005E6149">
        <w:rPr>
          <w:rFonts w:ascii="Arial" w:hAnsi="Arial" w:cs="Arial"/>
          <w:sz w:val="22"/>
          <w:szCs w:val="22"/>
        </w:rPr>
        <w:t xml:space="preserve"> </w:t>
      </w:r>
      <w:r w:rsidR="007A097D">
        <w:rPr>
          <w:rFonts w:ascii="Arial" w:hAnsi="Arial" w:cs="Arial"/>
          <w:sz w:val="22"/>
          <w:szCs w:val="22"/>
        </w:rPr>
        <w:t>Non-Indigenous</w:t>
      </w:r>
      <w:r w:rsidRPr="005E6149">
        <w:rPr>
          <w:rFonts w:ascii="Arial" w:hAnsi="Arial" w:cs="Arial"/>
          <w:sz w:val="22"/>
          <w:szCs w:val="22"/>
        </w:rPr>
        <w:t xml:space="preserve"> patient</w:t>
      </w:r>
      <w:r w:rsidR="00AA2E00" w:rsidRPr="005E6149">
        <w:rPr>
          <w:rFonts w:ascii="Arial" w:hAnsi="Arial" w:cs="Arial"/>
          <w:sz w:val="22"/>
          <w:szCs w:val="22"/>
        </w:rPr>
        <w:t>s</w:t>
      </w:r>
      <w:r w:rsidR="00D873D2">
        <w:rPr>
          <w:rFonts w:ascii="Arial" w:hAnsi="Arial" w:cs="Arial"/>
          <w:sz w:val="22"/>
          <w:szCs w:val="22"/>
        </w:rPr>
        <w:t xml:space="preserve">. </w:t>
      </w:r>
      <w:r w:rsidRPr="005E6149">
        <w:rPr>
          <w:rFonts w:ascii="Arial" w:hAnsi="Arial" w:cs="Arial"/>
          <w:sz w:val="22"/>
          <w:szCs w:val="22"/>
        </w:rPr>
        <w:t xml:space="preserve">These classes covered </w:t>
      </w:r>
      <w:r w:rsidR="00A90A1F">
        <w:rPr>
          <w:rFonts w:ascii="Arial" w:hAnsi="Arial" w:cs="Arial"/>
          <w:sz w:val="22"/>
          <w:szCs w:val="22"/>
        </w:rPr>
        <w:t>53</w:t>
      </w:r>
      <w:r w:rsidRPr="005E6149">
        <w:rPr>
          <w:rFonts w:ascii="Arial" w:hAnsi="Arial" w:cs="Arial"/>
          <w:sz w:val="22"/>
          <w:szCs w:val="22"/>
        </w:rPr>
        <w:t xml:space="preserve">% of all </w:t>
      </w:r>
      <w:r w:rsidR="00AA2E00" w:rsidRPr="005E6149">
        <w:rPr>
          <w:rFonts w:ascii="Arial" w:hAnsi="Arial" w:cs="Arial"/>
          <w:sz w:val="22"/>
          <w:szCs w:val="22"/>
        </w:rPr>
        <w:t xml:space="preserve">acute admitted </w:t>
      </w:r>
      <w:r w:rsidR="00C0374E" w:rsidRPr="005E6149">
        <w:rPr>
          <w:rFonts w:ascii="Arial" w:hAnsi="Arial" w:cs="Arial"/>
          <w:sz w:val="22"/>
          <w:szCs w:val="22"/>
        </w:rPr>
        <w:t>overnight cases contained</w:t>
      </w:r>
      <w:r w:rsidRPr="005E6149">
        <w:rPr>
          <w:rFonts w:ascii="Arial" w:hAnsi="Arial" w:cs="Arial"/>
          <w:sz w:val="22"/>
          <w:szCs w:val="22"/>
        </w:rPr>
        <w:t xml:space="preserve"> in the Round 1</w:t>
      </w:r>
      <w:r w:rsidR="00AA2E00" w:rsidRPr="005E6149">
        <w:rPr>
          <w:rFonts w:ascii="Arial" w:hAnsi="Arial" w:cs="Arial"/>
          <w:sz w:val="22"/>
          <w:szCs w:val="22"/>
        </w:rPr>
        <w:t>6</w:t>
      </w:r>
      <w:r w:rsidRPr="005E6149">
        <w:rPr>
          <w:rFonts w:ascii="Arial" w:hAnsi="Arial" w:cs="Arial"/>
          <w:sz w:val="22"/>
          <w:szCs w:val="22"/>
        </w:rPr>
        <w:t xml:space="preserve"> </w:t>
      </w:r>
      <w:r w:rsidR="00AA2E00" w:rsidRPr="005E6149">
        <w:rPr>
          <w:rFonts w:ascii="Arial" w:hAnsi="Arial" w:cs="Arial"/>
          <w:sz w:val="22"/>
          <w:szCs w:val="22"/>
        </w:rPr>
        <w:t xml:space="preserve">trimmed </w:t>
      </w:r>
      <w:r w:rsidRPr="005E6149">
        <w:rPr>
          <w:rFonts w:ascii="Arial" w:hAnsi="Arial" w:cs="Arial"/>
          <w:sz w:val="22"/>
          <w:szCs w:val="22"/>
        </w:rPr>
        <w:t>dataset.</w:t>
      </w:r>
    </w:p>
    <w:p w:rsidR="005B3FF3" w:rsidRPr="005E6149" w:rsidRDefault="005B3FF3" w:rsidP="005B3FF3">
      <w:pPr>
        <w:spacing w:before="120" w:after="120"/>
        <w:rPr>
          <w:rFonts w:ascii="Arial" w:hAnsi="Arial" w:cs="Arial"/>
          <w:sz w:val="22"/>
          <w:szCs w:val="22"/>
        </w:rPr>
      </w:pPr>
      <w:r w:rsidRPr="005E6149">
        <w:rPr>
          <w:rFonts w:ascii="Arial" w:hAnsi="Arial" w:cs="Arial"/>
          <w:sz w:val="22"/>
          <w:szCs w:val="22"/>
        </w:rPr>
        <w:t xml:space="preserve">The majority </w:t>
      </w:r>
      <w:r w:rsidR="00FF353F" w:rsidRPr="005E6149">
        <w:rPr>
          <w:rFonts w:ascii="Arial" w:hAnsi="Arial" w:cs="Arial"/>
          <w:sz w:val="22"/>
          <w:szCs w:val="22"/>
        </w:rPr>
        <w:t>o</w:t>
      </w:r>
      <w:r w:rsidRPr="005E6149">
        <w:rPr>
          <w:rFonts w:ascii="Arial" w:hAnsi="Arial" w:cs="Arial"/>
          <w:sz w:val="22"/>
          <w:szCs w:val="22"/>
        </w:rPr>
        <w:t>f these AR-DRGs retu</w:t>
      </w:r>
      <w:r w:rsidR="00FF353F" w:rsidRPr="005E6149">
        <w:rPr>
          <w:rFonts w:ascii="Arial" w:hAnsi="Arial" w:cs="Arial"/>
          <w:sz w:val="22"/>
          <w:szCs w:val="22"/>
        </w:rPr>
        <w:t>r</w:t>
      </w:r>
      <w:r w:rsidRPr="005E6149">
        <w:rPr>
          <w:rFonts w:ascii="Arial" w:hAnsi="Arial" w:cs="Arial"/>
          <w:sz w:val="22"/>
          <w:szCs w:val="22"/>
        </w:rPr>
        <w:t xml:space="preserve">ned statistical values indicating that it </w:t>
      </w:r>
      <w:r w:rsidR="00FF353F" w:rsidRPr="005E6149">
        <w:rPr>
          <w:rFonts w:ascii="Arial" w:hAnsi="Arial" w:cs="Arial"/>
          <w:sz w:val="22"/>
          <w:szCs w:val="22"/>
        </w:rPr>
        <w:t>cost</w:t>
      </w:r>
      <w:r w:rsidR="00A90A1F">
        <w:rPr>
          <w:rFonts w:ascii="Arial" w:hAnsi="Arial" w:cs="Arial"/>
          <w:sz w:val="22"/>
          <w:szCs w:val="22"/>
        </w:rPr>
        <w:t>s more</w:t>
      </w:r>
      <w:r w:rsidR="00FF353F" w:rsidRPr="005E6149">
        <w:rPr>
          <w:rFonts w:ascii="Arial" w:hAnsi="Arial" w:cs="Arial"/>
          <w:sz w:val="22"/>
          <w:szCs w:val="22"/>
        </w:rPr>
        <w:t xml:space="preserve"> </w:t>
      </w:r>
      <w:r w:rsidRPr="005E6149">
        <w:rPr>
          <w:rFonts w:ascii="Arial" w:hAnsi="Arial" w:cs="Arial"/>
          <w:sz w:val="22"/>
          <w:szCs w:val="22"/>
        </w:rPr>
        <w:t xml:space="preserve">to treat an Indigenous patient than a </w:t>
      </w:r>
      <w:r w:rsidR="007A097D">
        <w:rPr>
          <w:rFonts w:ascii="Arial" w:hAnsi="Arial" w:cs="Arial"/>
          <w:sz w:val="22"/>
          <w:szCs w:val="22"/>
        </w:rPr>
        <w:t>Non-Indigenous</w:t>
      </w:r>
      <w:r w:rsidRPr="005E6149">
        <w:rPr>
          <w:rFonts w:ascii="Arial" w:hAnsi="Arial" w:cs="Arial"/>
          <w:sz w:val="22"/>
          <w:szCs w:val="22"/>
        </w:rPr>
        <w:t xml:space="preserve"> patient</w:t>
      </w:r>
      <w:r w:rsidR="00D873D2">
        <w:rPr>
          <w:rFonts w:ascii="Arial" w:hAnsi="Arial" w:cs="Arial"/>
          <w:sz w:val="22"/>
          <w:szCs w:val="22"/>
        </w:rPr>
        <w:t xml:space="preserve">. </w:t>
      </w:r>
      <w:r w:rsidRPr="005E6149">
        <w:rPr>
          <w:rFonts w:ascii="Arial" w:hAnsi="Arial" w:cs="Arial"/>
          <w:sz w:val="22"/>
          <w:szCs w:val="22"/>
        </w:rPr>
        <w:t xml:space="preserve">Appendix </w:t>
      </w:r>
      <w:r w:rsidR="00FC6B19">
        <w:rPr>
          <w:rFonts w:ascii="Arial" w:hAnsi="Arial" w:cs="Arial"/>
          <w:sz w:val="22"/>
          <w:szCs w:val="22"/>
        </w:rPr>
        <w:t>F</w:t>
      </w:r>
      <w:r w:rsidRPr="005E6149">
        <w:rPr>
          <w:rFonts w:ascii="Arial" w:hAnsi="Arial" w:cs="Arial"/>
          <w:sz w:val="22"/>
          <w:szCs w:val="22"/>
        </w:rPr>
        <w:t xml:space="preserve"> clearly identifies these AR-DRGs.</w:t>
      </w:r>
    </w:p>
    <w:p w:rsidR="00C325EF" w:rsidRPr="005E6149" w:rsidRDefault="005B3FF3" w:rsidP="005B3FF3">
      <w:pPr>
        <w:spacing w:before="120" w:after="120"/>
        <w:rPr>
          <w:rFonts w:ascii="Arial" w:hAnsi="Arial" w:cs="Arial"/>
          <w:sz w:val="22"/>
          <w:szCs w:val="22"/>
        </w:rPr>
      </w:pPr>
      <w:r w:rsidRPr="005E6149">
        <w:rPr>
          <w:rFonts w:ascii="Arial" w:hAnsi="Arial" w:cs="Arial"/>
          <w:sz w:val="22"/>
          <w:szCs w:val="22"/>
        </w:rPr>
        <w:t xml:space="preserve">Whilst the statistical tests undertaken on the dataset, show that for </w:t>
      </w:r>
      <w:r w:rsidR="00AA2E00" w:rsidRPr="005E6149">
        <w:rPr>
          <w:rFonts w:ascii="Arial" w:hAnsi="Arial" w:cs="Arial"/>
          <w:sz w:val="22"/>
          <w:szCs w:val="22"/>
        </w:rPr>
        <w:t>53.2</w:t>
      </w:r>
      <w:r w:rsidRPr="005E6149">
        <w:rPr>
          <w:rFonts w:ascii="Arial" w:hAnsi="Arial" w:cs="Arial"/>
          <w:sz w:val="22"/>
          <w:szCs w:val="22"/>
        </w:rPr>
        <w:t>% of the separations a cost differential exists between the two cohorts, the statistical tests do not yield an absolute value in terms of what this differential would be</w:t>
      </w:r>
      <w:r w:rsidR="00D873D2">
        <w:rPr>
          <w:rFonts w:ascii="Arial" w:hAnsi="Arial" w:cs="Arial"/>
          <w:sz w:val="22"/>
          <w:szCs w:val="22"/>
        </w:rPr>
        <w:t xml:space="preserve">. </w:t>
      </w:r>
      <w:r w:rsidR="00952D29" w:rsidRPr="005E6149">
        <w:rPr>
          <w:rFonts w:ascii="Arial" w:hAnsi="Arial" w:cs="Arial"/>
          <w:sz w:val="22"/>
          <w:szCs w:val="22"/>
        </w:rPr>
        <w:t>Based on further</w:t>
      </w:r>
      <w:r w:rsidR="00AA2E00" w:rsidRPr="005E6149">
        <w:rPr>
          <w:rFonts w:ascii="Arial" w:hAnsi="Arial" w:cs="Arial"/>
          <w:sz w:val="22"/>
          <w:szCs w:val="22"/>
        </w:rPr>
        <w:t xml:space="preserve"> statistical analyses of the differences of the means </w:t>
      </w:r>
      <w:r w:rsidR="00952D29" w:rsidRPr="005E6149">
        <w:rPr>
          <w:rFonts w:ascii="Arial" w:hAnsi="Arial" w:cs="Arial"/>
          <w:sz w:val="22"/>
          <w:szCs w:val="22"/>
        </w:rPr>
        <w:t>for</w:t>
      </w:r>
      <w:r w:rsidR="00C325EF" w:rsidRPr="005E6149">
        <w:rPr>
          <w:rFonts w:ascii="Arial" w:hAnsi="Arial" w:cs="Arial"/>
          <w:sz w:val="22"/>
          <w:szCs w:val="22"/>
        </w:rPr>
        <w:t xml:space="preserve"> </w:t>
      </w:r>
      <w:r w:rsidR="00AA2E00" w:rsidRPr="005E6149">
        <w:rPr>
          <w:rFonts w:ascii="Arial" w:hAnsi="Arial" w:cs="Arial"/>
          <w:sz w:val="22"/>
          <w:szCs w:val="22"/>
        </w:rPr>
        <w:t>the 180 AR-DRGs where a cost differential was i</w:t>
      </w:r>
      <w:r w:rsidR="00C325EF" w:rsidRPr="005E6149">
        <w:rPr>
          <w:rFonts w:ascii="Arial" w:hAnsi="Arial" w:cs="Arial"/>
          <w:sz w:val="22"/>
          <w:szCs w:val="22"/>
        </w:rPr>
        <w:t>dentified</w:t>
      </w:r>
      <w:r w:rsidR="005F2D7F" w:rsidRPr="005E6149">
        <w:rPr>
          <w:rFonts w:ascii="Arial" w:hAnsi="Arial" w:cs="Arial"/>
          <w:sz w:val="22"/>
          <w:szCs w:val="22"/>
        </w:rPr>
        <w:t xml:space="preserve"> the magnitude of the difference could be established. I</w:t>
      </w:r>
      <w:r w:rsidR="00C325EF" w:rsidRPr="005E6149">
        <w:rPr>
          <w:rFonts w:ascii="Arial" w:hAnsi="Arial" w:cs="Arial"/>
          <w:sz w:val="22"/>
          <w:szCs w:val="22"/>
        </w:rPr>
        <w:t xml:space="preserve">t costs on average 24.03% more to treat an Indigenous patient than a </w:t>
      </w:r>
      <w:r w:rsidR="007A097D">
        <w:rPr>
          <w:rFonts w:ascii="Arial" w:hAnsi="Arial" w:cs="Arial"/>
          <w:sz w:val="22"/>
          <w:szCs w:val="22"/>
        </w:rPr>
        <w:t>Non-Indigenous</w:t>
      </w:r>
      <w:r w:rsidR="00C325EF" w:rsidRPr="005E6149">
        <w:rPr>
          <w:rFonts w:ascii="Arial" w:hAnsi="Arial" w:cs="Arial"/>
          <w:sz w:val="22"/>
          <w:szCs w:val="22"/>
        </w:rPr>
        <w:t xml:space="preserve"> patient</w:t>
      </w:r>
      <w:r w:rsidR="00D873D2">
        <w:rPr>
          <w:rFonts w:ascii="Arial" w:hAnsi="Arial" w:cs="Arial"/>
          <w:sz w:val="22"/>
          <w:szCs w:val="22"/>
        </w:rPr>
        <w:t xml:space="preserve">. </w:t>
      </w:r>
      <w:r w:rsidR="00C325EF" w:rsidRPr="005E6149">
        <w:rPr>
          <w:rFonts w:ascii="Arial" w:hAnsi="Arial" w:cs="Arial"/>
          <w:sz w:val="22"/>
          <w:szCs w:val="22"/>
        </w:rPr>
        <w:t xml:space="preserve">This takes into account those AR-DRGs where the </w:t>
      </w:r>
      <w:r w:rsidR="007A097D">
        <w:rPr>
          <w:rFonts w:ascii="Arial" w:hAnsi="Arial" w:cs="Arial"/>
          <w:sz w:val="22"/>
          <w:szCs w:val="22"/>
        </w:rPr>
        <w:t>Non-Indigenous</w:t>
      </w:r>
      <w:r w:rsidR="00C325EF" w:rsidRPr="005E6149">
        <w:rPr>
          <w:rFonts w:ascii="Arial" w:hAnsi="Arial" w:cs="Arial"/>
          <w:sz w:val="22"/>
          <w:szCs w:val="22"/>
        </w:rPr>
        <w:t xml:space="preserve"> cohort was identified as the more expensive to treat. </w:t>
      </w:r>
    </w:p>
    <w:p w:rsidR="00C325EF" w:rsidRPr="005E6149" w:rsidRDefault="00C325EF" w:rsidP="005B3FF3">
      <w:pPr>
        <w:spacing w:before="120" w:after="120"/>
        <w:rPr>
          <w:rFonts w:ascii="Arial" w:hAnsi="Arial" w:cs="Arial"/>
          <w:sz w:val="22"/>
          <w:szCs w:val="22"/>
        </w:rPr>
      </w:pPr>
      <w:r w:rsidRPr="005E6149">
        <w:rPr>
          <w:rFonts w:ascii="Arial" w:hAnsi="Arial" w:cs="Arial"/>
          <w:sz w:val="22"/>
          <w:szCs w:val="22"/>
        </w:rPr>
        <w:t xml:space="preserve">In comparison, the Round 17 dataset contained </w:t>
      </w:r>
      <w:r w:rsidR="005560D0" w:rsidRPr="005E6149">
        <w:rPr>
          <w:rFonts w:ascii="Arial" w:hAnsi="Arial" w:cs="Arial"/>
          <w:sz w:val="22"/>
          <w:szCs w:val="22"/>
        </w:rPr>
        <w:t>602 different AR-DRG classes with five or more separations in both patent cohorts</w:t>
      </w:r>
      <w:r w:rsidR="00D873D2">
        <w:rPr>
          <w:rFonts w:ascii="Arial" w:hAnsi="Arial" w:cs="Arial"/>
          <w:sz w:val="22"/>
          <w:szCs w:val="22"/>
        </w:rPr>
        <w:t xml:space="preserve">. </w:t>
      </w:r>
      <w:r w:rsidR="005560D0" w:rsidRPr="005E6149">
        <w:rPr>
          <w:rFonts w:ascii="Arial" w:hAnsi="Arial" w:cs="Arial"/>
          <w:sz w:val="22"/>
          <w:szCs w:val="22"/>
        </w:rPr>
        <w:t>Of these 170 AR-DRGs (</w:t>
      </w:r>
      <w:r w:rsidR="00B03B9C" w:rsidRPr="005E6149">
        <w:rPr>
          <w:rFonts w:ascii="Arial" w:hAnsi="Arial" w:cs="Arial"/>
          <w:sz w:val="22"/>
          <w:szCs w:val="22"/>
        </w:rPr>
        <w:t>28.2</w:t>
      </w:r>
      <w:r w:rsidR="005560D0" w:rsidRPr="005E6149">
        <w:rPr>
          <w:rFonts w:ascii="Arial" w:hAnsi="Arial" w:cs="Arial"/>
          <w:sz w:val="22"/>
          <w:szCs w:val="22"/>
        </w:rPr>
        <w:t>%) were identified as having statistically different cost profiles for Indigenou</w:t>
      </w:r>
      <w:r w:rsidR="00C0374E" w:rsidRPr="005E6149">
        <w:rPr>
          <w:rFonts w:ascii="Arial" w:hAnsi="Arial" w:cs="Arial"/>
          <w:sz w:val="22"/>
          <w:szCs w:val="22"/>
        </w:rPr>
        <w:t>s</w:t>
      </w:r>
      <w:r w:rsidR="005560D0" w:rsidRPr="005E6149">
        <w:rPr>
          <w:rFonts w:ascii="Arial" w:hAnsi="Arial" w:cs="Arial"/>
          <w:sz w:val="22"/>
          <w:szCs w:val="22"/>
        </w:rPr>
        <w:t xml:space="preserve"> patients compared to </w:t>
      </w:r>
      <w:r w:rsidR="007A097D">
        <w:rPr>
          <w:rFonts w:ascii="Arial" w:hAnsi="Arial" w:cs="Arial"/>
          <w:sz w:val="22"/>
          <w:szCs w:val="22"/>
        </w:rPr>
        <w:t>Non-Indigenous</w:t>
      </w:r>
      <w:r w:rsidR="005560D0" w:rsidRPr="005E6149">
        <w:rPr>
          <w:rFonts w:ascii="Arial" w:hAnsi="Arial" w:cs="Arial"/>
          <w:sz w:val="22"/>
          <w:szCs w:val="22"/>
        </w:rPr>
        <w:t xml:space="preserve"> patients</w:t>
      </w:r>
      <w:r w:rsidR="00D873D2">
        <w:rPr>
          <w:rFonts w:ascii="Arial" w:hAnsi="Arial" w:cs="Arial"/>
          <w:sz w:val="22"/>
          <w:szCs w:val="22"/>
        </w:rPr>
        <w:t xml:space="preserve">. </w:t>
      </w:r>
      <w:r w:rsidR="00C0374E" w:rsidRPr="005E6149">
        <w:rPr>
          <w:rFonts w:ascii="Arial" w:hAnsi="Arial" w:cs="Arial"/>
          <w:sz w:val="22"/>
          <w:szCs w:val="22"/>
        </w:rPr>
        <w:t xml:space="preserve">These classes covered </w:t>
      </w:r>
      <w:r w:rsidR="00BD69AC" w:rsidRPr="005E6149">
        <w:rPr>
          <w:rFonts w:ascii="Arial" w:hAnsi="Arial" w:cs="Arial"/>
          <w:sz w:val="22"/>
          <w:szCs w:val="22"/>
        </w:rPr>
        <w:t>50.4</w:t>
      </w:r>
      <w:r w:rsidR="00C0374E" w:rsidRPr="005E6149">
        <w:rPr>
          <w:rFonts w:ascii="Arial" w:hAnsi="Arial" w:cs="Arial"/>
          <w:sz w:val="22"/>
          <w:szCs w:val="22"/>
        </w:rPr>
        <w:t>% of all acute admitted overnight stay cases</w:t>
      </w:r>
      <w:r w:rsidR="00D873D2">
        <w:rPr>
          <w:rFonts w:ascii="Arial" w:hAnsi="Arial" w:cs="Arial"/>
          <w:sz w:val="22"/>
          <w:szCs w:val="22"/>
        </w:rPr>
        <w:t xml:space="preserve">. </w:t>
      </w:r>
      <w:r w:rsidR="00C0374E" w:rsidRPr="005E6149">
        <w:rPr>
          <w:rFonts w:ascii="Arial" w:hAnsi="Arial" w:cs="Arial"/>
          <w:sz w:val="22"/>
          <w:szCs w:val="22"/>
        </w:rPr>
        <w:t xml:space="preserve">Appendix </w:t>
      </w:r>
      <w:r w:rsidR="00FC6B19">
        <w:rPr>
          <w:rFonts w:ascii="Arial" w:hAnsi="Arial" w:cs="Arial"/>
          <w:sz w:val="22"/>
          <w:szCs w:val="22"/>
        </w:rPr>
        <w:t>F</w:t>
      </w:r>
      <w:r w:rsidR="00C0374E" w:rsidRPr="005E6149">
        <w:rPr>
          <w:rFonts w:ascii="Arial" w:hAnsi="Arial" w:cs="Arial"/>
          <w:sz w:val="22"/>
          <w:szCs w:val="22"/>
        </w:rPr>
        <w:t xml:space="preserve"> lists these AR-DRGs.</w:t>
      </w:r>
    </w:p>
    <w:p w:rsidR="00C0374E" w:rsidRPr="005E6149" w:rsidRDefault="00C0374E" w:rsidP="005B3FF3">
      <w:pPr>
        <w:spacing w:before="120" w:after="120"/>
        <w:rPr>
          <w:rFonts w:ascii="Arial" w:hAnsi="Arial" w:cs="Arial"/>
          <w:sz w:val="22"/>
          <w:szCs w:val="22"/>
        </w:rPr>
      </w:pPr>
      <w:r w:rsidRPr="005E6149">
        <w:rPr>
          <w:rFonts w:ascii="Arial" w:hAnsi="Arial" w:cs="Arial"/>
          <w:sz w:val="22"/>
          <w:szCs w:val="22"/>
        </w:rPr>
        <w:t>Restricting the analyses in the first instance to the subset of AR-DRGs where a cost differential was statistically identified yielded the following results:</w:t>
      </w:r>
    </w:p>
    <w:p w:rsidR="00C0374E" w:rsidRPr="005E6149" w:rsidRDefault="00C0374E" w:rsidP="00E86862">
      <w:pPr>
        <w:pStyle w:val="ListParagraph"/>
        <w:numPr>
          <w:ilvl w:val="0"/>
          <w:numId w:val="36"/>
        </w:numPr>
        <w:spacing w:before="120" w:after="120"/>
        <w:rPr>
          <w:rFonts w:ascii="Arial" w:hAnsi="Arial" w:cs="Arial"/>
          <w:sz w:val="22"/>
          <w:szCs w:val="22"/>
        </w:rPr>
      </w:pPr>
      <w:r w:rsidRPr="005E6149">
        <w:rPr>
          <w:rFonts w:ascii="Arial" w:hAnsi="Arial" w:cs="Arial"/>
          <w:sz w:val="22"/>
          <w:szCs w:val="22"/>
        </w:rPr>
        <w:t xml:space="preserve">for the Round 16, the cost differential between Indigenous and </w:t>
      </w:r>
      <w:r w:rsidR="007A097D">
        <w:rPr>
          <w:rFonts w:ascii="Arial" w:hAnsi="Arial" w:cs="Arial"/>
          <w:sz w:val="22"/>
          <w:szCs w:val="22"/>
        </w:rPr>
        <w:t>Non-Indigenous</w:t>
      </w:r>
      <w:r w:rsidRPr="005E6149">
        <w:rPr>
          <w:rFonts w:ascii="Arial" w:hAnsi="Arial" w:cs="Arial"/>
          <w:sz w:val="22"/>
          <w:szCs w:val="22"/>
        </w:rPr>
        <w:t xml:space="preserve"> patie</w:t>
      </w:r>
      <w:r w:rsidR="00A90A1F">
        <w:rPr>
          <w:rFonts w:ascii="Arial" w:hAnsi="Arial" w:cs="Arial"/>
          <w:sz w:val="22"/>
          <w:szCs w:val="22"/>
        </w:rPr>
        <w:t>nts for the 180 AR-DRGs was 24</w:t>
      </w:r>
      <w:r w:rsidRPr="005E6149">
        <w:rPr>
          <w:rFonts w:ascii="Arial" w:hAnsi="Arial" w:cs="Arial"/>
          <w:sz w:val="22"/>
          <w:szCs w:val="22"/>
        </w:rPr>
        <w:t>%</w:t>
      </w:r>
      <w:r w:rsidR="00BE6BD9" w:rsidRPr="005E6149">
        <w:rPr>
          <w:rFonts w:ascii="Arial" w:hAnsi="Arial" w:cs="Arial"/>
          <w:sz w:val="22"/>
          <w:szCs w:val="22"/>
        </w:rPr>
        <w:t>;</w:t>
      </w:r>
    </w:p>
    <w:p w:rsidR="00C0374E" w:rsidRPr="005E6149" w:rsidRDefault="00C0374E" w:rsidP="00E86862">
      <w:pPr>
        <w:pStyle w:val="ListParagraph"/>
        <w:numPr>
          <w:ilvl w:val="0"/>
          <w:numId w:val="36"/>
        </w:numPr>
        <w:spacing w:before="120" w:after="120"/>
        <w:rPr>
          <w:rFonts w:ascii="Arial" w:hAnsi="Arial" w:cs="Arial"/>
          <w:sz w:val="22"/>
          <w:szCs w:val="22"/>
        </w:rPr>
      </w:pPr>
      <w:r w:rsidRPr="005E6149">
        <w:rPr>
          <w:rFonts w:ascii="Arial" w:hAnsi="Arial" w:cs="Arial"/>
          <w:sz w:val="22"/>
          <w:szCs w:val="22"/>
        </w:rPr>
        <w:t>for the Round 17 dataset, covering 170 AR-DRGs, the cost differential between the two patient cohorts was 18%</w:t>
      </w:r>
      <w:r w:rsidR="00BE6BD9" w:rsidRPr="005E6149">
        <w:rPr>
          <w:rFonts w:ascii="Arial" w:hAnsi="Arial" w:cs="Arial"/>
          <w:sz w:val="22"/>
          <w:szCs w:val="22"/>
        </w:rPr>
        <w:t>, and</w:t>
      </w:r>
    </w:p>
    <w:p w:rsidR="00D01347" w:rsidRPr="005E6149" w:rsidRDefault="00D01347" w:rsidP="00E86862">
      <w:pPr>
        <w:pStyle w:val="ListParagraph"/>
        <w:numPr>
          <w:ilvl w:val="0"/>
          <w:numId w:val="36"/>
        </w:numPr>
        <w:spacing w:before="120" w:after="120"/>
        <w:rPr>
          <w:rFonts w:ascii="Arial" w:hAnsi="Arial" w:cs="Arial"/>
          <w:sz w:val="22"/>
          <w:szCs w:val="22"/>
        </w:rPr>
      </w:pPr>
      <w:proofErr w:type="gramStart"/>
      <w:r w:rsidRPr="005E6149">
        <w:rPr>
          <w:rFonts w:ascii="Arial" w:hAnsi="Arial" w:cs="Arial"/>
          <w:sz w:val="22"/>
          <w:szCs w:val="22"/>
        </w:rPr>
        <w:t>across</w:t>
      </w:r>
      <w:proofErr w:type="gramEnd"/>
      <w:r w:rsidRPr="005E6149">
        <w:rPr>
          <w:rFonts w:ascii="Arial" w:hAnsi="Arial" w:cs="Arial"/>
          <w:sz w:val="22"/>
          <w:szCs w:val="22"/>
        </w:rPr>
        <w:t xml:space="preserve"> the two years</w:t>
      </w:r>
      <w:r w:rsidR="00A90A1F">
        <w:rPr>
          <w:rFonts w:ascii="Arial" w:hAnsi="Arial" w:cs="Arial"/>
          <w:sz w:val="22"/>
          <w:szCs w:val="22"/>
        </w:rPr>
        <w:t>, the cost differential was 21</w:t>
      </w:r>
      <w:r w:rsidRPr="005E6149">
        <w:rPr>
          <w:rFonts w:ascii="Arial" w:hAnsi="Arial" w:cs="Arial"/>
          <w:sz w:val="22"/>
          <w:szCs w:val="22"/>
        </w:rPr>
        <w:t>%</w:t>
      </w:r>
      <w:r w:rsidR="002424DB" w:rsidRPr="005E6149">
        <w:rPr>
          <w:rFonts w:ascii="Arial" w:hAnsi="Arial" w:cs="Arial"/>
          <w:sz w:val="22"/>
          <w:szCs w:val="22"/>
        </w:rPr>
        <w:t>.</w:t>
      </w:r>
    </w:p>
    <w:p w:rsidR="009B5592" w:rsidRPr="005E6149" w:rsidRDefault="00FF353F" w:rsidP="005B3FF3">
      <w:pPr>
        <w:spacing w:before="120" w:after="120"/>
        <w:rPr>
          <w:rFonts w:ascii="Arial" w:hAnsi="Arial" w:cs="Arial"/>
          <w:sz w:val="22"/>
          <w:szCs w:val="22"/>
        </w:rPr>
      </w:pPr>
      <w:r w:rsidRPr="005E6149">
        <w:rPr>
          <w:rFonts w:ascii="Arial" w:hAnsi="Arial" w:cs="Arial"/>
          <w:sz w:val="22"/>
          <w:szCs w:val="22"/>
        </w:rPr>
        <w:t>I</w:t>
      </w:r>
      <w:r w:rsidR="009B5592" w:rsidRPr="005E6149">
        <w:rPr>
          <w:rFonts w:ascii="Arial" w:hAnsi="Arial" w:cs="Arial"/>
          <w:sz w:val="22"/>
          <w:szCs w:val="22"/>
        </w:rPr>
        <w:t xml:space="preserve">t is inappropriate to apply a rate of </w:t>
      </w:r>
      <w:r w:rsidR="002424DB" w:rsidRPr="005E6149">
        <w:rPr>
          <w:rFonts w:ascii="Arial" w:hAnsi="Arial" w:cs="Arial"/>
          <w:sz w:val="22"/>
          <w:szCs w:val="22"/>
        </w:rPr>
        <w:t>21</w:t>
      </w:r>
      <w:r w:rsidR="009B5592" w:rsidRPr="005E6149">
        <w:rPr>
          <w:rFonts w:ascii="Arial" w:hAnsi="Arial" w:cs="Arial"/>
          <w:sz w:val="22"/>
          <w:szCs w:val="22"/>
        </w:rPr>
        <w:t>% to all Indigenous patients</w:t>
      </w:r>
      <w:r w:rsidR="00D873D2">
        <w:rPr>
          <w:rFonts w:ascii="Arial" w:hAnsi="Arial" w:cs="Arial"/>
          <w:sz w:val="22"/>
          <w:szCs w:val="22"/>
        </w:rPr>
        <w:t xml:space="preserve">. </w:t>
      </w:r>
      <w:r w:rsidR="009B5592" w:rsidRPr="005E6149">
        <w:rPr>
          <w:rFonts w:ascii="Arial" w:hAnsi="Arial" w:cs="Arial"/>
          <w:sz w:val="22"/>
          <w:szCs w:val="22"/>
        </w:rPr>
        <w:t xml:space="preserve">The differential that is driven by the statistical analyses needs to be re-calibrated to cover </w:t>
      </w:r>
      <w:r w:rsidR="005F2D7F" w:rsidRPr="005E6149">
        <w:rPr>
          <w:rFonts w:ascii="Arial" w:hAnsi="Arial" w:cs="Arial"/>
          <w:sz w:val="22"/>
          <w:szCs w:val="22"/>
        </w:rPr>
        <w:t xml:space="preserve">not only those AR-DRGs where a cost differential exists, but </w:t>
      </w:r>
      <w:r w:rsidR="009B5592" w:rsidRPr="005E6149">
        <w:rPr>
          <w:rFonts w:ascii="Arial" w:hAnsi="Arial" w:cs="Arial"/>
          <w:sz w:val="22"/>
          <w:szCs w:val="22"/>
        </w:rPr>
        <w:t>all AR-DRGs, including those where no differential was identified</w:t>
      </w:r>
      <w:r w:rsidR="00D873D2">
        <w:rPr>
          <w:rFonts w:ascii="Arial" w:hAnsi="Arial" w:cs="Arial"/>
          <w:sz w:val="22"/>
          <w:szCs w:val="22"/>
        </w:rPr>
        <w:t xml:space="preserve">. </w:t>
      </w:r>
      <w:r w:rsidR="00A250E7" w:rsidRPr="005E6149">
        <w:rPr>
          <w:rFonts w:ascii="Arial" w:hAnsi="Arial" w:cs="Arial"/>
          <w:sz w:val="22"/>
          <w:szCs w:val="22"/>
        </w:rPr>
        <w:t xml:space="preserve">Rebasing these loading </w:t>
      </w:r>
      <w:r w:rsidR="009B5592" w:rsidRPr="005E6149">
        <w:rPr>
          <w:rFonts w:ascii="Arial" w:hAnsi="Arial" w:cs="Arial"/>
          <w:sz w:val="22"/>
          <w:szCs w:val="22"/>
        </w:rPr>
        <w:t>across all AR-DRGs resulted in the following figures:</w:t>
      </w:r>
    </w:p>
    <w:p w:rsidR="009B5592" w:rsidRPr="005E6149" w:rsidRDefault="009B5592" w:rsidP="00E86862">
      <w:pPr>
        <w:pStyle w:val="ListParagraph"/>
        <w:numPr>
          <w:ilvl w:val="0"/>
          <w:numId w:val="35"/>
        </w:numPr>
        <w:spacing w:before="120" w:after="120"/>
        <w:rPr>
          <w:rFonts w:ascii="Arial" w:hAnsi="Arial" w:cs="Arial"/>
          <w:sz w:val="22"/>
          <w:szCs w:val="22"/>
        </w:rPr>
      </w:pPr>
      <w:r w:rsidRPr="005E6149">
        <w:rPr>
          <w:rFonts w:ascii="Arial" w:hAnsi="Arial" w:cs="Arial"/>
          <w:sz w:val="22"/>
          <w:szCs w:val="22"/>
        </w:rPr>
        <w:t xml:space="preserve">for Round 16, the average cost differential of treating an Indigenous patient compared to a </w:t>
      </w:r>
      <w:r w:rsidR="007A097D">
        <w:rPr>
          <w:rFonts w:ascii="Arial" w:hAnsi="Arial" w:cs="Arial"/>
          <w:sz w:val="22"/>
          <w:szCs w:val="22"/>
        </w:rPr>
        <w:t>Non-Indigenous</w:t>
      </w:r>
      <w:r w:rsidRPr="005E6149">
        <w:rPr>
          <w:rFonts w:ascii="Arial" w:hAnsi="Arial" w:cs="Arial"/>
          <w:sz w:val="22"/>
          <w:szCs w:val="22"/>
        </w:rPr>
        <w:t xml:space="preserve"> patient in the </w:t>
      </w:r>
      <w:r w:rsidR="00A250E7" w:rsidRPr="005E6149">
        <w:rPr>
          <w:rFonts w:ascii="Arial" w:hAnsi="Arial" w:cs="Arial"/>
          <w:sz w:val="22"/>
          <w:szCs w:val="22"/>
        </w:rPr>
        <w:t xml:space="preserve">overnight </w:t>
      </w:r>
      <w:r w:rsidRPr="005E6149">
        <w:rPr>
          <w:rFonts w:ascii="Arial" w:hAnsi="Arial" w:cs="Arial"/>
          <w:sz w:val="22"/>
          <w:szCs w:val="22"/>
        </w:rPr>
        <w:t>admitted ac</w:t>
      </w:r>
      <w:r w:rsidR="00A90A1F">
        <w:rPr>
          <w:rFonts w:ascii="Arial" w:hAnsi="Arial" w:cs="Arial"/>
          <w:sz w:val="22"/>
          <w:szCs w:val="22"/>
        </w:rPr>
        <w:t>ute care services setting was 7</w:t>
      </w:r>
      <w:r w:rsidRPr="005E6149">
        <w:rPr>
          <w:rFonts w:ascii="Arial" w:hAnsi="Arial" w:cs="Arial"/>
          <w:sz w:val="22"/>
          <w:szCs w:val="22"/>
        </w:rPr>
        <w:t>%</w:t>
      </w:r>
      <w:r w:rsidR="00BE6BD9" w:rsidRPr="005E6149">
        <w:rPr>
          <w:rFonts w:ascii="Arial" w:hAnsi="Arial" w:cs="Arial"/>
          <w:sz w:val="22"/>
          <w:szCs w:val="22"/>
        </w:rPr>
        <w:t>;</w:t>
      </w:r>
    </w:p>
    <w:p w:rsidR="002424DB" w:rsidRPr="005E6149" w:rsidRDefault="002424DB" w:rsidP="00E86862">
      <w:pPr>
        <w:pStyle w:val="ListParagraph"/>
        <w:numPr>
          <w:ilvl w:val="0"/>
          <w:numId w:val="35"/>
        </w:numPr>
        <w:spacing w:before="120" w:after="120"/>
        <w:rPr>
          <w:rFonts w:ascii="Arial" w:hAnsi="Arial" w:cs="Arial"/>
          <w:sz w:val="22"/>
          <w:szCs w:val="22"/>
        </w:rPr>
      </w:pPr>
      <w:r w:rsidRPr="005E6149">
        <w:rPr>
          <w:rFonts w:ascii="Arial" w:hAnsi="Arial" w:cs="Arial"/>
          <w:sz w:val="22"/>
          <w:szCs w:val="22"/>
        </w:rPr>
        <w:t>for Round 17, the a</w:t>
      </w:r>
      <w:r w:rsidR="00A90A1F">
        <w:rPr>
          <w:rFonts w:ascii="Arial" w:hAnsi="Arial" w:cs="Arial"/>
          <w:sz w:val="22"/>
          <w:szCs w:val="22"/>
        </w:rPr>
        <w:t>verage cost differential was 5</w:t>
      </w:r>
      <w:r w:rsidRPr="005E6149">
        <w:rPr>
          <w:rFonts w:ascii="Arial" w:hAnsi="Arial" w:cs="Arial"/>
          <w:sz w:val="22"/>
          <w:szCs w:val="22"/>
        </w:rPr>
        <w:t>%, and</w:t>
      </w:r>
    </w:p>
    <w:p w:rsidR="002424DB" w:rsidRPr="005E6149" w:rsidRDefault="002424DB" w:rsidP="00E86862">
      <w:pPr>
        <w:pStyle w:val="ListParagraph"/>
        <w:numPr>
          <w:ilvl w:val="0"/>
          <w:numId w:val="35"/>
        </w:numPr>
        <w:spacing w:before="120" w:after="120"/>
        <w:rPr>
          <w:rFonts w:ascii="Arial" w:hAnsi="Arial" w:cs="Arial"/>
          <w:sz w:val="22"/>
          <w:szCs w:val="22"/>
        </w:rPr>
      </w:pPr>
      <w:proofErr w:type="gramStart"/>
      <w:r w:rsidRPr="005E6149">
        <w:rPr>
          <w:rFonts w:ascii="Arial" w:hAnsi="Arial" w:cs="Arial"/>
          <w:sz w:val="22"/>
          <w:szCs w:val="22"/>
        </w:rPr>
        <w:t>across</w:t>
      </w:r>
      <w:proofErr w:type="gramEnd"/>
      <w:r w:rsidRPr="005E6149">
        <w:rPr>
          <w:rFonts w:ascii="Arial" w:hAnsi="Arial" w:cs="Arial"/>
          <w:sz w:val="22"/>
          <w:szCs w:val="22"/>
        </w:rPr>
        <w:t xml:space="preserve"> the two years, the average cost differential between Indigenous and </w:t>
      </w:r>
      <w:r w:rsidR="007A097D">
        <w:rPr>
          <w:rFonts w:ascii="Arial" w:hAnsi="Arial" w:cs="Arial"/>
          <w:sz w:val="22"/>
          <w:szCs w:val="22"/>
        </w:rPr>
        <w:t>Non-Indigenous</w:t>
      </w:r>
      <w:r w:rsidR="00A90A1F">
        <w:rPr>
          <w:rFonts w:ascii="Arial" w:hAnsi="Arial" w:cs="Arial"/>
          <w:sz w:val="22"/>
          <w:szCs w:val="22"/>
        </w:rPr>
        <w:t xml:space="preserve"> patients was 6</w:t>
      </w:r>
      <w:r w:rsidRPr="005E6149">
        <w:rPr>
          <w:rFonts w:ascii="Arial" w:hAnsi="Arial" w:cs="Arial"/>
          <w:sz w:val="22"/>
          <w:szCs w:val="22"/>
        </w:rPr>
        <w:t xml:space="preserve">%. </w:t>
      </w:r>
    </w:p>
    <w:p w:rsidR="009E3328" w:rsidRPr="005E6149" w:rsidRDefault="009E3328" w:rsidP="00091B70">
      <w:pPr>
        <w:pStyle w:val="Heading2"/>
        <w:rPr>
          <w:rFonts w:ascii="Arial" w:hAnsi="Arial" w:cs="Arial"/>
        </w:rPr>
      </w:pPr>
      <w:bookmarkStart w:id="50" w:name="_Toc278480625"/>
      <w:r w:rsidRPr="005E6149">
        <w:rPr>
          <w:rFonts w:ascii="Arial" w:hAnsi="Arial" w:cs="Arial"/>
        </w:rPr>
        <w:lastRenderedPageBreak/>
        <w:t xml:space="preserve">Conclusions about the cost differential for </w:t>
      </w:r>
      <w:r w:rsidR="00DE557A" w:rsidRPr="005E6149">
        <w:rPr>
          <w:rFonts w:ascii="Arial" w:hAnsi="Arial" w:cs="Arial"/>
        </w:rPr>
        <w:t xml:space="preserve">acute </w:t>
      </w:r>
      <w:r w:rsidRPr="005E6149">
        <w:rPr>
          <w:rFonts w:ascii="Arial" w:hAnsi="Arial" w:cs="Arial"/>
        </w:rPr>
        <w:t>admitted patients</w:t>
      </w:r>
      <w:bookmarkEnd w:id="50"/>
    </w:p>
    <w:p w:rsidR="00C81628" w:rsidRPr="005E6149" w:rsidRDefault="00C81628" w:rsidP="00C81628">
      <w:pPr>
        <w:spacing w:before="120" w:after="120"/>
        <w:rPr>
          <w:rFonts w:ascii="Arial" w:hAnsi="Arial" w:cs="Arial"/>
          <w:sz w:val="22"/>
          <w:szCs w:val="22"/>
        </w:rPr>
      </w:pPr>
      <w:r w:rsidRPr="005E6149">
        <w:rPr>
          <w:rFonts w:ascii="Arial" w:hAnsi="Arial" w:cs="Arial"/>
          <w:sz w:val="22"/>
          <w:szCs w:val="22"/>
        </w:rPr>
        <w:t>The cost differentials for the subset of AR-DRGs of approximately 20% for the two years of NHCDC data is in line with expectations of jurisdictions that have raised concerns about the potential loading that is currently applied by IHPA</w:t>
      </w:r>
      <w:r w:rsidR="00D873D2">
        <w:rPr>
          <w:rFonts w:ascii="Arial" w:hAnsi="Arial" w:cs="Arial"/>
          <w:sz w:val="22"/>
          <w:szCs w:val="22"/>
        </w:rPr>
        <w:t xml:space="preserve">. </w:t>
      </w:r>
      <w:r w:rsidRPr="005E6149">
        <w:rPr>
          <w:rFonts w:ascii="Arial" w:hAnsi="Arial" w:cs="Arial"/>
          <w:sz w:val="22"/>
          <w:szCs w:val="22"/>
        </w:rPr>
        <w:t xml:space="preserve">However, </w:t>
      </w:r>
      <w:r w:rsidR="005F2D7F" w:rsidRPr="005E6149">
        <w:rPr>
          <w:rFonts w:ascii="Arial" w:hAnsi="Arial" w:cs="Arial"/>
          <w:sz w:val="22"/>
          <w:szCs w:val="22"/>
        </w:rPr>
        <w:t>this figure relates to only those AR-DRGs where cost differentials (both positive and negative) were noted</w:t>
      </w:r>
      <w:r w:rsidR="00D873D2">
        <w:rPr>
          <w:rFonts w:ascii="Arial" w:hAnsi="Arial" w:cs="Arial"/>
          <w:sz w:val="22"/>
          <w:szCs w:val="22"/>
        </w:rPr>
        <w:t xml:space="preserve">. </w:t>
      </w:r>
      <w:r w:rsidR="005F2D7F" w:rsidRPr="005E6149">
        <w:rPr>
          <w:rFonts w:ascii="Arial" w:hAnsi="Arial" w:cs="Arial"/>
          <w:sz w:val="22"/>
          <w:szCs w:val="22"/>
        </w:rPr>
        <w:t>It does not extend to all patient classes</w:t>
      </w:r>
      <w:r w:rsidR="00D873D2">
        <w:rPr>
          <w:rFonts w:ascii="Arial" w:hAnsi="Arial" w:cs="Arial"/>
          <w:sz w:val="22"/>
          <w:szCs w:val="22"/>
        </w:rPr>
        <w:t xml:space="preserve">. </w:t>
      </w:r>
      <w:proofErr w:type="gramStart"/>
      <w:r w:rsidR="005F2D7F" w:rsidRPr="005E6149">
        <w:rPr>
          <w:rFonts w:ascii="Arial" w:hAnsi="Arial" w:cs="Arial"/>
          <w:sz w:val="22"/>
          <w:szCs w:val="22"/>
        </w:rPr>
        <w:t>T</w:t>
      </w:r>
      <w:r w:rsidRPr="005E6149">
        <w:rPr>
          <w:rFonts w:ascii="Arial" w:hAnsi="Arial" w:cs="Arial"/>
          <w:sz w:val="22"/>
          <w:szCs w:val="22"/>
        </w:rPr>
        <w:t>he recalibrated figure of approximately 6% across all AR-DRGs, taking into account those for which th</w:t>
      </w:r>
      <w:r w:rsidR="008E2E20">
        <w:rPr>
          <w:rFonts w:ascii="Arial" w:hAnsi="Arial" w:cs="Arial"/>
          <w:sz w:val="22"/>
          <w:szCs w:val="22"/>
        </w:rPr>
        <w:t xml:space="preserve">ere is no differential, suggests </w:t>
      </w:r>
      <w:r w:rsidRPr="005E6149">
        <w:rPr>
          <w:rFonts w:ascii="Arial" w:hAnsi="Arial" w:cs="Arial"/>
          <w:sz w:val="22"/>
          <w:szCs w:val="22"/>
        </w:rPr>
        <w:t>that only a slight adjustment to the current 4% is needed by IHPA.</w:t>
      </w:r>
      <w:proofErr w:type="gramEnd"/>
    </w:p>
    <w:p w:rsidR="0083294D" w:rsidRPr="00C628C4" w:rsidRDefault="0083294D" w:rsidP="0083294D">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sz w:val="22"/>
          <w:szCs w:val="22"/>
        </w:rPr>
      </w:pPr>
      <w:r w:rsidRPr="00C628C4">
        <w:rPr>
          <w:rFonts w:ascii="Arial" w:hAnsi="Arial" w:cs="Arial"/>
          <w:sz w:val="22"/>
          <w:szCs w:val="22"/>
        </w:rPr>
        <w:t xml:space="preserve">Recommendation </w:t>
      </w:r>
      <w:r w:rsidR="00C316EE">
        <w:rPr>
          <w:rFonts w:ascii="Arial" w:hAnsi="Arial" w:cs="Arial"/>
          <w:sz w:val="22"/>
          <w:szCs w:val="22"/>
        </w:rPr>
        <w:t>2</w:t>
      </w:r>
      <w:r w:rsidRPr="00C628C4">
        <w:rPr>
          <w:rFonts w:ascii="Arial" w:hAnsi="Arial" w:cs="Arial"/>
          <w:sz w:val="22"/>
          <w:szCs w:val="22"/>
        </w:rPr>
        <w:t>:</w:t>
      </w:r>
      <w:r w:rsidRPr="0018326F">
        <w:rPr>
          <w:rFonts w:ascii="Arial" w:hAnsi="Arial" w:cs="Arial"/>
          <w:sz w:val="22"/>
          <w:szCs w:val="22"/>
        </w:rPr>
        <w:t xml:space="preserve"> </w:t>
      </w:r>
      <w:r w:rsidR="008E2E20">
        <w:rPr>
          <w:rFonts w:ascii="Arial" w:hAnsi="Arial" w:cs="Arial"/>
          <w:sz w:val="22"/>
          <w:szCs w:val="22"/>
        </w:rPr>
        <w:t xml:space="preserve"> </w:t>
      </w:r>
      <w:r w:rsidR="00C316EE" w:rsidRPr="00C316EE">
        <w:rPr>
          <w:rFonts w:ascii="Arial" w:hAnsi="Arial" w:cs="Arial"/>
          <w:sz w:val="22"/>
          <w:szCs w:val="22"/>
        </w:rPr>
        <w:t xml:space="preserve">Consideration </w:t>
      </w:r>
      <w:proofErr w:type="gramStart"/>
      <w:r w:rsidR="00C316EE" w:rsidRPr="00C316EE">
        <w:rPr>
          <w:rFonts w:ascii="Arial" w:hAnsi="Arial" w:cs="Arial"/>
          <w:sz w:val="22"/>
          <w:szCs w:val="22"/>
        </w:rPr>
        <w:t>be</w:t>
      </w:r>
      <w:proofErr w:type="gramEnd"/>
      <w:r w:rsidR="00C316EE" w:rsidRPr="00C316EE">
        <w:rPr>
          <w:rFonts w:ascii="Arial" w:hAnsi="Arial" w:cs="Arial"/>
          <w:sz w:val="22"/>
          <w:szCs w:val="22"/>
        </w:rPr>
        <w:t xml:space="preserve"> given to establishing a checklist to improve data quality across the continuum of the costing process and to include this in the Costing Standards</w:t>
      </w:r>
      <w:r w:rsidRPr="00C628C4">
        <w:rPr>
          <w:rFonts w:ascii="Arial" w:hAnsi="Arial" w:cs="Arial"/>
          <w:sz w:val="22"/>
          <w:szCs w:val="22"/>
        </w:rPr>
        <w:t>.</w:t>
      </w:r>
    </w:p>
    <w:p w:rsidR="0083294D" w:rsidRPr="0018326F" w:rsidRDefault="0083294D" w:rsidP="0083294D">
      <w:pPr>
        <w:spacing w:before="120" w:after="120"/>
        <w:rPr>
          <w:rFonts w:ascii="Arial" w:hAnsi="Arial" w:cs="Arial"/>
          <w:sz w:val="22"/>
          <w:szCs w:val="22"/>
        </w:rPr>
      </w:pPr>
    </w:p>
    <w:p w:rsidR="0083294D" w:rsidRPr="00C628C4" w:rsidRDefault="00C316EE" w:rsidP="0083294D">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sz w:val="22"/>
          <w:szCs w:val="22"/>
        </w:rPr>
      </w:pPr>
      <w:r>
        <w:rPr>
          <w:rFonts w:ascii="Arial" w:hAnsi="Arial" w:cs="Arial"/>
          <w:sz w:val="22"/>
          <w:szCs w:val="22"/>
        </w:rPr>
        <w:t>Recommendation 3</w:t>
      </w:r>
      <w:r w:rsidR="0083294D" w:rsidRPr="00C628C4">
        <w:rPr>
          <w:rFonts w:ascii="Arial" w:hAnsi="Arial" w:cs="Arial"/>
          <w:sz w:val="22"/>
          <w:szCs w:val="22"/>
        </w:rPr>
        <w:t>:</w:t>
      </w:r>
      <w:r w:rsidR="0083294D" w:rsidRPr="00C628C4">
        <w:rPr>
          <w:rFonts w:ascii="Arial" w:hAnsi="Arial" w:cs="Arial"/>
          <w:sz w:val="22"/>
          <w:szCs w:val="22"/>
        </w:rPr>
        <w:tab/>
        <w:t xml:space="preserve">Future comparisons between Indigenous and </w:t>
      </w:r>
      <w:r w:rsidR="007A097D" w:rsidRPr="00C628C4">
        <w:rPr>
          <w:rFonts w:ascii="Arial" w:hAnsi="Arial" w:cs="Arial"/>
          <w:sz w:val="22"/>
          <w:szCs w:val="22"/>
        </w:rPr>
        <w:t>Non-Indigenous</w:t>
      </w:r>
      <w:r w:rsidR="0083294D" w:rsidRPr="00C628C4">
        <w:rPr>
          <w:rFonts w:ascii="Arial" w:hAnsi="Arial" w:cs="Arial"/>
          <w:sz w:val="22"/>
          <w:szCs w:val="22"/>
        </w:rPr>
        <w:t xml:space="preserve"> patient costs </w:t>
      </w:r>
      <w:proofErr w:type="gramStart"/>
      <w:r w:rsidR="0083294D" w:rsidRPr="00C628C4">
        <w:rPr>
          <w:rFonts w:ascii="Arial" w:hAnsi="Arial" w:cs="Arial"/>
          <w:sz w:val="22"/>
          <w:szCs w:val="22"/>
        </w:rPr>
        <w:t>be</w:t>
      </w:r>
      <w:proofErr w:type="gramEnd"/>
      <w:r w:rsidR="0083294D" w:rsidRPr="00C628C4">
        <w:rPr>
          <w:rFonts w:ascii="Arial" w:hAnsi="Arial" w:cs="Arial"/>
          <w:sz w:val="22"/>
          <w:szCs w:val="22"/>
        </w:rPr>
        <w:t xml:space="preserve"> undertaken separately for same-day patients and overnight patients.</w:t>
      </w:r>
    </w:p>
    <w:p w:rsidR="0083294D" w:rsidRPr="005E6149" w:rsidRDefault="0083294D" w:rsidP="00C81628">
      <w:pPr>
        <w:spacing w:before="120" w:after="120"/>
        <w:rPr>
          <w:rFonts w:ascii="Arial" w:hAnsi="Arial" w:cs="Arial"/>
          <w:sz w:val="22"/>
          <w:szCs w:val="22"/>
        </w:rPr>
      </w:pPr>
    </w:p>
    <w:p w:rsidR="001F70D1" w:rsidRPr="005E6149" w:rsidRDefault="001F70D1" w:rsidP="00882BC0">
      <w:pPr>
        <w:spacing w:before="120" w:after="120"/>
        <w:rPr>
          <w:rFonts w:ascii="Arial" w:hAnsi="Arial" w:cs="Arial"/>
          <w:sz w:val="22"/>
          <w:szCs w:val="22"/>
        </w:rPr>
      </w:pPr>
      <w:r w:rsidRPr="005E6149">
        <w:rPr>
          <w:rFonts w:ascii="Arial" w:hAnsi="Arial" w:cs="Arial"/>
          <w:sz w:val="22"/>
          <w:szCs w:val="22"/>
        </w:rPr>
        <w:t xml:space="preserve">The </w:t>
      </w:r>
      <w:r w:rsidR="002424DB" w:rsidRPr="005E6149">
        <w:rPr>
          <w:rFonts w:ascii="Arial" w:hAnsi="Arial" w:cs="Arial"/>
          <w:sz w:val="22"/>
          <w:szCs w:val="22"/>
        </w:rPr>
        <w:t>same-day and overnight cases have different cost distributions across the AR-DRG spectrum, resulting in different weights for each AR-DRG</w:t>
      </w:r>
      <w:r w:rsidR="00D873D2">
        <w:rPr>
          <w:rFonts w:ascii="Arial" w:hAnsi="Arial" w:cs="Arial"/>
          <w:sz w:val="22"/>
          <w:szCs w:val="22"/>
        </w:rPr>
        <w:t xml:space="preserve">. </w:t>
      </w:r>
      <w:r w:rsidR="002424DB" w:rsidRPr="005E6149">
        <w:rPr>
          <w:rFonts w:ascii="Arial" w:hAnsi="Arial" w:cs="Arial"/>
          <w:sz w:val="22"/>
          <w:szCs w:val="22"/>
        </w:rPr>
        <w:t xml:space="preserve">The </w:t>
      </w:r>
      <w:r w:rsidRPr="005E6149">
        <w:rPr>
          <w:rFonts w:ascii="Arial" w:hAnsi="Arial" w:cs="Arial"/>
          <w:sz w:val="22"/>
          <w:szCs w:val="22"/>
        </w:rPr>
        <w:t>cost distribution profiles for same-day cases and overnight cases should be considered as discrete datasets with discrete loadings provided in recognition of the treatment of Indigenous patients.</w:t>
      </w:r>
    </w:p>
    <w:p w:rsidR="004B516C" w:rsidRPr="005E6149" w:rsidRDefault="00882BC0" w:rsidP="00882BC0">
      <w:pPr>
        <w:spacing w:before="120" w:after="120"/>
        <w:rPr>
          <w:rFonts w:ascii="Arial" w:hAnsi="Arial" w:cs="Arial"/>
          <w:sz w:val="22"/>
          <w:szCs w:val="22"/>
        </w:rPr>
      </w:pPr>
      <w:r w:rsidRPr="005E6149">
        <w:rPr>
          <w:rFonts w:ascii="Arial" w:hAnsi="Arial" w:cs="Arial"/>
          <w:sz w:val="22"/>
          <w:szCs w:val="22"/>
        </w:rPr>
        <w:t>Whilst the analysis has shown that for those AR-DRGs where cost differentials exist, the loadings are in the vicinity of 19% for same-day cases and 2</w:t>
      </w:r>
      <w:r w:rsidR="002424DB" w:rsidRPr="005E6149">
        <w:rPr>
          <w:rFonts w:ascii="Arial" w:hAnsi="Arial" w:cs="Arial"/>
          <w:sz w:val="22"/>
          <w:szCs w:val="22"/>
        </w:rPr>
        <w:t>0</w:t>
      </w:r>
      <w:r w:rsidRPr="005E6149">
        <w:rPr>
          <w:rFonts w:ascii="Arial" w:hAnsi="Arial" w:cs="Arial"/>
          <w:sz w:val="22"/>
          <w:szCs w:val="22"/>
        </w:rPr>
        <w:t xml:space="preserve">% for overnight cases; when applied to the full AR-DRG data the recalibrated figures are approximately 5% and </w:t>
      </w:r>
      <w:r w:rsidR="002424DB" w:rsidRPr="005E6149">
        <w:rPr>
          <w:rFonts w:ascii="Arial" w:hAnsi="Arial" w:cs="Arial"/>
          <w:sz w:val="22"/>
          <w:szCs w:val="22"/>
        </w:rPr>
        <w:t>6</w:t>
      </w:r>
      <w:r w:rsidRPr="005E6149">
        <w:rPr>
          <w:rFonts w:ascii="Arial" w:hAnsi="Arial" w:cs="Arial"/>
          <w:sz w:val="22"/>
          <w:szCs w:val="22"/>
        </w:rPr>
        <w:t>% respectively</w:t>
      </w:r>
      <w:r w:rsidR="00D873D2">
        <w:rPr>
          <w:rFonts w:ascii="Arial" w:hAnsi="Arial" w:cs="Arial"/>
          <w:sz w:val="22"/>
          <w:szCs w:val="22"/>
        </w:rPr>
        <w:t xml:space="preserve">. </w:t>
      </w:r>
      <w:r w:rsidR="00230B0B">
        <w:rPr>
          <w:rFonts w:ascii="Arial" w:hAnsi="Arial" w:cs="Arial"/>
          <w:sz w:val="22"/>
          <w:szCs w:val="22"/>
        </w:rPr>
        <w:t xml:space="preserve"> </w:t>
      </w:r>
    </w:p>
    <w:p w:rsidR="0054362F" w:rsidRDefault="0054362F">
      <w:pPr>
        <w:rPr>
          <w:rFonts w:ascii="Arial" w:eastAsiaTheme="majorEastAsia" w:hAnsi="Arial" w:cs="Arial"/>
          <w:b/>
          <w:bCs/>
          <w:color w:val="943634" w:themeColor="accent2" w:themeShade="BF"/>
          <w:sz w:val="32"/>
          <w:szCs w:val="32"/>
        </w:rPr>
      </w:pPr>
      <w:bookmarkStart w:id="51" w:name="_Toc278480626"/>
      <w:r>
        <w:rPr>
          <w:rFonts w:ascii="Arial" w:hAnsi="Arial" w:cs="Arial"/>
          <w:color w:val="943634" w:themeColor="accent2" w:themeShade="BF"/>
        </w:rPr>
        <w:br w:type="page"/>
      </w:r>
    </w:p>
    <w:p w:rsidR="004B516C" w:rsidRPr="00FD775F" w:rsidRDefault="004B516C" w:rsidP="00287791">
      <w:pPr>
        <w:pStyle w:val="Heading1"/>
        <w:ind w:left="0"/>
      </w:pPr>
      <w:bookmarkStart w:id="52" w:name="_Toc426117641"/>
      <w:r w:rsidRPr="00FD775F">
        <w:lastRenderedPageBreak/>
        <w:t>Cost Allocations –Acute Admitted Services</w:t>
      </w:r>
      <w:bookmarkEnd w:id="51"/>
      <w:bookmarkEnd w:id="52"/>
    </w:p>
    <w:p w:rsidR="00882BC0" w:rsidRPr="005E6149" w:rsidRDefault="006F4159" w:rsidP="00882BC0">
      <w:pPr>
        <w:spacing w:before="120" w:after="120"/>
        <w:rPr>
          <w:rFonts w:ascii="Arial" w:hAnsi="Arial" w:cs="Arial"/>
          <w:sz w:val="22"/>
          <w:szCs w:val="22"/>
        </w:rPr>
      </w:pPr>
      <w:r w:rsidRPr="005E6149">
        <w:rPr>
          <w:rFonts w:ascii="Arial" w:hAnsi="Arial" w:cs="Arial"/>
          <w:sz w:val="22"/>
          <w:szCs w:val="22"/>
        </w:rPr>
        <w:t xml:space="preserve">The </w:t>
      </w:r>
      <w:proofErr w:type="gramStart"/>
      <w:r w:rsidRPr="005E6149">
        <w:rPr>
          <w:rFonts w:ascii="Arial" w:hAnsi="Arial" w:cs="Arial"/>
          <w:sz w:val="22"/>
          <w:szCs w:val="22"/>
        </w:rPr>
        <w:t>costs of acute admitted overnight patient services is</w:t>
      </w:r>
      <w:proofErr w:type="gramEnd"/>
      <w:r w:rsidRPr="005E6149">
        <w:rPr>
          <w:rFonts w:ascii="Arial" w:hAnsi="Arial" w:cs="Arial"/>
          <w:sz w:val="22"/>
          <w:szCs w:val="22"/>
        </w:rPr>
        <w:t xml:space="preserve"> predominantly made up of costs allocated to:</w:t>
      </w:r>
    </w:p>
    <w:p w:rsidR="006F4159" w:rsidRPr="005E6149" w:rsidRDefault="00B82800" w:rsidP="00E86862">
      <w:pPr>
        <w:pStyle w:val="ListParagraph"/>
        <w:numPr>
          <w:ilvl w:val="0"/>
          <w:numId w:val="43"/>
        </w:numPr>
        <w:spacing w:before="120" w:after="120"/>
        <w:rPr>
          <w:rFonts w:ascii="Arial" w:hAnsi="Arial" w:cs="Arial"/>
          <w:sz w:val="22"/>
          <w:szCs w:val="22"/>
        </w:rPr>
      </w:pPr>
      <w:proofErr w:type="gramStart"/>
      <w:r w:rsidRPr="005E6149">
        <w:rPr>
          <w:rFonts w:ascii="Arial" w:hAnsi="Arial" w:cs="Arial"/>
          <w:sz w:val="22"/>
          <w:szCs w:val="22"/>
        </w:rPr>
        <w:t>nursing</w:t>
      </w:r>
      <w:proofErr w:type="gramEnd"/>
      <w:r w:rsidRPr="005E6149">
        <w:rPr>
          <w:rFonts w:ascii="Arial" w:hAnsi="Arial" w:cs="Arial"/>
          <w:sz w:val="22"/>
          <w:szCs w:val="22"/>
        </w:rPr>
        <w:t xml:space="preserve"> services</w:t>
      </w:r>
      <w:r w:rsidR="00A90A1F">
        <w:rPr>
          <w:rFonts w:ascii="Arial" w:hAnsi="Arial" w:cs="Arial"/>
          <w:sz w:val="22"/>
          <w:szCs w:val="22"/>
        </w:rPr>
        <w:t xml:space="preserve"> (22%)</w:t>
      </w:r>
      <w:r w:rsidRPr="005E6149">
        <w:rPr>
          <w:rFonts w:ascii="Arial" w:hAnsi="Arial" w:cs="Arial"/>
          <w:sz w:val="22"/>
          <w:szCs w:val="22"/>
        </w:rPr>
        <w:t>;</w:t>
      </w:r>
    </w:p>
    <w:p w:rsidR="00B82800" w:rsidRPr="005E6149" w:rsidRDefault="00B82800" w:rsidP="00E86862">
      <w:pPr>
        <w:pStyle w:val="ListParagraph"/>
        <w:numPr>
          <w:ilvl w:val="0"/>
          <w:numId w:val="43"/>
        </w:numPr>
        <w:spacing w:before="120" w:after="120"/>
        <w:rPr>
          <w:rFonts w:ascii="Arial" w:hAnsi="Arial" w:cs="Arial"/>
          <w:sz w:val="22"/>
          <w:szCs w:val="22"/>
        </w:rPr>
      </w:pPr>
      <w:r w:rsidRPr="005E6149">
        <w:rPr>
          <w:rFonts w:ascii="Arial" w:hAnsi="Arial" w:cs="Arial"/>
          <w:sz w:val="22"/>
          <w:szCs w:val="22"/>
        </w:rPr>
        <w:t>medical services</w:t>
      </w:r>
      <w:r w:rsidR="00A90A1F">
        <w:rPr>
          <w:rFonts w:ascii="Arial" w:hAnsi="Arial" w:cs="Arial"/>
          <w:sz w:val="22"/>
          <w:szCs w:val="22"/>
        </w:rPr>
        <w:t xml:space="preserve"> (13%)</w:t>
      </w:r>
      <w:r w:rsidRPr="005E6149">
        <w:rPr>
          <w:rFonts w:ascii="Arial" w:hAnsi="Arial" w:cs="Arial"/>
          <w:sz w:val="22"/>
          <w:szCs w:val="22"/>
        </w:rPr>
        <w:t>;</w:t>
      </w:r>
      <w:r w:rsidR="00A90A1F">
        <w:rPr>
          <w:rFonts w:ascii="Arial" w:hAnsi="Arial" w:cs="Arial"/>
          <w:sz w:val="22"/>
          <w:szCs w:val="22"/>
        </w:rPr>
        <w:t xml:space="preserve"> and</w:t>
      </w:r>
    </w:p>
    <w:p w:rsidR="00B82800" w:rsidRPr="00A90A1F" w:rsidRDefault="00B82800" w:rsidP="00E86862">
      <w:pPr>
        <w:pStyle w:val="ListParagraph"/>
        <w:numPr>
          <w:ilvl w:val="0"/>
          <w:numId w:val="43"/>
        </w:numPr>
        <w:spacing w:before="120" w:after="120"/>
        <w:rPr>
          <w:rFonts w:ascii="Arial" w:hAnsi="Arial" w:cs="Arial"/>
          <w:sz w:val="22"/>
          <w:szCs w:val="22"/>
        </w:rPr>
      </w:pPr>
      <w:proofErr w:type="gramStart"/>
      <w:r w:rsidRPr="00A90A1F">
        <w:rPr>
          <w:rFonts w:ascii="Arial" w:hAnsi="Arial" w:cs="Arial"/>
          <w:sz w:val="22"/>
          <w:szCs w:val="22"/>
        </w:rPr>
        <w:t>operating</w:t>
      </w:r>
      <w:proofErr w:type="gramEnd"/>
      <w:r w:rsidRPr="00A90A1F">
        <w:rPr>
          <w:rFonts w:ascii="Arial" w:hAnsi="Arial" w:cs="Arial"/>
          <w:sz w:val="22"/>
          <w:szCs w:val="22"/>
        </w:rPr>
        <w:t xml:space="preserve"> rooms</w:t>
      </w:r>
      <w:r w:rsidR="00A90A1F" w:rsidRPr="00A90A1F">
        <w:rPr>
          <w:rFonts w:ascii="Arial" w:hAnsi="Arial" w:cs="Arial"/>
          <w:sz w:val="22"/>
          <w:szCs w:val="22"/>
        </w:rPr>
        <w:t xml:space="preserve"> (13%).</w:t>
      </w:r>
    </w:p>
    <w:p w:rsidR="00B82800" w:rsidRPr="005E6149" w:rsidRDefault="00B82800" w:rsidP="00B82800">
      <w:pPr>
        <w:spacing w:before="120" w:after="120"/>
        <w:rPr>
          <w:rFonts w:ascii="Arial" w:hAnsi="Arial" w:cs="Arial"/>
          <w:sz w:val="22"/>
          <w:szCs w:val="22"/>
        </w:rPr>
      </w:pPr>
      <w:proofErr w:type="gramStart"/>
      <w:r w:rsidRPr="005E6149">
        <w:rPr>
          <w:rFonts w:ascii="Arial" w:hAnsi="Arial" w:cs="Arial"/>
          <w:sz w:val="22"/>
          <w:szCs w:val="22"/>
        </w:rPr>
        <w:t>as</w:t>
      </w:r>
      <w:proofErr w:type="gramEnd"/>
      <w:r w:rsidRPr="005E6149">
        <w:rPr>
          <w:rFonts w:ascii="Arial" w:hAnsi="Arial" w:cs="Arial"/>
          <w:sz w:val="22"/>
          <w:szCs w:val="22"/>
        </w:rPr>
        <w:t xml:space="preserve"> illustrated in Figure 6.1.</w:t>
      </w:r>
    </w:p>
    <w:p w:rsidR="00B82800" w:rsidRPr="005E6149" w:rsidRDefault="00B82800" w:rsidP="00B82800">
      <w:pPr>
        <w:pStyle w:val="FigureCaption"/>
        <w:rPr>
          <w:rFonts w:ascii="Arial" w:hAnsi="Arial" w:cs="Arial"/>
          <w:sz w:val="18"/>
          <w:szCs w:val="18"/>
        </w:rPr>
      </w:pPr>
      <w:bookmarkStart w:id="53" w:name="_Toc278480703"/>
      <w:r w:rsidRPr="005E6149">
        <w:rPr>
          <w:rFonts w:ascii="Arial" w:hAnsi="Arial" w:cs="Arial"/>
          <w:sz w:val="18"/>
          <w:szCs w:val="18"/>
        </w:rPr>
        <w:t>Figure 6.1: Cost Bucket Cost Contributions (Direct and Overhead combined) towards Total Acute Overnight Admitted Patient Costs - Round 17 (2012/13)</w:t>
      </w:r>
      <w:bookmarkEnd w:id="53"/>
    </w:p>
    <w:p w:rsidR="00B82800" w:rsidRPr="005E6149" w:rsidRDefault="00B82800" w:rsidP="00B82800">
      <w:pPr>
        <w:spacing w:before="120" w:after="120"/>
        <w:jc w:val="center"/>
        <w:rPr>
          <w:rFonts w:ascii="Arial" w:hAnsi="Arial" w:cs="Arial"/>
          <w:sz w:val="22"/>
          <w:szCs w:val="22"/>
        </w:rPr>
      </w:pPr>
      <w:r w:rsidRPr="005E6149">
        <w:rPr>
          <w:rFonts w:ascii="Arial" w:hAnsi="Arial" w:cs="Arial"/>
          <w:noProof/>
          <w:sz w:val="22"/>
          <w:szCs w:val="22"/>
          <w:lang w:val="en-AU" w:eastAsia="en-AU"/>
        </w:rPr>
        <w:drawing>
          <wp:inline distT="0" distB="0" distL="0" distR="0" wp14:anchorId="1CB02934" wp14:editId="2D296C5C">
            <wp:extent cx="4717467" cy="3098800"/>
            <wp:effectExtent l="0" t="0" r="6985" b="6350"/>
            <wp:docPr id="20" name="Picture 42" title="Figure 6.1: Cost Bucket Cost Contributions (Direct and Overhead combined) towards Total Acute Overnight Admitted Patient Costs - Round 17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7820" cy="3099032"/>
                    </a:xfrm>
                    <a:prstGeom prst="rect">
                      <a:avLst/>
                    </a:prstGeom>
                    <a:noFill/>
                    <a:ln>
                      <a:noFill/>
                    </a:ln>
                  </pic:spPr>
                </pic:pic>
              </a:graphicData>
            </a:graphic>
          </wp:inline>
        </w:drawing>
      </w:r>
    </w:p>
    <w:p w:rsidR="00F40EFF" w:rsidRPr="005E6149" w:rsidRDefault="00EE73AA" w:rsidP="00624A0B">
      <w:pPr>
        <w:pStyle w:val="Heading2"/>
        <w:rPr>
          <w:rFonts w:ascii="Arial" w:hAnsi="Arial" w:cs="Arial"/>
          <w:lang w:val="en-AU"/>
        </w:rPr>
      </w:pPr>
      <w:bookmarkStart w:id="54" w:name="_Toc278480627"/>
      <w:r w:rsidRPr="005E6149">
        <w:rPr>
          <w:rFonts w:ascii="Arial" w:hAnsi="Arial" w:cs="Arial"/>
          <w:lang w:val="en-AU"/>
        </w:rPr>
        <w:t>Impact of Service Utilisation Data</w:t>
      </w:r>
      <w:bookmarkEnd w:id="54"/>
    </w:p>
    <w:p w:rsidR="00EE73AA" w:rsidRPr="005E6149" w:rsidRDefault="00EE73AA" w:rsidP="00882BC0">
      <w:pPr>
        <w:spacing w:before="120" w:after="120"/>
        <w:rPr>
          <w:rFonts w:ascii="Arial" w:hAnsi="Arial" w:cs="Arial"/>
          <w:sz w:val="22"/>
          <w:szCs w:val="22"/>
        </w:rPr>
      </w:pPr>
      <w:r w:rsidRPr="005E6149">
        <w:rPr>
          <w:rFonts w:ascii="Arial" w:hAnsi="Arial" w:cs="Arial"/>
          <w:sz w:val="22"/>
          <w:szCs w:val="22"/>
        </w:rPr>
        <w:t xml:space="preserve">Detailed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data was not available to the study team, however in order to demonstrate the importance of allocating costs based on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data, reverse engineering of a case study hospital’s data was undertaken and the results are presented below.</w:t>
      </w:r>
    </w:p>
    <w:p w:rsidR="00EE73AA" w:rsidRPr="005E6149" w:rsidRDefault="00EE73AA" w:rsidP="00882BC0">
      <w:pPr>
        <w:spacing w:before="120" w:after="120"/>
        <w:rPr>
          <w:rFonts w:ascii="Arial" w:hAnsi="Arial" w:cs="Arial"/>
          <w:sz w:val="22"/>
          <w:szCs w:val="22"/>
        </w:rPr>
      </w:pPr>
      <w:r w:rsidRPr="005E6149">
        <w:rPr>
          <w:rFonts w:ascii="Arial" w:hAnsi="Arial" w:cs="Arial"/>
          <w:sz w:val="22"/>
          <w:szCs w:val="22"/>
        </w:rPr>
        <w:t xml:space="preserve">Hospital C allocates pathology and imaging costs based </w:t>
      </w:r>
      <w:r w:rsidR="00A90A1F">
        <w:rPr>
          <w:rFonts w:ascii="Arial" w:hAnsi="Arial" w:cs="Arial"/>
          <w:sz w:val="22"/>
          <w:szCs w:val="22"/>
        </w:rPr>
        <w:t xml:space="preserve">on actual </w:t>
      </w:r>
      <w:r w:rsidRPr="005E6149">
        <w:rPr>
          <w:rFonts w:ascii="Arial" w:hAnsi="Arial" w:cs="Arial"/>
          <w:sz w:val="22"/>
          <w:szCs w:val="22"/>
        </w:rPr>
        <w:t xml:space="preserve">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data obtained from the feeder systems</w:t>
      </w:r>
      <w:r w:rsidR="00D873D2">
        <w:rPr>
          <w:rFonts w:ascii="Arial" w:hAnsi="Arial" w:cs="Arial"/>
          <w:sz w:val="22"/>
          <w:szCs w:val="22"/>
        </w:rPr>
        <w:t xml:space="preserve">. </w:t>
      </w:r>
      <w:r w:rsidRPr="005E6149">
        <w:rPr>
          <w:rFonts w:ascii="Arial" w:hAnsi="Arial" w:cs="Arial"/>
          <w:sz w:val="22"/>
          <w:szCs w:val="22"/>
        </w:rPr>
        <w:t>This output was compared to that generated by an allocation method that attributes pathology and imaging costs to every patient based upon weighted activity using the unconditional service weights for the respective services for version 6 AR-DRG.</w:t>
      </w:r>
    </w:p>
    <w:p w:rsidR="00EE73AA" w:rsidRPr="005E6149" w:rsidRDefault="003472F5" w:rsidP="00882BC0">
      <w:pPr>
        <w:spacing w:before="120" w:after="120"/>
        <w:rPr>
          <w:rFonts w:ascii="Arial" w:hAnsi="Arial" w:cs="Arial"/>
          <w:sz w:val="22"/>
          <w:szCs w:val="22"/>
        </w:rPr>
      </w:pPr>
      <w:r w:rsidRPr="005E6149">
        <w:rPr>
          <w:rFonts w:ascii="Arial" w:hAnsi="Arial" w:cs="Arial"/>
          <w:sz w:val="22"/>
          <w:szCs w:val="22"/>
        </w:rPr>
        <w:t>A comparison between Tables 6.2 and 6.3 demonstrate the differences that arise at a single AR-DRG level between the two forms of cost allocation for pathology and imaging services</w:t>
      </w:r>
      <w:r w:rsidR="00D873D2">
        <w:rPr>
          <w:rFonts w:ascii="Arial" w:hAnsi="Arial" w:cs="Arial"/>
          <w:sz w:val="22"/>
          <w:szCs w:val="22"/>
        </w:rPr>
        <w:t xml:space="preserve">. </w:t>
      </w:r>
      <w:r w:rsidRPr="005E6149">
        <w:rPr>
          <w:rFonts w:ascii="Arial" w:hAnsi="Arial" w:cs="Arial"/>
          <w:sz w:val="22"/>
          <w:szCs w:val="22"/>
        </w:rPr>
        <w:t>Data in Table 6.2 illustrates the allocation of these costs to all patients based on weighted activity, where the unconditional service weights for pathology and imaging were applied respectively to the data</w:t>
      </w:r>
      <w:r w:rsidR="00D873D2">
        <w:rPr>
          <w:rFonts w:ascii="Arial" w:hAnsi="Arial" w:cs="Arial"/>
          <w:sz w:val="22"/>
          <w:szCs w:val="22"/>
        </w:rPr>
        <w:t xml:space="preserve">. </w:t>
      </w:r>
      <w:r w:rsidRPr="005E6149">
        <w:rPr>
          <w:rFonts w:ascii="Arial" w:hAnsi="Arial" w:cs="Arial"/>
          <w:sz w:val="22"/>
          <w:szCs w:val="22"/>
        </w:rPr>
        <w:t xml:space="preserve">It clearly shows that all patients in the example are </w:t>
      </w:r>
      <w:r w:rsidRPr="005E6149">
        <w:rPr>
          <w:rFonts w:ascii="Arial" w:hAnsi="Arial" w:cs="Arial"/>
          <w:sz w:val="22"/>
          <w:szCs w:val="22"/>
        </w:rPr>
        <w:lastRenderedPageBreak/>
        <w:t xml:space="preserve">allocated pathology costs and imaging costs. </w:t>
      </w:r>
      <w:r w:rsidR="003C0D67" w:rsidRPr="005E6149">
        <w:rPr>
          <w:rFonts w:ascii="Arial" w:hAnsi="Arial" w:cs="Arial"/>
          <w:sz w:val="22"/>
          <w:szCs w:val="22"/>
        </w:rPr>
        <w:t xml:space="preserve">Further, the data also shows that within a patient class (AR-DRG) the same allocation is made to each patient, thus there is no differential between Indigenous and </w:t>
      </w:r>
      <w:r w:rsidR="007A097D">
        <w:rPr>
          <w:rFonts w:ascii="Arial" w:hAnsi="Arial" w:cs="Arial"/>
          <w:sz w:val="22"/>
          <w:szCs w:val="22"/>
        </w:rPr>
        <w:t>Non-Indigenous</w:t>
      </w:r>
      <w:r w:rsidR="003C0D67" w:rsidRPr="005E6149">
        <w:rPr>
          <w:rFonts w:ascii="Arial" w:hAnsi="Arial" w:cs="Arial"/>
          <w:sz w:val="22"/>
          <w:szCs w:val="22"/>
        </w:rPr>
        <w:t xml:space="preserve"> patients within each AR-DRG</w:t>
      </w:r>
      <w:r w:rsidR="00D873D2">
        <w:rPr>
          <w:rFonts w:ascii="Arial" w:hAnsi="Arial" w:cs="Arial"/>
          <w:sz w:val="22"/>
          <w:szCs w:val="22"/>
        </w:rPr>
        <w:t xml:space="preserve">. </w:t>
      </w:r>
      <w:r w:rsidR="003C0D67" w:rsidRPr="005E6149">
        <w:rPr>
          <w:rFonts w:ascii="Arial" w:hAnsi="Arial" w:cs="Arial"/>
          <w:sz w:val="22"/>
          <w:szCs w:val="22"/>
        </w:rPr>
        <w:t>Differences that are recorded occur as a result of the different service weights applied to each AR-DRG.</w:t>
      </w:r>
    </w:p>
    <w:p w:rsidR="003472F5" w:rsidRPr="005E6149" w:rsidRDefault="003472F5" w:rsidP="003472F5">
      <w:pPr>
        <w:pStyle w:val="TableCaption"/>
        <w:spacing w:before="120" w:after="120"/>
        <w:rPr>
          <w:rFonts w:ascii="Arial" w:hAnsi="Arial" w:cs="Arial"/>
          <w:sz w:val="18"/>
          <w:szCs w:val="18"/>
        </w:rPr>
      </w:pPr>
      <w:bookmarkStart w:id="55" w:name="_Toc278480671"/>
      <w:r w:rsidRPr="005E6149">
        <w:rPr>
          <w:rFonts w:ascii="Arial" w:hAnsi="Arial" w:cs="Arial"/>
          <w:sz w:val="18"/>
          <w:szCs w:val="18"/>
        </w:rPr>
        <w:t xml:space="preserve">Table 6.2: </w:t>
      </w:r>
      <w:r w:rsidR="00F413A5" w:rsidRPr="005E6149">
        <w:rPr>
          <w:rFonts w:ascii="Arial" w:hAnsi="Arial" w:cs="Arial"/>
          <w:sz w:val="18"/>
          <w:szCs w:val="18"/>
        </w:rPr>
        <w:t>Illustration</w:t>
      </w:r>
      <w:r w:rsidRPr="005E6149">
        <w:rPr>
          <w:rFonts w:ascii="Arial" w:hAnsi="Arial" w:cs="Arial"/>
          <w:sz w:val="18"/>
          <w:szCs w:val="18"/>
        </w:rPr>
        <w:t xml:space="preserve"> Cost Attribution of Pathology and Imaging Costs</w:t>
      </w:r>
      <w:r w:rsidR="00F413A5" w:rsidRPr="005E6149">
        <w:rPr>
          <w:rFonts w:ascii="Arial" w:hAnsi="Arial" w:cs="Arial"/>
          <w:sz w:val="18"/>
          <w:szCs w:val="18"/>
        </w:rPr>
        <w:t xml:space="preserve"> based on weighted activity</w:t>
      </w:r>
      <w:r w:rsidRPr="005E6149">
        <w:rPr>
          <w:rFonts w:ascii="Arial" w:hAnsi="Arial" w:cs="Arial"/>
          <w:sz w:val="18"/>
          <w:szCs w:val="18"/>
        </w:rPr>
        <w:t xml:space="preserve"> for F74Z Chest Pain – Hospital C – Round 17 (2012/13)</w:t>
      </w:r>
      <w:bookmarkEnd w:id="55"/>
    </w:p>
    <w:tbl>
      <w:tblPr>
        <w:tblStyle w:val="TableGrid"/>
        <w:tblW w:w="0" w:type="auto"/>
        <w:tblLook w:val="04A0" w:firstRow="1" w:lastRow="0" w:firstColumn="1" w:lastColumn="0" w:noHBand="0" w:noVBand="1"/>
        <w:tblCaption w:val="Table 6.2: Illustration Cost Attribution of Pathology and Imaging Costs based on weighted activity"/>
      </w:tblPr>
      <w:tblGrid>
        <w:gridCol w:w="1265"/>
        <w:gridCol w:w="1265"/>
        <w:gridCol w:w="1265"/>
        <w:gridCol w:w="1265"/>
        <w:gridCol w:w="1265"/>
        <w:gridCol w:w="1265"/>
        <w:gridCol w:w="1266"/>
      </w:tblGrid>
      <w:tr w:rsidR="00F413A5" w:rsidRPr="005E6149" w:rsidTr="00B31DC7">
        <w:trPr>
          <w:tblHeader/>
        </w:trPr>
        <w:tc>
          <w:tcPr>
            <w:tcW w:w="1265" w:type="dxa"/>
            <w:tcBorders>
              <w:bottom w:val="single" w:sz="4" w:space="0" w:color="auto"/>
            </w:tcBorders>
            <w:shd w:val="clear" w:color="auto" w:fill="CCCCCC"/>
          </w:tcPr>
          <w:p w:rsidR="00F413A5" w:rsidRPr="00867AF2" w:rsidRDefault="00F413A5" w:rsidP="00867AF2">
            <w:pPr>
              <w:pStyle w:val="Heading4"/>
              <w:outlineLvl w:val="3"/>
              <w:rPr>
                <w:i w:val="0"/>
                <w:color w:val="000000" w:themeColor="text1"/>
              </w:rPr>
            </w:pPr>
            <w:r w:rsidRPr="00867AF2">
              <w:rPr>
                <w:i w:val="0"/>
                <w:color w:val="000000" w:themeColor="text1"/>
              </w:rPr>
              <w:t>AR-DRG</w:t>
            </w:r>
          </w:p>
        </w:tc>
        <w:tc>
          <w:tcPr>
            <w:tcW w:w="2530" w:type="dxa"/>
            <w:gridSpan w:val="2"/>
            <w:shd w:val="clear" w:color="auto" w:fill="CCCCCC"/>
          </w:tcPr>
          <w:p w:rsidR="00F413A5" w:rsidRPr="00867AF2" w:rsidRDefault="00F413A5" w:rsidP="00867AF2">
            <w:pPr>
              <w:pStyle w:val="Heading4"/>
              <w:outlineLvl w:val="3"/>
              <w:rPr>
                <w:i w:val="0"/>
                <w:color w:val="000000" w:themeColor="text1"/>
              </w:rPr>
            </w:pPr>
            <w:r w:rsidRPr="00867AF2">
              <w:rPr>
                <w:i w:val="0"/>
                <w:color w:val="000000" w:themeColor="text1"/>
              </w:rPr>
              <w:t>Number of Patients</w:t>
            </w:r>
          </w:p>
        </w:tc>
        <w:tc>
          <w:tcPr>
            <w:tcW w:w="2530" w:type="dxa"/>
            <w:gridSpan w:val="2"/>
            <w:shd w:val="clear" w:color="auto" w:fill="CCCCCC"/>
          </w:tcPr>
          <w:p w:rsidR="00F413A5" w:rsidRPr="00867AF2" w:rsidRDefault="00F413A5" w:rsidP="00867AF2">
            <w:pPr>
              <w:pStyle w:val="Heading4"/>
              <w:outlineLvl w:val="3"/>
              <w:rPr>
                <w:i w:val="0"/>
                <w:color w:val="000000" w:themeColor="text1"/>
              </w:rPr>
            </w:pPr>
            <w:r w:rsidRPr="00867AF2">
              <w:rPr>
                <w:i w:val="0"/>
                <w:color w:val="000000" w:themeColor="text1"/>
              </w:rPr>
              <w:t>Average Pathology Cost (all patients allocated pathology cost</w:t>
            </w:r>
            <w:r w:rsidR="00A90A1F" w:rsidRPr="00867AF2">
              <w:rPr>
                <w:i w:val="0"/>
                <w:color w:val="000000" w:themeColor="text1"/>
              </w:rPr>
              <w:t>)</w:t>
            </w:r>
          </w:p>
        </w:tc>
        <w:tc>
          <w:tcPr>
            <w:tcW w:w="2531" w:type="dxa"/>
            <w:gridSpan w:val="2"/>
            <w:shd w:val="clear" w:color="auto" w:fill="CCCCCC"/>
          </w:tcPr>
          <w:p w:rsidR="00F413A5" w:rsidRPr="00867AF2" w:rsidRDefault="00F413A5" w:rsidP="00867AF2">
            <w:pPr>
              <w:pStyle w:val="Heading4"/>
              <w:outlineLvl w:val="3"/>
              <w:rPr>
                <w:i w:val="0"/>
                <w:color w:val="000000" w:themeColor="text1"/>
              </w:rPr>
            </w:pPr>
            <w:r w:rsidRPr="00867AF2">
              <w:rPr>
                <w:i w:val="0"/>
                <w:color w:val="000000" w:themeColor="text1"/>
              </w:rPr>
              <w:t xml:space="preserve">Average </w:t>
            </w:r>
            <w:r w:rsidR="00A90A1F" w:rsidRPr="00867AF2">
              <w:rPr>
                <w:i w:val="0"/>
                <w:color w:val="000000" w:themeColor="text1"/>
              </w:rPr>
              <w:t>Imaging</w:t>
            </w:r>
            <w:r w:rsidRPr="00867AF2">
              <w:rPr>
                <w:i w:val="0"/>
                <w:color w:val="000000" w:themeColor="text1"/>
              </w:rPr>
              <w:t xml:space="preserve"> Cost (all patients allocated </w:t>
            </w:r>
            <w:r w:rsidR="00A90A1F" w:rsidRPr="00867AF2">
              <w:rPr>
                <w:i w:val="0"/>
                <w:color w:val="000000" w:themeColor="text1"/>
              </w:rPr>
              <w:t xml:space="preserve">imaging </w:t>
            </w:r>
            <w:r w:rsidRPr="00867AF2">
              <w:rPr>
                <w:i w:val="0"/>
                <w:color w:val="000000" w:themeColor="text1"/>
              </w:rPr>
              <w:t>cost</w:t>
            </w:r>
            <w:r w:rsidR="00A90A1F" w:rsidRPr="00867AF2">
              <w:rPr>
                <w:i w:val="0"/>
                <w:color w:val="000000" w:themeColor="text1"/>
              </w:rPr>
              <w:t>)</w:t>
            </w:r>
          </w:p>
        </w:tc>
      </w:tr>
      <w:tr w:rsidR="00F413A5" w:rsidRPr="005E6149" w:rsidTr="00B31DC7">
        <w:tc>
          <w:tcPr>
            <w:tcW w:w="1265" w:type="dxa"/>
            <w:vMerge w:val="restart"/>
            <w:shd w:val="clear" w:color="auto" w:fill="auto"/>
            <w:vAlign w:val="bottom"/>
          </w:tcPr>
          <w:p w:rsidR="00F413A5" w:rsidRPr="00C628C4" w:rsidRDefault="00F413A5" w:rsidP="00F413A5">
            <w:pPr>
              <w:spacing w:before="120" w:after="120"/>
              <w:jc w:val="center"/>
              <w:rPr>
                <w:rFonts w:asciiTheme="majorHAnsi" w:hAnsiTheme="majorHAnsi" w:cs="Arial"/>
                <w:b/>
              </w:rPr>
            </w:pPr>
            <w:r w:rsidRPr="00C628C4">
              <w:rPr>
                <w:rFonts w:asciiTheme="majorHAnsi" w:hAnsiTheme="majorHAnsi" w:cs="Arial"/>
                <w:b/>
              </w:rPr>
              <w:t>F74Z Chest Pain</w:t>
            </w:r>
          </w:p>
        </w:tc>
        <w:tc>
          <w:tcPr>
            <w:tcW w:w="1265" w:type="dxa"/>
            <w:shd w:val="clear" w:color="auto" w:fill="CCCCCC"/>
          </w:tcPr>
          <w:p w:rsidR="00F413A5" w:rsidRPr="00C628C4" w:rsidRDefault="00F413A5" w:rsidP="00F413A5">
            <w:pPr>
              <w:spacing w:before="120" w:after="120"/>
              <w:jc w:val="center"/>
              <w:rPr>
                <w:rFonts w:asciiTheme="majorHAnsi" w:hAnsiTheme="majorHAnsi" w:cs="Arial"/>
                <w:b/>
              </w:rPr>
            </w:pPr>
            <w:r w:rsidRPr="00C628C4">
              <w:rPr>
                <w:rFonts w:asciiTheme="majorHAnsi" w:hAnsiTheme="majorHAnsi" w:cs="Arial"/>
                <w:b/>
              </w:rPr>
              <w:t>Indigenous</w:t>
            </w:r>
          </w:p>
        </w:tc>
        <w:tc>
          <w:tcPr>
            <w:tcW w:w="1265" w:type="dxa"/>
            <w:shd w:val="clear" w:color="auto" w:fill="CCCCCC"/>
          </w:tcPr>
          <w:p w:rsidR="00F413A5" w:rsidRPr="00C628C4" w:rsidRDefault="007A097D" w:rsidP="00F413A5">
            <w:pPr>
              <w:spacing w:before="120" w:after="120"/>
              <w:jc w:val="center"/>
              <w:rPr>
                <w:rFonts w:asciiTheme="majorHAnsi" w:hAnsiTheme="majorHAnsi" w:cs="Arial"/>
                <w:b/>
              </w:rPr>
            </w:pPr>
            <w:r w:rsidRPr="00C628C4">
              <w:rPr>
                <w:rFonts w:asciiTheme="majorHAnsi" w:hAnsiTheme="majorHAnsi" w:cs="Arial"/>
                <w:b/>
              </w:rPr>
              <w:t>Non-Indigenous</w:t>
            </w:r>
          </w:p>
        </w:tc>
        <w:tc>
          <w:tcPr>
            <w:tcW w:w="1265" w:type="dxa"/>
            <w:shd w:val="clear" w:color="auto" w:fill="CCCCCC"/>
          </w:tcPr>
          <w:p w:rsidR="00F413A5" w:rsidRPr="00C628C4" w:rsidRDefault="00F413A5" w:rsidP="00F413A5">
            <w:pPr>
              <w:spacing w:before="120" w:after="120"/>
              <w:jc w:val="center"/>
              <w:rPr>
                <w:rFonts w:asciiTheme="majorHAnsi" w:hAnsiTheme="majorHAnsi" w:cs="Arial"/>
                <w:b/>
              </w:rPr>
            </w:pPr>
            <w:r w:rsidRPr="00C628C4">
              <w:rPr>
                <w:rFonts w:asciiTheme="majorHAnsi" w:hAnsiTheme="majorHAnsi" w:cs="Arial"/>
                <w:b/>
              </w:rPr>
              <w:t>Indigenous</w:t>
            </w:r>
          </w:p>
        </w:tc>
        <w:tc>
          <w:tcPr>
            <w:tcW w:w="1265" w:type="dxa"/>
            <w:shd w:val="clear" w:color="auto" w:fill="CCCCCC"/>
          </w:tcPr>
          <w:p w:rsidR="00F413A5" w:rsidRPr="00C628C4" w:rsidRDefault="007A097D" w:rsidP="00F413A5">
            <w:pPr>
              <w:spacing w:before="120" w:after="120"/>
              <w:jc w:val="center"/>
              <w:rPr>
                <w:rFonts w:asciiTheme="majorHAnsi" w:hAnsiTheme="majorHAnsi" w:cs="Arial"/>
                <w:b/>
              </w:rPr>
            </w:pPr>
            <w:r w:rsidRPr="00C628C4">
              <w:rPr>
                <w:rFonts w:asciiTheme="majorHAnsi" w:hAnsiTheme="majorHAnsi" w:cs="Arial"/>
                <w:b/>
              </w:rPr>
              <w:t>Non-Indigenous</w:t>
            </w:r>
          </w:p>
        </w:tc>
        <w:tc>
          <w:tcPr>
            <w:tcW w:w="1265" w:type="dxa"/>
            <w:shd w:val="clear" w:color="auto" w:fill="CCCCCC"/>
          </w:tcPr>
          <w:p w:rsidR="00F413A5" w:rsidRPr="00C628C4" w:rsidRDefault="00F413A5" w:rsidP="00F413A5">
            <w:pPr>
              <w:spacing w:before="120" w:after="120"/>
              <w:jc w:val="center"/>
              <w:rPr>
                <w:rFonts w:asciiTheme="majorHAnsi" w:hAnsiTheme="majorHAnsi" w:cs="Arial"/>
                <w:b/>
              </w:rPr>
            </w:pPr>
            <w:r w:rsidRPr="00C628C4">
              <w:rPr>
                <w:rFonts w:asciiTheme="majorHAnsi" w:hAnsiTheme="majorHAnsi" w:cs="Arial"/>
                <w:b/>
              </w:rPr>
              <w:t>Indigenous</w:t>
            </w:r>
          </w:p>
        </w:tc>
        <w:tc>
          <w:tcPr>
            <w:tcW w:w="1266" w:type="dxa"/>
            <w:shd w:val="clear" w:color="auto" w:fill="CCCCCC"/>
          </w:tcPr>
          <w:p w:rsidR="00F413A5" w:rsidRPr="00C628C4" w:rsidRDefault="007A097D" w:rsidP="00F413A5">
            <w:pPr>
              <w:spacing w:before="120" w:after="120"/>
              <w:jc w:val="center"/>
              <w:rPr>
                <w:rFonts w:asciiTheme="majorHAnsi" w:hAnsiTheme="majorHAnsi" w:cs="Arial"/>
                <w:b/>
              </w:rPr>
            </w:pPr>
            <w:r w:rsidRPr="00C628C4">
              <w:rPr>
                <w:rFonts w:asciiTheme="majorHAnsi" w:hAnsiTheme="majorHAnsi" w:cs="Arial"/>
                <w:b/>
              </w:rPr>
              <w:t>Non-Indigenous</w:t>
            </w:r>
          </w:p>
        </w:tc>
      </w:tr>
      <w:tr w:rsidR="00F413A5" w:rsidRPr="005E6149" w:rsidTr="00B31DC7">
        <w:tc>
          <w:tcPr>
            <w:tcW w:w="1265" w:type="dxa"/>
            <w:vMerge/>
            <w:shd w:val="clear" w:color="auto" w:fill="auto"/>
          </w:tcPr>
          <w:p w:rsidR="00F413A5" w:rsidRPr="00C628C4" w:rsidRDefault="00F413A5" w:rsidP="00882BC0">
            <w:pPr>
              <w:spacing w:before="120" w:after="120"/>
              <w:rPr>
                <w:rFonts w:asciiTheme="majorHAnsi" w:hAnsiTheme="majorHAnsi" w:cs="Arial"/>
              </w:rPr>
            </w:pPr>
          </w:p>
        </w:tc>
        <w:tc>
          <w:tcPr>
            <w:tcW w:w="1265" w:type="dxa"/>
            <w:vAlign w:val="bottom"/>
          </w:tcPr>
          <w:p w:rsidR="00F413A5" w:rsidRPr="00C628C4" w:rsidRDefault="00F413A5" w:rsidP="00F413A5">
            <w:pPr>
              <w:spacing w:before="120" w:after="120"/>
              <w:jc w:val="center"/>
              <w:rPr>
                <w:rFonts w:asciiTheme="majorHAnsi" w:hAnsiTheme="majorHAnsi" w:cs="Arial"/>
              </w:rPr>
            </w:pPr>
            <w:r w:rsidRPr="00C628C4">
              <w:rPr>
                <w:rFonts w:asciiTheme="majorHAnsi" w:hAnsiTheme="majorHAnsi" w:cs="Arial"/>
              </w:rPr>
              <w:t>12</w:t>
            </w:r>
          </w:p>
        </w:tc>
        <w:tc>
          <w:tcPr>
            <w:tcW w:w="1265" w:type="dxa"/>
            <w:vAlign w:val="bottom"/>
          </w:tcPr>
          <w:p w:rsidR="00F413A5" w:rsidRPr="00C628C4" w:rsidRDefault="00F413A5" w:rsidP="00F413A5">
            <w:pPr>
              <w:spacing w:before="120" w:after="120"/>
              <w:jc w:val="center"/>
              <w:rPr>
                <w:rFonts w:asciiTheme="majorHAnsi" w:hAnsiTheme="majorHAnsi" w:cs="Arial"/>
              </w:rPr>
            </w:pPr>
            <w:r w:rsidRPr="00C628C4">
              <w:rPr>
                <w:rFonts w:asciiTheme="majorHAnsi" w:hAnsiTheme="majorHAnsi" w:cs="Arial"/>
              </w:rPr>
              <w:t>527</w:t>
            </w:r>
          </w:p>
        </w:tc>
        <w:tc>
          <w:tcPr>
            <w:tcW w:w="1265" w:type="dxa"/>
            <w:vAlign w:val="bottom"/>
          </w:tcPr>
          <w:p w:rsidR="00F413A5" w:rsidRPr="00C628C4" w:rsidRDefault="00F413A5" w:rsidP="00333F2D">
            <w:pPr>
              <w:spacing w:before="120" w:after="120"/>
              <w:jc w:val="center"/>
              <w:rPr>
                <w:rFonts w:asciiTheme="majorHAnsi" w:hAnsiTheme="majorHAnsi" w:cs="Arial"/>
              </w:rPr>
            </w:pPr>
            <w:r w:rsidRPr="00C628C4">
              <w:rPr>
                <w:rFonts w:asciiTheme="majorHAnsi" w:hAnsiTheme="majorHAnsi" w:cs="Arial"/>
              </w:rPr>
              <w:t>$</w:t>
            </w:r>
            <w:r w:rsidR="003C0D67" w:rsidRPr="00C628C4">
              <w:rPr>
                <w:rFonts w:asciiTheme="majorHAnsi" w:hAnsiTheme="majorHAnsi" w:cs="Arial"/>
              </w:rPr>
              <w:t>139</w:t>
            </w:r>
          </w:p>
        </w:tc>
        <w:tc>
          <w:tcPr>
            <w:tcW w:w="1265" w:type="dxa"/>
            <w:vAlign w:val="bottom"/>
          </w:tcPr>
          <w:p w:rsidR="00F413A5" w:rsidRPr="00C628C4" w:rsidRDefault="00F413A5" w:rsidP="00A90A1F">
            <w:pPr>
              <w:spacing w:before="120" w:after="120"/>
              <w:jc w:val="center"/>
              <w:rPr>
                <w:rFonts w:asciiTheme="majorHAnsi" w:hAnsiTheme="majorHAnsi" w:cs="Arial"/>
              </w:rPr>
            </w:pPr>
            <w:r w:rsidRPr="00C628C4">
              <w:rPr>
                <w:rFonts w:asciiTheme="majorHAnsi" w:hAnsiTheme="majorHAnsi" w:cs="Arial"/>
              </w:rPr>
              <w:t>$</w:t>
            </w:r>
            <w:r w:rsidR="003C0D67" w:rsidRPr="00C628C4">
              <w:rPr>
                <w:rFonts w:asciiTheme="majorHAnsi" w:hAnsiTheme="majorHAnsi" w:cs="Arial"/>
              </w:rPr>
              <w:t>139</w:t>
            </w:r>
          </w:p>
        </w:tc>
        <w:tc>
          <w:tcPr>
            <w:tcW w:w="1265" w:type="dxa"/>
            <w:vAlign w:val="bottom"/>
          </w:tcPr>
          <w:p w:rsidR="00F413A5" w:rsidRPr="00C628C4" w:rsidRDefault="00F413A5" w:rsidP="00F413A5">
            <w:pPr>
              <w:spacing w:before="120" w:after="120"/>
              <w:jc w:val="center"/>
              <w:rPr>
                <w:rFonts w:asciiTheme="majorHAnsi" w:hAnsiTheme="majorHAnsi" w:cs="Arial"/>
              </w:rPr>
            </w:pPr>
            <w:r w:rsidRPr="00C628C4">
              <w:rPr>
                <w:rFonts w:asciiTheme="majorHAnsi" w:hAnsiTheme="majorHAnsi" w:cs="Arial"/>
              </w:rPr>
              <w:t>$</w:t>
            </w:r>
            <w:r w:rsidR="00A90A1F" w:rsidRPr="00C628C4">
              <w:rPr>
                <w:rFonts w:asciiTheme="majorHAnsi" w:hAnsiTheme="majorHAnsi" w:cs="Arial"/>
              </w:rPr>
              <w:t>102</w:t>
            </w:r>
          </w:p>
        </w:tc>
        <w:tc>
          <w:tcPr>
            <w:tcW w:w="1266" w:type="dxa"/>
            <w:vAlign w:val="bottom"/>
          </w:tcPr>
          <w:p w:rsidR="00F413A5" w:rsidRPr="00C628C4" w:rsidRDefault="00F413A5" w:rsidP="00F413A5">
            <w:pPr>
              <w:spacing w:before="120" w:after="120"/>
              <w:jc w:val="center"/>
              <w:rPr>
                <w:rFonts w:asciiTheme="majorHAnsi" w:hAnsiTheme="majorHAnsi" w:cs="Arial"/>
              </w:rPr>
            </w:pPr>
            <w:r w:rsidRPr="00C628C4">
              <w:rPr>
                <w:rFonts w:asciiTheme="majorHAnsi" w:hAnsiTheme="majorHAnsi" w:cs="Arial"/>
              </w:rPr>
              <w:t>$</w:t>
            </w:r>
            <w:r w:rsidR="00A90A1F" w:rsidRPr="00C628C4">
              <w:rPr>
                <w:rFonts w:asciiTheme="majorHAnsi" w:hAnsiTheme="majorHAnsi" w:cs="Arial"/>
              </w:rPr>
              <w:t>102</w:t>
            </w:r>
          </w:p>
        </w:tc>
      </w:tr>
    </w:tbl>
    <w:p w:rsidR="003C0D67" w:rsidRPr="005E6149" w:rsidRDefault="003C0D67" w:rsidP="00882BC0">
      <w:pPr>
        <w:spacing w:before="120" w:after="120"/>
        <w:rPr>
          <w:rFonts w:ascii="Arial" w:hAnsi="Arial" w:cs="Arial"/>
          <w:sz w:val="22"/>
          <w:szCs w:val="22"/>
        </w:rPr>
      </w:pPr>
    </w:p>
    <w:p w:rsidR="003472F5" w:rsidRPr="005E6149" w:rsidRDefault="00F413A5" w:rsidP="00882BC0">
      <w:pPr>
        <w:spacing w:before="120" w:after="120"/>
        <w:rPr>
          <w:rFonts w:ascii="Arial" w:hAnsi="Arial" w:cs="Arial"/>
          <w:sz w:val="22"/>
          <w:szCs w:val="22"/>
        </w:rPr>
      </w:pPr>
      <w:r w:rsidRPr="005E6149">
        <w:rPr>
          <w:rFonts w:ascii="Arial" w:hAnsi="Arial" w:cs="Arial"/>
          <w:sz w:val="22"/>
          <w:szCs w:val="22"/>
        </w:rPr>
        <w:t xml:space="preserve">Table 6.3 (overleaf) identifies the impact allocation of costs based on actual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has upon the cost profile for the selected AR-DRG.</w:t>
      </w:r>
    </w:p>
    <w:p w:rsidR="00F40EFF" w:rsidRPr="005E6149" w:rsidRDefault="00EE73AA" w:rsidP="00882BC0">
      <w:pPr>
        <w:spacing w:before="120" w:after="120"/>
        <w:rPr>
          <w:rFonts w:ascii="Arial" w:hAnsi="Arial" w:cs="Arial"/>
          <w:sz w:val="22"/>
          <w:szCs w:val="22"/>
        </w:rPr>
      </w:pPr>
      <w:r w:rsidRPr="005E6149">
        <w:rPr>
          <w:rFonts w:ascii="Arial" w:hAnsi="Arial" w:cs="Arial"/>
          <w:sz w:val="22"/>
          <w:szCs w:val="22"/>
        </w:rPr>
        <w:t xml:space="preserve"> </w:t>
      </w:r>
    </w:p>
    <w:p w:rsidR="00F413A5" w:rsidRPr="005E6149" w:rsidRDefault="00F413A5" w:rsidP="00882BC0">
      <w:pPr>
        <w:spacing w:before="120" w:after="120"/>
        <w:rPr>
          <w:rFonts w:ascii="Arial" w:hAnsi="Arial" w:cs="Arial"/>
          <w:sz w:val="22"/>
          <w:szCs w:val="22"/>
        </w:rPr>
        <w:sectPr w:rsidR="00F413A5" w:rsidRPr="005E6149" w:rsidSect="004D21FA">
          <w:pgSz w:w="12240" w:h="15840"/>
          <w:pgMar w:top="1440" w:right="1800" w:bottom="1440" w:left="1800" w:header="720" w:footer="720" w:gutter="0"/>
          <w:cols w:space="720"/>
          <w:docGrid w:linePitch="360"/>
        </w:sectPr>
      </w:pPr>
    </w:p>
    <w:p w:rsidR="00F413A5" w:rsidRPr="005E6149" w:rsidRDefault="00F413A5" w:rsidP="00F413A5">
      <w:pPr>
        <w:pStyle w:val="TableCaption"/>
        <w:spacing w:before="120" w:after="120"/>
        <w:rPr>
          <w:rFonts w:ascii="Arial" w:hAnsi="Arial" w:cs="Arial"/>
          <w:sz w:val="18"/>
          <w:szCs w:val="18"/>
        </w:rPr>
      </w:pPr>
      <w:bookmarkStart w:id="56" w:name="_Toc278480672"/>
      <w:r w:rsidRPr="005E6149">
        <w:rPr>
          <w:rFonts w:ascii="Arial" w:hAnsi="Arial" w:cs="Arial"/>
          <w:sz w:val="18"/>
          <w:szCs w:val="18"/>
        </w:rPr>
        <w:lastRenderedPageBreak/>
        <w:t>Table 6.3: Illustration Cost Attribution of Pathology and Imaging Costs based on actual service utilisation for F74Z Chest Pain – Hospital C – Round 17 (2012/13)</w:t>
      </w:r>
      <w:bookmarkEnd w:id="56"/>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3: Illustration Cost Attribution of Pathology and Imaging Costs based on actual service utilisation "/>
      </w:tblPr>
      <w:tblGrid>
        <w:gridCol w:w="1204"/>
        <w:gridCol w:w="1276"/>
        <w:gridCol w:w="1276"/>
        <w:gridCol w:w="1276"/>
        <w:gridCol w:w="1275"/>
        <w:gridCol w:w="1276"/>
        <w:gridCol w:w="1276"/>
        <w:gridCol w:w="1276"/>
        <w:gridCol w:w="1281"/>
        <w:gridCol w:w="1270"/>
        <w:gridCol w:w="1276"/>
      </w:tblGrid>
      <w:tr w:rsidR="00F413A5" w:rsidRPr="002019C1" w:rsidTr="00836A69">
        <w:trPr>
          <w:trHeight w:val="280"/>
          <w:jc w:val="center"/>
        </w:trPr>
        <w:tc>
          <w:tcPr>
            <w:tcW w:w="1204" w:type="dxa"/>
            <w:tcBorders>
              <w:bottom w:val="single" w:sz="4" w:space="0" w:color="auto"/>
            </w:tcBorders>
            <w:shd w:val="clear" w:color="auto" w:fill="CCCCCC"/>
            <w:noWrap/>
            <w:vAlign w:val="bottom"/>
            <w:hideMark/>
          </w:tcPr>
          <w:p w:rsidR="003472F5" w:rsidRPr="00C628C4" w:rsidRDefault="003472F5" w:rsidP="00DF7458">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AR-DRG</w:t>
            </w:r>
          </w:p>
        </w:tc>
        <w:tc>
          <w:tcPr>
            <w:tcW w:w="2552" w:type="dxa"/>
            <w:gridSpan w:val="2"/>
            <w:shd w:val="clear" w:color="auto" w:fill="CCCCCC"/>
            <w:noWrap/>
            <w:vAlign w:val="bottom"/>
            <w:hideMark/>
          </w:tcPr>
          <w:p w:rsidR="003472F5" w:rsidRPr="00C628C4" w:rsidRDefault="003472F5" w:rsidP="00DF7458">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2551" w:type="dxa"/>
            <w:gridSpan w:val="2"/>
            <w:shd w:val="clear" w:color="auto" w:fill="CCCCCC"/>
            <w:noWrap/>
            <w:vAlign w:val="bottom"/>
            <w:hideMark/>
          </w:tcPr>
          <w:p w:rsidR="003472F5" w:rsidRPr="00C628C4" w:rsidRDefault="003472F5" w:rsidP="00DF7458">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 with Pathology Cost</w:t>
            </w:r>
          </w:p>
        </w:tc>
        <w:tc>
          <w:tcPr>
            <w:tcW w:w="2552" w:type="dxa"/>
            <w:gridSpan w:val="2"/>
            <w:shd w:val="clear" w:color="auto" w:fill="CCCCCC"/>
            <w:noWrap/>
            <w:vAlign w:val="bottom"/>
            <w:hideMark/>
          </w:tcPr>
          <w:p w:rsidR="003472F5" w:rsidRPr="00C628C4" w:rsidRDefault="003472F5" w:rsidP="00DF7458">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 with Imaging Costs</w:t>
            </w:r>
          </w:p>
        </w:tc>
        <w:tc>
          <w:tcPr>
            <w:tcW w:w="2557" w:type="dxa"/>
            <w:gridSpan w:val="2"/>
            <w:shd w:val="clear" w:color="auto" w:fill="CCCCCC"/>
            <w:noWrap/>
            <w:vAlign w:val="bottom"/>
            <w:hideMark/>
          </w:tcPr>
          <w:p w:rsidR="003472F5" w:rsidRPr="00C628C4" w:rsidRDefault="003472F5" w:rsidP="003472F5">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Pathology Cost Per Patient (based on actual service use)</w:t>
            </w:r>
          </w:p>
        </w:tc>
        <w:tc>
          <w:tcPr>
            <w:tcW w:w="2546" w:type="dxa"/>
            <w:gridSpan w:val="2"/>
            <w:shd w:val="clear" w:color="auto" w:fill="CCCCCC"/>
            <w:noWrap/>
            <w:vAlign w:val="bottom"/>
            <w:hideMark/>
          </w:tcPr>
          <w:p w:rsidR="003472F5" w:rsidRPr="00C628C4" w:rsidRDefault="003472F5" w:rsidP="003472F5">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Imaging Cost Per Patient (based on actual service use)</w:t>
            </w:r>
          </w:p>
        </w:tc>
      </w:tr>
      <w:tr w:rsidR="00F413A5" w:rsidRPr="002019C1" w:rsidTr="00836A69">
        <w:trPr>
          <w:trHeight w:val="280"/>
          <w:jc w:val="center"/>
        </w:trPr>
        <w:tc>
          <w:tcPr>
            <w:tcW w:w="1204" w:type="dxa"/>
            <w:vMerge w:val="restart"/>
            <w:shd w:val="clear" w:color="auto" w:fill="auto"/>
            <w:noWrap/>
            <w:vAlign w:val="bottom"/>
            <w:hideMark/>
          </w:tcPr>
          <w:p w:rsidR="003472F5" w:rsidRPr="00C628C4" w:rsidRDefault="003472F5" w:rsidP="003472F5">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F74Z Chest Pain</w:t>
            </w:r>
          </w:p>
        </w:tc>
        <w:tc>
          <w:tcPr>
            <w:tcW w:w="1276" w:type="dxa"/>
            <w:shd w:val="clear" w:color="auto" w:fill="CCCCCC"/>
            <w:noWrap/>
            <w:hideMark/>
          </w:tcPr>
          <w:p w:rsidR="003472F5" w:rsidRPr="00C628C4" w:rsidRDefault="003472F5"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Indigenous</w:t>
            </w:r>
          </w:p>
        </w:tc>
        <w:tc>
          <w:tcPr>
            <w:tcW w:w="1276" w:type="dxa"/>
            <w:shd w:val="clear" w:color="auto" w:fill="CCCCCC"/>
            <w:noWrap/>
            <w:hideMark/>
          </w:tcPr>
          <w:p w:rsidR="003472F5" w:rsidRPr="00C628C4" w:rsidRDefault="007A097D"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Non-Indigenous</w:t>
            </w:r>
          </w:p>
        </w:tc>
        <w:tc>
          <w:tcPr>
            <w:tcW w:w="1276" w:type="dxa"/>
            <w:shd w:val="clear" w:color="auto" w:fill="CCCCCC"/>
            <w:noWrap/>
            <w:hideMark/>
          </w:tcPr>
          <w:p w:rsidR="003472F5" w:rsidRPr="00C628C4" w:rsidRDefault="003472F5"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Indigenous</w:t>
            </w:r>
          </w:p>
        </w:tc>
        <w:tc>
          <w:tcPr>
            <w:tcW w:w="1275" w:type="dxa"/>
            <w:shd w:val="clear" w:color="auto" w:fill="CCCCCC"/>
            <w:noWrap/>
            <w:hideMark/>
          </w:tcPr>
          <w:p w:rsidR="003472F5" w:rsidRPr="00C628C4" w:rsidRDefault="007A097D"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Non-Indigenous</w:t>
            </w:r>
          </w:p>
        </w:tc>
        <w:tc>
          <w:tcPr>
            <w:tcW w:w="1276" w:type="dxa"/>
            <w:shd w:val="clear" w:color="auto" w:fill="CCCCCC"/>
            <w:noWrap/>
            <w:hideMark/>
          </w:tcPr>
          <w:p w:rsidR="003472F5" w:rsidRPr="00C628C4" w:rsidRDefault="003472F5"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Indigenous</w:t>
            </w:r>
          </w:p>
        </w:tc>
        <w:tc>
          <w:tcPr>
            <w:tcW w:w="1276" w:type="dxa"/>
            <w:shd w:val="clear" w:color="auto" w:fill="CCCCCC"/>
            <w:noWrap/>
            <w:hideMark/>
          </w:tcPr>
          <w:p w:rsidR="003472F5" w:rsidRPr="00C628C4" w:rsidRDefault="007A097D"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Non-Indigenous</w:t>
            </w:r>
          </w:p>
        </w:tc>
        <w:tc>
          <w:tcPr>
            <w:tcW w:w="1276" w:type="dxa"/>
            <w:shd w:val="clear" w:color="auto" w:fill="CCCCCC"/>
            <w:noWrap/>
            <w:hideMark/>
          </w:tcPr>
          <w:p w:rsidR="003472F5" w:rsidRPr="00C628C4" w:rsidRDefault="003472F5"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Indigenous</w:t>
            </w:r>
          </w:p>
        </w:tc>
        <w:tc>
          <w:tcPr>
            <w:tcW w:w="1281" w:type="dxa"/>
            <w:shd w:val="clear" w:color="auto" w:fill="CCCCCC"/>
            <w:noWrap/>
            <w:hideMark/>
          </w:tcPr>
          <w:p w:rsidR="003472F5" w:rsidRPr="00C628C4" w:rsidRDefault="007A097D"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Non-Indigenous</w:t>
            </w:r>
          </w:p>
        </w:tc>
        <w:tc>
          <w:tcPr>
            <w:tcW w:w="1270" w:type="dxa"/>
            <w:shd w:val="clear" w:color="auto" w:fill="CCCCCC"/>
            <w:noWrap/>
            <w:hideMark/>
          </w:tcPr>
          <w:p w:rsidR="003472F5" w:rsidRPr="00C628C4" w:rsidRDefault="003472F5"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Indigenous</w:t>
            </w:r>
          </w:p>
        </w:tc>
        <w:tc>
          <w:tcPr>
            <w:tcW w:w="1276" w:type="dxa"/>
            <w:shd w:val="clear" w:color="auto" w:fill="CCCCCC"/>
            <w:noWrap/>
            <w:hideMark/>
          </w:tcPr>
          <w:p w:rsidR="003472F5" w:rsidRPr="00C628C4" w:rsidRDefault="007A097D" w:rsidP="00836A69">
            <w:pPr>
              <w:jc w:val="center"/>
              <w:rPr>
                <w:rFonts w:asciiTheme="majorHAnsi" w:eastAsia="Times New Roman" w:hAnsiTheme="majorHAnsi" w:cs="Arial"/>
                <w:b/>
                <w:color w:val="000000"/>
                <w:sz w:val="18"/>
                <w:szCs w:val="18"/>
                <w:lang w:val="en-AU"/>
              </w:rPr>
            </w:pPr>
            <w:r w:rsidRPr="00C628C4">
              <w:rPr>
                <w:rFonts w:asciiTheme="majorHAnsi" w:eastAsia="Times New Roman" w:hAnsiTheme="majorHAnsi" w:cs="Arial"/>
                <w:b/>
                <w:color w:val="000000"/>
                <w:sz w:val="18"/>
                <w:szCs w:val="18"/>
                <w:lang w:val="en-AU"/>
              </w:rPr>
              <w:t>Non-Indigenous</w:t>
            </w:r>
          </w:p>
        </w:tc>
      </w:tr>
      <w:tr w:rsidR="00F413A5" w:rsidRPr="002019C1" w:rsidTr="00836A69">
        <w:trPr>
          <w:trHeight w:val="280"/>
          <w:jc w:val="center"/>
        </w:trPr>
        <w:tc>
          <w:tcPr>
            <w:tcW w:w="1204" w:type="dxa"/>
            <w:vMerge/>
            <w:shd w:val="clear" w:color="auto" w:fill="auto"/>
            <w:noWrap/>
            <w:vAlign w:val="bottom"/>
            <w:hideMark/>
          </w:tcPr>
          <w:p w:rsidR="003472F5" w:rsidRPr="00C628C4" w:rsidRDefault="003472F5" w:rsidP="00DF7458">
            <w:pPr>
              <w:rPr>
                <w:rFonts w:asciiTheme="majorHAnsi" w:eastAsia="Times New Roman" w:hAnsiTheme="majorHAnsi" w:cs="Arial"/>
                <w:color w:val="000000"/>
                <w:sz w:val="20"/>
                <w:szCs w:val="20"/>
                <w:lang w:val="en-AU"/>
              </w:rPr>
            </w:pP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527</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w:t>
            </w:r>
          </w:p>
        </w:tc>
        <w:tc>
          <w:tcPr>
            <w:tcW w:w="1275"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188</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284</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$134.28</w:t>
            </w:r>
          </w:p>
        </w:tc>
        <w:tc>
          <w:tcPr>
            <w:tcW w:w="1281"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$154.25</w:t>
            </w:r>
          </w:p>
        </w:tc>
        <w:tc>
          <w:tcPr>
            <w:tcW w:w="1270"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$582.04</w:t>
            </w:r>
          </w:p>
        </w:tc>
        <w:tc>
          <w:tcPr>
            <w:tcW w:w="1276" w:type="dxa"/>
            <w:shd w:val="clear" w:color="auto" w:fill="auto"/>
            <w:noWrap/>
            <w:vAlign w:val="bottom"/>
            <w:hideMark/>
          </w:tcPr>
          <w:p w:rsidR="003472F5" w:rsidRPr="00C628C4" w:rsidRDefault="003472F5" w:rsidP="003C0D67">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$1,346.60</w:t>
            </w:r>
          </w:p>
        </w:tc>
      </w:tr>
    </w:tbl>
    <w:p w:rsidR="00F40EFF" w:rsidRPr="005E6149" w:rsidRDefault="003C0D67" w:rsidP="00882BC0">
      <w:pPr>
        <w:spacing w:before="120" w:after="120"/>
        <w:rPr>
          <w:rFonts w:ascii="Arial" w:hAnsi="Arial" w:cs="Arial"/>
          <w:sz w:val="22"/>
          <w:szCs w:val="22"/>
        </w:rPr>
      </w:pPr>
      <w:r w:rsidRPr="005E6149">
        <w:rPr>
          <w:rFonts w:ascii="Arial" w:hAnsi="Arial" w:cs="Arial"/>
          <w:sz w:val="22"/>
          <w:szCs w:val="22"/>
        </w:rPr>
        <w:t>In this example the averages are quite different, as not every patient received pathology and/or imaging services</w:t>
      </w:r>
      <w:r w:rsidR="00D873D2">
        <w:rPr>
          <w:rFonts w:ascii="Arial" w:hAnsi="Arial" w:cs="Arial"/>
          <w:sz w:val="22"/>
          <w:szCs w:val="22"/>
        </w:rPr>
        <w:t xml:space="preserve">. </w:t>
      </w:r>
      <w:r w:rsidRPr="005E6149">
        <w:rPr>
          <w:rFonts w:ascii="Arial" w:hAnsi="Arial" w:cs="Arial"/>
          <w:sz w:val="22"/>
          <w:szCs w:val="22"/>
        </w:rPr>
        <w:t>This is best illustrated by an extract of</w:t>
      </w:r>
      <w:r w:rsidR="004754AC" w:rsidRPr="005E6149">
        <w:rPr>
          <w:rFonts w:ascii="Arial" w:hAnsi="Arial" w:cs="Arial"/>
          <w:sz w:val="22"/>
          <w:szCs w:val="22"/>
        </w:rPr>
        <w:t xml:space="preserve"> records presented in Table 6.4</w:t>
      </w:r>
      <w:r w:rsidR="00D873D2">
        <w:rPr>
          <w:rFonts w:ascii="Arial" w:hAnsi="Arial" w:cs="Arial"/>
          <w:sz w:val="22"/>
          <w:szCs w:val="22"/>
        </w:rPr>
        <w:t xml:space="preserve">. </w:t>
      </w:r>
      <w:r w:rsidR="004754AC" w:rsidRPr="005E6149">
        <w:rPr>
          <w:rFonts w:ascii="Arial" w:hAnsi="Arial" w:cs="Arial"/>
          <w:sz w:val="22"/>
          <w:szCs w:val="22"/>
        </w:rPr>
        <w:t xml:space="preserve">The data shows that the </w:t>
      </w:r>
      <w:proofErr w:type="spellStart"/>
      <w:r w:rsidR="004754AC" w:rsidRPr="005E6149">
        <w:rPr>
          <w:rFonts w:ascii="Arial" w:hAnsi="Arial" w:cs="Arial"/>
          <w:sz w:val="22"/>
          <w:szCs w:val="22"/>
        </w:rPr>
        <w:t>standardised</w:t>
      </w:r>
      <w:proofErr w:type="spellEnd"/>
      <w:r w:rsidR="004754AC" w:rsidRPr="005E6149">
        <w:rPr>
          <w:rFonts w:ascii="Arial" w:hAnsi="Arial" w:cs="Arial"/>
          <w:sz w:val="22"/>
          <w:szCs w:val="22"/>
        </w:rPr>
        <w:t xml:space="preserve"> allocation of pathology and imaging costs to all patients based on weighted activity generally lowers the total episodic cost. </w:t>
      </w:r>
    </w:p>
    <w:p w:rsidR="003C0D67" w:rsidRPr="005E6149" w:rsidRDefault="004754AC" w:rsidP="004754AC">
      <w:pPr>
        <w:pStyle w:val="TableCaption"/>
        <w:spacing w:before="120" w:after="120"/>
        <w:rPr>
          <w:rFonts w:ascii="Arial" w:hAnsi="Arial" w:cs="Arial"/>
          <w:sz w:val="18"/>
          <w:szCs w:val="18"/>
        </w:rPr>
      </w:pPr>
      <w:bookmarkStart w:id="57" w:name="_Toc278480673"/>
      <w:r w:rsidRPr="005E6149">
        <w:rPr>
          <w:rFonts w:ascii="Arial" w:hAnsi="Arial" w:cs="Arial"/>
          <w:sz w:val="18"/>
          <w:szCs w:val="18"/>
        </w:rPr>
        <w:t>Table 6.4: Illustration of the impact of different cost attributions on total patient costs – Hospital C – Selected records F74Z Chest Pain – Round 17 (2012/13)</w:t>
      </w:r>
      <w:bookmarkEnd w:id="57"/>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4: Illustration of the impact of different cost attributions on total patient costs "/>
      </w:tblPr>
      <w:tblGrid>
        <w:gridCol w:w="1316"/>
        <w:gridCol w:w="1316"/>
        <w:gridCol w:w="1316"/>
        <w:gridCol w:w="1316"/>
        <w:gridCol w:w="1316"/>
        <w:gridCol w:w="1316"/>
        <w:gridCol w:w="1316"/>
      </w:tblGrid>
      <w:tr w:rsidR="00961436" w:rsidRPr="002019C1" w:rsidTr="00B31DC7">
        <w:trPr>
          <w:trHeight w:val="280"/>
          <w:jc w:val="center"/>
        </w:trPr>
        <w:tc>
          <w:tcPr>
            <w:tcW w:w="1316" w:type="dxa"/>
            <w:vMerge w:val="restart"/>
            <w:shd w:val="clear" w:color="auto" w:fill="CCCCCC"/>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Record Number</w:t>
            </w:r>
          </w:p>
        </w:tc>
        <w:tc>
          <w:tcPr>
            <w:tcW w:w="3948" w:type="dxa"/>
            <w:gridSpan w:val="3"/>
            <w:shd w:val="clear" w:color="auto" w:fill="CCCCCC"/>
            <w:noWrap/>
            <w:vAlign w:val="bottom"/>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Allocations based on actual service utilisation</w:t>
            </w:r>
          </w:p>
        </w:tc>
        <w:tc>
          <w:tcPr>
            <w:tcW w:w="3948" w:type="dxa"/>
            <w:gridSpan w:val="3"/>
            <w:shd w:val="clear" w:color="auto" w:fill="CCCCCC"/>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Allocations based on use of service weights and applied to patient volumes</w:t>
            </w:r>
          </w:p>
        </w:tc>
      </w:tr>
      <w:tr w:rsidR="00961436" w:rsidRPr="002019C1" w:rsidTr="00B31DC7">
        <w:trPr>
          <w:trHeight w:val="280"/>
          <w:jc w:val="center"/>
        </w:trPr>
        <w:tc>
          <w:tcPr>
            <w:tcW w:w="1316" w:type="dxa"/>
            <w:vMerge/>
            <w:shd w:val="clear" w:color="auto" w:fill="CCCCCC"/>
          </w:tcPr>
          <w:p w:rsidR="00961436" w:rsidRPr="00C628C4" w:rsidRDefault="00961436" w:rsidP="004754AC">
            <w:pPr>
              <w:jc w:val="center"/>
              <w:rPr>
                <w:rFonts w:asciiTheme="majorHAnsi" w:eastAsia="Times New Roman" w:hAnsiTheme="majorHAnsi" w:cs="Arial"/>
                <w:b/>
                <w:color w:val="000000"/>
                <w:sz w:val="20"/>
                <w:szCs w:val="20"/>
                <w:lang w:val="en-AU"/>
              </w:rPr>
            </w:pPr>
          </w:p>
        </w:tc>
        <w:tc>
          <w:tcPr>
            <w:tcW w:w="1316" w:type="dxa"/>
            <w:shd w:val="clear" w:color="auto" w:fill="CCCCCC"/>
            <w:noWrap/>
            <w:vAlign w:val="bottom"/>
            <w:hideMark/>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Total Cost</w:t>
            </w:r>
          </w:p>
        </w:tc>
        <w:tc>
          <w:tcPr>
            <w:tcW w:w="1316" w:type="dxa"/>
            <w:shd w:val="clear" w:color="auto" w:fill="CCCCCC"/>
            <w:noWrap/>
            <w:vAlign w:val="bottom"/>
            <w:hideMark/>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Pathology Cost</w:t>
            </w:r>
          </w:p>
        </w:tc>
        <w:tc>
          <w:tcPr>
            <w:tcW w:w="1316" w:type="dxa"/>
            <w:shd w:val="clear" w:color="auto" w:fill="CCCCCC"/>
            <w:noWrap/>
            <w:vAlign w:val="bottom"/>
            <w:hideMark/>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Imaging Cost</w:t>
            </w:r>
          </w:p>
        </w:tc>
        <w:tc>
          <w:tcPr>
            <w:tcW w:w="1316" w:type="dxa"/>
            <w:shd w:val="clear" w:color="auto" w:fill="CCCCCC"/>
            <w:vAlign w:val="bottom"/>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Total Cost</w:t>
            </w:r>
          </w:p>
        </w:tc>
        <w:tc>
          <w:tcPr>
            <w:tcW w:w="1316" w:type="dxa"/>
            <w:shd w:val="clear" w:color="auto" w:fill="CCCCCC"/>
            <w:vAlign w:val="bottom"/>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Pathology Cost</w:t>
            </w:r>
          </w:p>
        </w:tc>
        <w:tc>
          <w:tcPr>
            <w:tcW w:w="1316" w:type="dxa"/>
            <w:shd w:val="clear" w:color="auto" w:fill="CCCCCC"/>
            <w:vAlign w:val="bottom"/>
          </w:tcPr>
          <w:p w:rsidR="00961436" w:rsidRPr="00C628C4" w:rsidRDefault="00961436" w:rsidP="004754AC">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Imaging Cost</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w:t>
            </w:r>
          </w:p>
        </w:tc>
        <w:tc>
          <w:tcPr>
            <w:tcW w:w="1316" w:type="dxa"/>
            <w:shd w:val="clear" w:color="auto" w:fill="auto"/>
            <w:noWrap/>
            <w:vAlign w:val="bottom"/>
            <w:hideMark/>
          </w:tcPr>
          <w:p w:rsidR="00961436" w:rsidRPr="00C628C4" w:rsidRDefault="00961436"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$3,754</w:t>
            </w:r>
          </w:p>
        </w:tc>
        <w:tc>
          <w:tcPr>
            <w:tcW w:w="1316" w:type="dxa"/>
            <w:shd w:val="clear" w:color="auto" w:fill="auto"/>
            <w:noWrap/>
            <w:vAlign w:val="bottom"/>
            <w:hideMark/>
          </w:tcPr>
          <w:p w:rsidR="00961436" w:rsidRPr="00C628C4" w:rsidRDefault="00961436"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$33</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$689</w:t>
            </w:r>
          </w:p>
        </w:tc>
        <w:tc>
          <w:tcPr>
            <w:tcW w:w="1316" w:type="dxa"/>
            <w:vAlign w:val="bottom"/>
          </w:tcPr>
          <w:p w:rsidR="00961436" w:rsidRPr="00C628C4" w:rsidRDefault="00961436"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$3,273</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$3,221</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$825</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$2,637</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$3,168</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$95</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$825</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$2,489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$3,062</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$308</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$163</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$2,832</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$2,981</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$110</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$825</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$2,288</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$2,213</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$48</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$2,406</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$2,170</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$61</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$2,350</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$1,591</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$1,833</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961436" w:rsidRPr="002019C1" w:rsidTr="00B31DC7">
        <w:trPr>
          <w:trHeight w:val="280"/>
          <w:jc w:val="center"/>
        </w:trPr>
        <w:tc>
          <w:tcPr>
            <w:tcW w:w="1316" w:type="dxa"/>
          </w:tcPr>
          <w:p w:rsidR="00961436" w:rsidRPr="00C628C4" w:rsidRDefault="00961436"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$16,743</w:t>
            </w:r>
          </w:p>
        </w:tc>
        <w:tc>
          <w:tcPr>
            <w:tcW w:w="1316" w:type="dxa"/>
            <w:shd w:val="clear" w:color="auto" w:fill="auto"/>
            <w:noWrap/>
            <w:vAlign w:val="bottom"/>
            <w:hideMark/>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$179</w:t>
            </w:r>
          </w:p>
        </w:tc>
        <w:tc>
          <w:tcPr>
            <w:tcW w:w="1316" w:type="dxa"/>
            <w:shd w:val="clear" w:color="auto" w:fill="auto"/>
            <w:noWrap/>
            <w:vAlign w:val="bottom"/>
            <w:hideMark/>
          </w:tcPr>
          <w:p w:rsidR="00961436" w:rsidRPr="00C628C4" w:rsidRDefault="00961436"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$6,394</w:t>
            </w:r>
          </w:p>
        </w:tc>
        <w:tc>
          <w:tcPr>
            <w:tcW w:w="1316" w:type="dxa"/>
            <w:vAlign w:val="bottom"/>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$10,411</w:t>
            </w:r>
          </w:p>
        </w:tc>
        <w:tc>
          <w:tcPr>
            <w:tcW w:w="1316" w:type="dxa"/>
          </w:tcPr>
          <w:p w:rsidR="00961436" w:rsidRPr="00C628C4" w:rsidRDefault="00961436"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tcPr>
          <w:p w:rsidR="00961436" w:rsidRPr="00C628C4" w:rsidRDefault="0083294D" w:rsidP="00961436">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$102</w:t>
            </w:r>
          </w:p>
        </w:tc>
      </w:tr>
      <w:tr w:rsidR="004754AC" w:rsidRPr="002019C1" w:rsidTr="00B31DC7">
        <w:trPr>
          <w:trHeight w:val="280"/>
          <w:jc w:val="center"/>
        </w:trPr>
        <w:tc>
          <w:tcPr>
            <w:tcW w:w="1316" w:type="dxa"/>
            <w:vAlign w:val="bottom"/>
          </w:tcPr>
          <w:p w:rsidR="004754AC" w:rsidRPr="00C628C4" w:rsidRDefault="004754AC"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w:t>
            </w:r>
          </w:p>
        </w:tc>
        <w:tc>
          <w:tcPr>
            <w:tcW w:w="1316" w:type="dxa"/>
            <w:shd w:val="clear" w:color="auto" w:fill="auto"/>
            <w:noWrap/>
            <w:vAlign w:val="bottom"/>
          </w:tcPr>
          <w:p w:rsidR="004754AC" w:rsidRPr="00C628C4" w:rsidRDefault="0083294D"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$15,661</w:t>
            </w:r>
          </w:p>
        </w:tc>
        <w:tc>
          <w:tcPr>
            <w:tcW w:w="1316" w:type="dxa"/>
            <w:shd w:val="clear" w:color="auto" w:fill="auto"/>
            <w:noWrap/>
            <w:vAlign w:val="bottom"/>
          </w:tcPr>
          <w:p w:rsidR="004754AC" w:rsidRPr="00C628C4" w:rsidRDefault="004754AC"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$610</w:t>
            </w:r>
          </w:p>
        </w:tc>
        <w:tc>
          <w:tcPr>
            <w:tcW w:w="1316" w:type="dxa"/>
            <w:shd w:val="clear" w:color="auto" w:fill="auto"/>
            <w:noWrap/>
            <w:vAlign w:val="bottom"/>
          </w:tcPr>
          <w:p w:rsidR="004754AC" w:rsidRPr="00C628C4" w:rsidRDefault="004754AC"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$4,363</w:t>
            </w:r>
          </w:p>
        </w:tc>
        <w:tc>
          <w:tcPr>
            <w:tcW w:w="1316" w:type="dxa"/>
            <w:vAlign w:val="bottom"/>
          </w:tcPr>
          <w:p w:rsidR="004754AC" w:rsidRPr="00C628C4" w:rsidRDefault="0083294D" w:rsidP="0083294D">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lang w:val="en-AU"/>
              </w:rPr>
              <w:t>$10,929</w:t>
            </w:r>
          </w:p>
        </w:tc>
        <w:tc>
          <w:tcPr>
            <w:tcW w:w="1316" w:type="dxa"/>
            <w:vAlign w:val="bottom"/>
          </w:tcPr>
          <w:p w:rsidR="004754AC" w:rsidRPr="00C628C4" w:rsidRDefault="0083294D"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w:t>
            </w:r>
          </w:p>
        </w:tc>
        <w:tc>
          <w:tcPr>
            <w:tcW w:w="1316" w:type="dxa"/>
            <w:vAlign w:val="bottom"/>
          </w:tcPr>
          <w:p w:rsidR="004754AC" w:rsidRPr="00C628C4" w:rsidRDefault="004754AC" w:rsidP="0083294D">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t>
            </w:r>
            <w:r w:rsidR="0083294D" w:rsidRPr="00C628C4">
              <w:rPr>
                <w:rFonts w:asciiTheme="majorHAnsi" w:eastAsia="Times New Roman" w:hAnsiTheme="majorHAnsi" w:cs="Arial"/>
                <w:color w:val="000000"/>
                <w:sz w:val="20"/>
                <w:szCs w:val="20"/>
                <w:lang w:val="en-AU"/>
              </w:rPr>
              <w:t>102</w:t>
            </w:r>
          </w:p>
        </w:tc>
      </w:tr>
    </w:tbl>
    <w:p w:rsidR="00882EC6" w:rsidRPr="005E6149" w:rsidRDefault="00882EC6" w:rsidP="00882BC0">
      <w:pPr>
        <w:spacing w:before="120" w:after="120"/>
        <w:rPr>
          <w:rFonts w:ascii="Arial" w:hAnsi="Arial" w:cs="Arial"/>
          <w:sz w:val="22"/>
          <w:szCs w:val="22"/>
        </w:rPr>
      </w:pPr>
    </w:p>
    <w:p w:rsidR="00882EC6" w:rsidRPr="005E6149" w:rsidRDefault="00882EC6">
      <w:pPr>
        <w:rPr>
          <w:rFonts w:ascii="Arial" w:hAnsi="Arial" w:cs="Arial"/>
          <w:sz w:val="22"/>
          <w:szCs w:val="22"/>
        </w:rPr>
      </w:pPr>
      <w:r w:rsidRPr="005E6149">
        <w:rPr>
          <w:rFonts w:ascii="Arial" w:hAnsi="Arial" w:cs="Arial"/>
          <w:sz w:val="22"/>
          <w:szCs w:val="22"/>
        </w:rPr>
        <w:br w:type="page"/>
      </w:r>
    </w:p>
    <w:p w:rsidR="006F4159" w:rsidRPr="005E6149" w:rsidRDefault="007047AF" w:rsidP="00882BC0">
      <w:pPr>
        <w:spacing w:before="120" w:after="120"/>
        <w:rPr>
          <w:rFonts w:ascii="Arial" w:hAnsi="Arial" w:cs="Arial"/>
          <w:sz w:val="22"/>
          <w:szCs w:val="22"/>
        </w:rPr>
      </w:pPr>
      <w:r w:rsidRPr="005E6149">
        <w:rPr>
          <w:rFonts w:ascii="Arial" w:hAnsi="Arial" w:cs="Arial"/>
          <w:sz w:val="22"/>
          <w:szCs w:val="22"/>
        </w:rPr>
        <w:lastRenderedPageBreak/>
        <w:t>The impact of the various allocation methods is best considered for the hospital as a whole</w:t>
      </w:r>
      <w:r w:rsidR="00D873D2">
        <w:rPr>
          <w:rFonts w:ascii="Arial" w:hAnsi="Arial" w:cs="Arial"/>
          <w:sz w:val="22"/>
          <w:szCs w:val="22"/>
        </w:rPr>
        <w:t xml:space="preserve">. </w:t>
      </w:r>
      <w:r w:rsidRPr="005E6149">
        <w:rPr>
          <w:rFonts w:ascii="Arial" w:hAnsi="Arial" w:cs="Arial"/>
          <w:sz w:val="22"/>
          <w:szCs w:val="22"/>
        </w:rPr>
        <w:t xml:space="preserve">Table </w:t>
      </w:r>
      <w:r w:rsidR="00F21A80" w:rsidRPr="005E6149">
        <w:rPr>
          <w:rFonts w:ascii="Arial" w:hAnsi="Arial" w:cs="Arial"/>
          <w:sz w:val="22"/>
          <w:szCs w:val="22"/>
        </w:rPr>
        <w:t>6.5</w:t>
      </w:r>
      <w:r w:rsidRPr="005E6149">
        <w:rPr>
          <w:rFonts w:ascii="Arial" w:hAnsi="Arial" w:cs="Arial"/>
          <w:sz w:val="22"/>
          <w:szCs w:val="22"/>
        </w:rPr>
        <w:t xml:space="preserve"> identifies the paired t-statistic outputs for the hospital’s costing outputs adopting the two allocation methods</w:t>
      </w:r>
      <w:r w:rsidR="00D873D2">
        <w:rPr>
          <w:rFonts w:ascii="Arial" w:hAnsi="Arial" w:cs="Arial"/>
          <w:sz w:val="22"/>
          <w:szCs w:val="22"/>
        </w:rPr>
        <w:t xml:space="preserve">. </w:t>
      </w:r>
      <w:r w:rsidRPr="005E6149">
        <w:rPr>
          <w:rFonts w:ascii="Arial" w:hAnsi="Arial" w:cs="Arial"/>
          <w:sz w:val="22"/>
          <w:szCs w:val="22"/>
        </w:rPr>
        <w:t>Whilst overall the hypothesis does not alter, it is interesting to note that the actual cost differential between the two populations alters by approximately $1</w:t>
      </w:r>
      <w:r w:rsidR="00FB23C4" w:rsidRPr="005E6149">
        <w:rPr>
          <w:rFonts w:ascii="Arial" w:hAnsi="Arial" w:cs="Arial"/>
          <w:sz w:val="22"/>
          <w:szCs w:val="22"/>
        </w:rPr>
        <w:t>13</w:t>
      </w:r>
      <w:r w:rsidRPr="005E6149">
        <w:rPr>
          <w:rFonts w:ascii="Arial" w:hAnsi="Arial" w:cs="Arial"/>
          <w:sz w:val="22"/>
          <w:szCs w:val="22"/>
        </w:rPr>
        <w:t>.</w:t>
      </w:r>
    </w:p>
    <w:p w:rsidR="007047AF" w:rsidRPr="005E6149" w:rsidRDefault="00FB23C4" w:rsidP="00FB23C4">
      <w:pPr>
        <w:pStyle w:val="TableCaption"/>
        <w:spacing w:before="120" w:after="120"/>
        <w:rPr>
          <w:rFonts w:ascii="Arial" w:hAnsi="Arial" w:cs="Arial"/>
          <w:sz w:val="18"/>
          <w:szCs w:val="18"/>
        </w:rPr>
      </w:pPr>
      <w:bookmarkStart w:id="58" w:name="_Toc278480674"/>
      <w:r w:rsidRPr="005E6149">
        <w:rPr>
          <w:rFonts w:ascii="Arial" w:hAnsi="Arial" w:cs="Arial"/>
          <w:sz w:val="18"/>
          <w:szCs w:val="18"/>
        </w:rPr>
        <w:t>Table 6.5: Paired t-statistics outputs for total patient costs – Hospital C - different cost allocation attributions</w:t>
      </w:r>
      <w:bookmarkEnd w:id="58"/>
      <w:r w:rsidRPr="005E6149">
        <w:rPr>
          <w:rFonts w:ascii="Arial" w:hAnsi="Arial" w:cs="Arial"/>
          <w:sz w:val="18"/>
          <w:szCs w:val="18"/>
        </w:rPr>
        <w:t xml:space="preserve"> </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5: Paired t-statistics outputs for total patient costs "/>
      </w:tblPr>
      <w:tblGrid>
        <w:gridCol w:w="1242"/>
        <w:gridCol w:w="1418"/>
        <w:gridCol w:w="1276"/>
        <w:gridCol w:w="1417"/>
        <w:gridCol w:w="1134"/>
        <w:gridCol w:w="1134"/>
        <w:gridCol w:w="992"/>
        <w:gridCol w:w="1134"/>
        <w:gridCol w:w="709"/>
        <w:gridCol w:w="2410"/>
      </w:tblGrid>
      <w:tr w:rsidR="00F54A98" w:rsidRPr="002019C1" w:rsidTr="00836A69">
        <w:trPr>
          <w:trHeight w:val="280"/>
        </w:trPr>
        <w:tc>
          <w:tcPr>
            <w:tcW w:w="1242"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Allocation Method</w:t>
            </w:r>
          </w:p>
        </w:tc>
        <w:tc>
          <w:tcPr>
            <w:tcW w:w="1418"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1276"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 Per Patient</w:t>
            </w:r>
          </w:p>
        </w:tc>
        <w:tc>
          <w:tcPr>
            <w:tcW w:w="1417" w:type="dxa"/>
            <w:shd w:val="clear" w:color="auto" w:fill="CCCCCC"/>
            <w:noWrap/>
            <w:hideMark/>
          </w:tcPr>
          <w:p w:rsidR="00F54A98" w:rsidRPr="00C628C4" w:rsidRDefault="007A097D"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1134"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 Per Patient</w:t>
            </w:r>
          </w:p>
        </w:tc>
        <w:tc>
          <w:tcPr>
            <w:tcW w:w="1134"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Diff(1-2)</w:t>
            </w:r>
          </w:p>
        </w:tc>
        <w:tc>
          <w:tcPr>
            <w:tcW w:w="992"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1134" w:type="dxa"/>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 [t]</w:t>
            </w:r>
          </w:p>
        </w:tc>
        <w:tc>
          <w:tcPr>
            <w:tcW w:w="3119" w:type="dxa"/>
            <w:gridSpan w:val="2"/>
            <w:shd w:val="clear" w:color="auto" w:fill="CCCCCC"/>
            <w:noWrap/>
            <w:hideMark/>
          </w:tcPr>
          <w:p w:rsidR="00F54A98" w:rsidRPr="00C628C4" w:rsidRDefault="00F54A98" w:rsidP="00FB23C4">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Hypothesis</w:t>
            </w:r>
          </w:p>
        </w:tc>
      </w:tr>
      <w:tr w:rsidR="00F54A98" w:rsidRPr="002019C1" w:rsidTr="00836A69">
        <w:trPr>
          <w:trHeight w:val="280"/>
        </w:trPr>
        <w:tc>
          <w:tcPr>
            <w:tcW w:w="1242"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Actual Service Utilisation</w:t>
            </w:r>
          </w:p>
        </w:tc>
        <w:tc>
          <w:tcPr>
            <w:tcW w:w="1418"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399</w:t>
            </w:r>
          </w:p>
        </w:tc>
        <w:tc>
          <w:tcPr>
            <w:tcW w:w="1276"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$10,881.10</w:t>
            </w:r>
          </w:p>
        </w:tc>
        <w:tc>
          <w:tcPr>
            <w:tcW w:w="1417"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21,892</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$9,458.80</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$1,422.30</w:t>
            </w:r>
          </w:p>
        </w:tc>
        <w:tc>
          <w:tcPr>
            <w:tcW w:w="992"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2.27</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0.0236</w:t>
            </w:r>
          </w:p>
        </w:tc>
        <w:tc>
          <w:tcPr>
            <w:tcW w:w="709"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reject</w:t>
            </w:r>
          </w:p>
        </w:tc>
        <w:tc>
          <w:tcPr>
            <w:tcW w:w="2410"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Higher cost differential for Indigenous patient</w:t>
            </w:r>
          </w:p>
        </w:tc>
      </w:tr>
      <w:tr w:rsidR="00F54A98" w:rsidRPr="002019C1" w:rsidTr="00836A69">
        <w:trPr>
          <w:trHeight w:val="280"/>
        </w:trPr>
        <w:tc>
          <w:tcPr>
            <w:tcW w:w="1242"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Weighted Patient Volume</w:t>
            </w:r>
          </w:p>
        </w:tc>
        <w:tc>
          <w:tcPr>
            <w:tcW w:w="1418"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399</w:t>
            </w:r>
          </w:p>
        </w:tc>
        <w:tc>
          <w:tcPr>
            <w:tcW w:w="1276"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$10,769.90</w:t>
            </w:r>
          </w:p>
        </w:tc>
        <w:tc>
          <w:tcPr>
            <w:tcW w:w="1417"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21,892</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$9,460.80</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$1,309.10</w:t>
            </w:r>
          </w:p>
        </w:tc>
        <w:tc>
          <w:tcPr>
            <w:tcW w:w="992"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2.16</w:t>
            </w:r>
          </w:p>
        </w:tc>
        <w:tc>
          <w:tcPr>
            <w:tcW w:w="1134" w:type="dxa"/>
            <w:shd w:val="clear" w:color="auto" w:fill="auto"/>
            <w:noWrap/>
            <w:vAlign w:val="bottom"/>
            <w:hideMark/>
          </w:tcPr>
          <w:p w:rsidR="00F54A98" w:rsidRPr="00C628C4" w:rsidRDefault="00F54A98" w:rsidP="00FB23C4">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0.0317</w:t>
            </w:r>
          </w:p>
        </w:tc>
        <w:tc>
          <w:tcPr>
            <w:tcW w:w="709"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reject</w:t>
            </w:r>
          </w:p>
        </w:tc>
        <w:tc>
          <w:tcPr>
            <w:tcW w:w="2410" w:type="dxa"/>
            <w:shd w:val="clear" w:color="auto" w:fill="auto"/>
            <w:noWrap/>
            <w:vAlign w:val="bottom"/>
            <w:hideMark/>
          </w:tcPr>
          <w:p w:rsidR="00F54A98" w:rsidRPr="00C628C4" w:rsidRDefault="00F54A98" w:rsidP="00FB23C4">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Higher cost differential for Indigenous patient</w:t>
            </w:r>
          </w:p>
        </w:tc>
      </w:tr>
    </w:tbl>
    <w:p w:rsidR="007047AF" w:rsidRPr="005E6149" w:rsidRDefault="00882EC6" w:rsidP="00882BC0">
      <w:pPr>
        <w:spacing w:before="120" w:after="120"/>
        <w:rPr>
          <w:rFonts w:ascii="Arial" w:hAnsi="Arial" w:cs="Arial"/>
          <w:sz w:val="22"/>
          <w:szCs w:val="22"/>
        </w:rPr>
      </w:pPr>
      <w:r w:rsidRPr="005E6149">
        <w:rPr>
          <w:rFonts w:ascii="Arial" w:hAnsi="Arial" w:cs="Arial"/>
          <w:sz w:val="22"/>
          <w:szCs w:val="22"/>
        </w:rPr>
        <w:t xml:space="preserve">The allocations based on the actual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should result in a more accurate reflection of the true costs incurred by each individual patient treated by the hospital</w:t>
      </w:r>
      <w:r w:rsidR="00D873D2">
        <w:rPr>
          <w:rFonts w:ascii="Arial" w:hAnsi="Arial" w:cs="Arial"/>
          <w:sz w:val="22"/>
          <w:szCs w:val="22"/>
        </w:rPr>
        <w:t xml:space="preserve">. </w:t>
      </w:r>
      <w:r w:rsidRPr="005E6149">
        <w:rPr>
          <w:rFonts w:ascii="Arial" w:hAnsi="Arial" w:cs="Arial"/>
          <w:sz w:val="22"/>
          <w:szCs w:val="22"/>
        </w:rPr>
        <w:t xml:space="preserve">Whilst the overall average cost per separation for the hospital does not differ (the total costs to be allocated remain the same) the difference between the two cost profiles shows a 1.19% shift in the cost differential between Indigenous and </w:t>
      </w:r>
      <w:r w:rsidR="007A097D">
        <w:rPr>
          <w:rFonts w:ascii="Arial" w:hAnsi="Arial" w:cs="Arial"/>
          <w:sz w:val="22"/>
          <w:szCs w:val="22"/>
        </w:rPr>
        <w:t>Non-Indigenous</w:t>
      </w:r>
      <w:r w:rsidRPr="005E6149">
        <w:rPr>
          <w:rFonts w:ascii="Arial" w:hAnsi="Arial" w:cs="Arial"/>
          <w:sz w:val="22"/>
          <w:szCs w:val="22"/>
        </w:rPr>
        <w:t xml:space="preserve"> patients</w:t>
      </w:r>
      <w:r w:rsidR="00D873D2">
        <w:rPr>
          <w:rFonts w:ascii="Arial" w:hAnsi="Arial" w:cs="Arial"/>
          <w:sz w:val="22"/>
          <w:szCs w:val="22"/>
        </w:rPr>
        <w:t xml:space="preserve">. </w:t>
      </w:r>
      <w:r w:rsidRPr="005E6149">
        <w:rPr>
          <w:rFonts w:ascii="Arial" w:hAnsi="Arial" w:cs="Arial"/>
          <w:sz w:val="22"/>
          <w:szCs w:val="22"/>
        </w:rPr>
        <w:t xml:space="preserve">This shift is reflective for this case study alone, and is conservative as </w:t>
      </w:r>
      <w:r w:rsidR="00B400BB" w:rsidRPr="005E6149">
        <w:rPr>
          <w:rFonts w:ascii="Arial" w:hAnsi="Arial" w:cs="Arial"/>
          <w:sz w:val="22"/>
          <w:szCs w:val="22"/>
        </w:rPr>
        <w:t>costs associated with other cost buckets such as pharmacy, prosthetics and special purpose suites have not been altered from the uniform allocative method adopted by the hospital.</w:t>
      </w:r>
    </w:p>
    <w:p w:rsidR="00B400BB" w:rsidRPr="005E6149" w:rsidRDefault="00B400BB" w:rsidP="00882BC0">
      <w:pPr>
        <w:spacing w:before="120" w:after="120"/>
        <w:rPr>
          <w:rFonts w:ascii="Arial" w:hAnsi="Arial" w:cs="Arial"/>
          <w:sz w:val="22"/>
          <w:szCs w:val="22"/>
        </w:rPr>
      </w:pPr>
      <w:r w:rsidRPr="005E6149">
        <w:rPr>
          <w:rFonts w:ascii="Arial" w:hAnsi="Arial" w:cs="Arial"/>
          <w:sz w:val="22"/>
          <w:szCs w:val="22"/>
        </w:rPr>
        <w:t xml:space="preserve">The data presented above illustrates the benefits and impacts that arise in hospital cost profiles when costs for specific services are allocated to patients based upon actual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data</w:t>
      </w:r>
      <w:r w:rsidR="00D873D2">
        <w:rPr>
          <w:rFonts w:ascii="Arial" w:hAnsi="Arial" w:cs="Arial"/>
          <w:sz w:val="22"/>
          <w:szCs w:val="22"/>
        </w:rPr>
        <w:t xml:space="preserve">. </w:t>
      </w:r>
      <w:r w:rsidRPr="005E6149">
        <w:rPr>
          <w:rFonts w:ascii="Arial" w:hAnsi="Arial" w:cs="Arial"/>
          <w:sz w:val="22"/>
          <w:szCs w:val="22"/>
        </w:rPr>
        <w:t xml:space="preserve">It provides evidence that this form of cost allocation does impact upon the inferences drawn regarding the cost differential between the two population cohorts of Indigenous and </w:t>
      </w:r>
      <w:r w:rsidR="007A097D">
        <w:rPr>
          <w:rFonts w:ascii="Arial" w:hAnsi="Arial" w:cs="Arial"/>
          <w:sz w:val="22"/>
          <w:szCs w:val="22"/>
        </w:rPr>
        <w:t>non-Indigenous</w:t>
      </w:r>
      <w:r w:rsidRPr="005E6149">
        <w:rPr>
          <w:rFonts w:ascii="Arial" w:hAnsi="Arial" w:cs="Arial"/>
          <w:sz w:val="22"/>
          <w:szCs w:val="22"/>
        </w:rPr>
        <w:t xml:space="preserve"> patients</w:t>
      </w:r>
      <w:r w:rsidR="00D873D2">
        <w:rPr>
          <w:rFonts w:ascii="Arial" w:hAnsi="Arial" w:cs="Arial"/>
          <w:sz w:val="22"/>
          <w:szCs w:val="22"/>
        </w:rPr>
        <w:t xml:space="preserve">. </w:t>
      </w:r>
      <w:r w:rsidRPr="005E6149">
        <w:rPr>
          <w:rFonts w:ascii="Arial" w:hAnsi="Arial" w:cs="Arial"/>
          <w:sz w:val="22"/>
          <w:szCs w:val="22"/>
        </w:rPr>
        <w:t>Further it supports the findings of the literature review and the feedback from clinicians regarding the impact of diagnostics on patient cost profiles</w:t>
      </w:r>
      <w:r w:rsidR="00D873D2">
        <w:rPr>
          <w:rFonts w:ascii="Arial" w:hAnsi="Arial" w:cs="Arial"/>
          <w:sz w:val="22"/>
          <w:szCs w:val="22"/>
        </w:rPr>
        <w:t xml:space="preserve">. </w:t>
      </w:r>
      <w:r w:rsidRPr="005E6149">
        <w:rPr>
          <w:rFonts w:ascii="Arial" w:hAnsi="Arial" w:cs="Arial"/>
          <w:sz w:val="22"/>
          <w:szCs w:val="22"/>
        </w:rPr>
        <w:t xml:space="preserve">Whilst this example on its own does not address the conjecture of clinicians that Indigenous patients consume higher levels of diagnostics, it does add weight to the need to undertake further investigative work that takes data from feeder systems and analyses the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of patients by patient care type, AR-DRG and Indigenous status. </w:t>
      </w:r>
    </w:p>
    <w:p w:rsidR="00882EC6" w:rsidRPr="005E6149" w:rsidRDefault="00882EC6" w:rsidP="00882BC0">
      <w:pPr>
        <w:spacing w:before="120" w:after="120"/>
        <w:rPr>
          <w:rFonts w:ascii="Arial" w:hAnsi="Arial" w:cs="Arial"/>
          <w:sz w:val="22"/>
          <w:szCs w:val="22"/>
        </w:rPr>
      </w:pPr>
    </w:p>
    <w:p w:rsidR="00FB23C4" w:rsidRPr="005E6149" w:rsidRDefault="00FB23C4" w:rsidP="00FB23C4">
      <w:pPr>
        <w:spacing w:before="120" w:after="120"/>
        <w:rPr>
          <w:rFonts w:ascii="Arial" w:hAnsi="Arial" w:cs="Arial"/>
          <w:sz w:val="22"/>
          <w:szCs w:val="22"/>
        </w:rPr>
        <w:sectPr w:rsidR="00FB23C4" w:rsidRPr="005E6149" w:rsidSect="00F413A5">
          <w:pgSz w:w="15840" w:h="12240" w:orient="landscape"/>
          <w:pgMar w:top="1800" w:right="1440" w:bottom="1800" w:left="1440" w:header="720" w:footer="720" w:gutter="0"/>
          <w:cols w:space="720"/>
          <w:docGrid w:linePitch="360"/>
        </w:sectPr>
      </w:pPr>
    </w:p>
    <w:p w:rsidR="004B516C" w:rsidRPr="00FD775F" w:rsidRDefault="004B516C" w:rsidP="00287791">
      <w:pPr>
        <w:pStyle w:val="Heading1"/>
        <w:ind w:left="0"/>
      </w:pPr>
      <w:bookmarkStart w:id="59" w:name="_Toc278480628"/>
      <w:bookmarkStart w:id="60" w:name="_Toc426117642"/>
      <w:r w:rsidRPr="00FD775F">
        <w:lastRenderedPageBreak/>
        <w:t xml:space="preserve">Identifying a Cost Differential – </w:t>
      </w:r>
      <w:proofErr w:type="spellStart"/>
      <w:r w:rsidR="00190E37">
        <w:t>Subacute</w:t>
      </w:r>
      <w:proofErr w:type="spellEnd"/>
      <w:r w:rsidRPr="00FD775F">
        <w:t xml:space="preserve"> Admitted Services</w:t>
      </w:r>
      <w:bookmarkEnd w:id="59"/>
      <w:bookmarkEnd w:id="60"/>
    </w:p>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 xml:space="preserve">Trimming processes were applied to the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dataset using the following criteria:</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Filtering of all records where the Indigenous status was coded ‘9’ – not stated</w:t>
      </w:r>
      <w:r w:rsidR="008116FD" w:rsidRPr="005E6149">
        <w:rPr>
          <w:rFonts w:ascii="Arial" w:hAnsi="Arial" w:cs="Arial"/>
          <w:sz w:val="22"/>
          <w:szCs w:val="22"/>
        </w:rPr>
        <w:t>;</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Filtering of all records where the Indigenous status was blank or missing</w:t>
      </w:r>
      <w:r w:rsidR="008116FD" w:rsidRPr="005E6149">
        <w:rPr>
          <w:rFonts w:ascii="Arial" w:hAnsi="Arial" w:cs="Arial"/>
          <w:sz w:val="22"/>
          <w:szCs w:val="22"/>
        </w:rPr>
        <w:t>;</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Filtering of all records that were identified as being product type:</w:t>
      </w:r>
    </w:p>
    <w:p w:rsidR="004B516C" w:rsidRPr="005E6149" w:rsidRDefault="004B516C" w:rsidP="00E86862">
      <w:pPr>
        <w:pStyle w:val="ListParagraph"/>
        <w:numPr>
          <w:ilvl w:val="1"/>
          <w:numId w:val="31"/>
        </w:numPr>
        <w:spacing w:before="120" w:after="120"/>
        <w:rPr>
          <w:rFonts w:ascii="Arial" w:hAnsi="Arial" w:cs="Arial"/>
          <w:sz w:val="22"/>
          <w:szCs w:val="22"/>
        </w:rPr>
      </w:pPr>
      <w:r w:rsidRPr="005E6149">
        <w:rPr>
          <w:rFonts w:ascii="Arial" w:hAnsi="Arial" w:cs="Arial"/>
          <w:sz w:val="22"/>
          <w:szCs w:val="22"/>
        </w:rPr>
        <w:t>Acute care</w:t>
      </w:r>
      <w:r w:rsidR="008116FD" w:rsidRPr="005E6149">
        <w:rPr>
          <w:rFonts w:ascii="Arial" w:hAnsi="Arial" w:cs="Arial"/>
          <w:sz w:val="22"/>
          <w:szCs w:val="22"/>
        </w:rPr>
        <w:t>;</w:t>
      </w:r>
    </w:p>
    <w:p w:rsidR="004B516C" w:rsidRPr="005E6149" w:rsidRDefault="004B516C" w:rsidP="00E86862">
      <w:pPr>
        <w:pStyle w:val="ListParagraph"/>
        <w:numPr>
          <w:ilvl w:val="1"/>
          <w:numId w:val="31"/>
        </w:numPr>
        <w:spacing w:before="120" w:after="120"/>
        <w:rPr>
          <w:rFonts w:ascii="Arial" w:hAnsi="Arial" w:cs="Arial"/>
          <w:sz w:val="22"/>
          <w:szCs w:val="22"/>
        </w:rPr>
      </w:pPr>
      <w:r w:rsidRPr="005E6149">
        <w:rPr>
          <w:rFonts w:ascii="Arial" w:hAnsi="Arial" w:cs="Arial"/>
          <w:sz w:val="22"/>
          <w:szCs w:val="22"/>
        </w:rPr>
        <w:t>Newborn</w:t>
      </w:r>
      <w:r w:rsidR="008116FD" w:rsidRPr="005E6149">
        <w:rPr>
          <w:rFonts w:ascii="Arial" w:hAnsi="Arial" w:cs="Arial"/>
          <w:sz w:val="22"/>
          <w:szCs w:val="22"/>
        </w:rPr>
        <w:t>;</w:t>
      </w:r>
    </w:p>
    <w:p w:rsidR="004B516C" w:rsidRPr="005E6149" w:rsidRDefault="004B516C" w:rsidP="00E86862">
      <w:pPr>
        <w:pStyle w:val="ListParagraph"/>
        <w:numPr>
          <w:ilvl w:val="1"/>
          <w:numId w:val="31"/>
        </w:numPr>
        <w:spacing w:before="120" w:after="120"/>
        <w:rPr>
          <w:rFonts w:ascii="Arial" w:hAnsi="Arial" w:cs="Arial"/>
          <w:sz w:val="22"/>
          <w:szCs w:val="22"/>
        </w:rPr>
      </w:pPr>
      <w:r w:rsidRPr="005E6149">
        <w:rPr>
          <w:rFonts w:ascii="Arial" w:hAnsi="Arial" w:cs="Arial"/>
          <w:sz w:val="22"/>
          <w:szCs w:val="22"/>
        </w:rPr>
        <w:t>Organ procurement</w:t>
      </w:r>
      <w:r w:rsidR="008116FD" w:rsidRPr="005E6149">
        <w:rPr>
          <w:rFonts w:ascii="Arial" w:hAnsi="Arial" w:cs="Arial"/>
          <w:sz w:val="22"/>
          <w:szCs w:val="22"/>
        </w:rPr>
        <w:t>;</w:t>
      </w:r>
    </w:p>
    <w:p w:rsidR="004B516C" w:rsidRPr="005E6149" w:rsidRDefault="004B516C" w:rsidP="00E86862">
      <w:pPr>
        <w:pStyle w:val="ListParagraph"/>
        <w:numPr>
          <w:ilvl w:val="1"/>
          <w:numId w:val="31"/>
        </w:numPr>
        <w:spacing w:before="120" w:after="120"/>
        <w:rPr>
          <w:rFonts w:ascii="Arial" w:hAnsi="Arial" w:cs="Arial"/>
          <w:sz w:val="22"/>
          <w:szCs w:val="22"/>
        </w:rPr>
      </w:pPr>
      <w:r w:rsidRPr="005E6149">
        <w:rPr>
          <w:rFonts w:ascii="Arial" w:hAnsi="Arial" w:cs="Arial"/>
          <w:sz w:val="22"/>
          <w:szCs w:val="22"/>
        </w:rPr>
        <w:t>Teaching</w:t>
      </w:r>
      <w:r w:rsidR="008116FD" w:rsidRPr="005E6149">
        <w:rPr>
          <w:rFonts w:ascii="Arial" w:hAnsi="Arial" w:cs="Arial"/>
          <w:sz w:val="22"/>
          <w:szCs w:val="22"/>
        </w:rPr>
        <w:t>; and</w:t>
      </w:r>
    </w:p>
    <w:p w:rsidR="004B516C" w:rsidRPr="005E6149" w:rsidRDefault="004B516C" w:rsidP="00E86862">
      <w:pPr>
        <w:pStyle w:val="ListParagraph"/>
        <w:numPr>
          <w:ilvl w:val="1"/>
          <w:numId w:val="31"/>
        </w:numPr>
        <w:spacing w:before="120" w:after="120"/>
        <w:rPr>
          <w:rFonts w:ascii="Arial" w:hAnsi="Arial" w:cs="Arial"/>
          <w:sz w:val="22"/>
          <w:szCs w:val="22"/>
        </w:rPr>
      </w:pPr>
      <w:r w:rsidRPr="005E6149">
        <w:rPr>
          <w:rFonts w:ascii="Arial" w:hAnsi="Arial" w:cs="Arial"/>
          <w:sz w:val="22"/>
          <w:szCs w:val="22"/>
        </w:rPr>
        <w:t>Boarder</w:t>
      </w:r>
      <w:r w:rsidR="008116FD" w:rsidRPr="005E6149">
        <w:rPr>
          <w:rFonts w:ascii="Arial" w:hAnsi="Arial" w:cs="Arial"/>
          <w:sz w:val="22"/>
          <w:szCs w:val="22"/>
        </w:rPr>
        <w:t>.</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Filtering of all records where product type was missing</w:t>
      </w:r>
      <w:r w:rsidR="008116FD" w:rsidRPr="005E6149">
        <w:rPr>
          <w:rFonts w:ascii="Arial" w:hAnsi="Arial" w:cs="Arial"/>
          <w:sz w:val="22"/>
          <w:szCs w:val="22"/>
        </w:rPr>
        <w:t>;</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Trimming all records where the total cost of service delivery was less than $10</w:t>
      </w:r>
      <w:r w:rsidR="008116FD" w:rsidRPr="005E6149">
        <w:rPr>
          <w:rFonts w:ascii="Arial" w:hAnsi="Arial" w:cs="Arial"/>
          <w:sz w:val="22"/>
          <w:szCs w:val="22"/>
        </w:rPr>
        <w:t>; and</w:t>
      </w:r>
    </w:p>
    <w:p w:rsidR="004B516C" w:rsidRPr="005E6149" w:rsidRDefault="004B516C" w:rsidP="00E86862">
      <w:pPr>
        <w:pStyle w:val="ListParagraph"/>
        <w:numPr>
          <w:ilvl w:val="0"/>
          <w:numId w:val="31"/>
        </w:numPr>
        <w:spacing w:before="120" w:after="120"/>
        <w:rPr>
          <w:rFonts w:ascii="Arial" w:hAnsi="Arial" w:cs="Arial"/>
          <w:sz w:val="22"/>
          <w:szCs w:val="22"/>
        </w:rPr>
      </w:pPr>
      <w:r w:rsidRPr="005E6149">
        <w:rPr>
          <w:rFonts w:ascii="Arial" w:hAnsi="Arial" w:cs="Arial"/>
          <w:sz w:val="22"/>
          <w:szCs w:val="22"/>
        </w:rPr>
        <w:t>Trimming all records where the total cost of service delivery exceeded the mean by three standard deviations (i.e. any record with a cost in excess of $106,27</w:t>
      </w:r>
      <w:r w:rsidR="00DF026E" w:rsidRPr="005E6149">
        <w:rPr>
          <w:rFonts w:ascii="Arial" w:hAnsi="Arial" w:cs="Arial"/>
          <w:sz w:val="22"/>
          <w:szCs w:val="22"/>
        </w:rPr>
        <w:t>3</w:t>
      </w:r>
      <w:r w:rsidRPr="005E6149">
        <w:rPr>
          <w:rFonts w:ascii="Arial" w:hAnsi="Arial" w:cs="Arial"/>
          <w:sz w:val="22"/>
          <w:szCs w:val="22"/>
        </w:rPr>
        <w:t>).</w:t>
      </w:r>
    </w:p>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 xml:space="preserve">The original Round 17 (2012/13) NHCDC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dataset of 197,997 records was trimmed to 165,112 records</w:t>
      </w:r>
      <w:r w:rsidR="00D873D2">
        <w:rPr>
          <w:rFonts w:ascii="Arial" w:hAnsi="Arial" w:cs="Arial"/>
          <w:sz w:val="22"/>
          <w:szCs w:val="22"/>
        </w:rPr>
        <w:t xml:space="preserve">. </w:t>
      </w:r>
      <w:r w:rsidRPr="005E6149">
        <w:rPr>
          <w:rFonts w:ascii="Arial" w:hAnsi="Arial" w:cs="Arial"/>
          <w:sz w:val="22"/>
          <w:szCs w:val="22"/>
        </w:rPr>
        <w:t>The trimmed dataset reported an average cost of $11,906 and a standard deviation of $14,410 (</w:t>
      </w:r>
      <w:r w:rsidR="0062298C">
        <w:rPr>
          <w:rFonts w:ascii="Arial" w:hAnsi="Arial" w:cs="Arial"/>
          <w:sz w:val="22"/>
          <w:szCs w:val="22"/>
        </w:rPr>
        <w:t>Table</w:t>
      </w:r>
      <w:r w:rsidRPr="005E6149">
        <w:rPr>
          <w:rFonts w:ascii="Arial" w:hAnsi="Arial" w:cs="Arial"/>
          <w:sz w:val="22"/>
          <w:szCs w:val="22"/>
        </w:rPr>
        <w:t xml:space="preserve"> </w:t>
      </w:r>
      <w:r w:rsidR="00DF026E" w:rsidRPr="005E6149">
        <w:rPr>
          <w:rFonts w:ascii="Arial" w:hAnsi="Arial" w:cs="Arial"/>
          <w:sz w:val="22"/>
          <w:szCs w:val="22"/>
        </w:rPr>
        <w:t>7</w:t>
      </w:r>
      <w:r w:rsidRPr="005E6149">
        <w:rPr>
          <w:rFonts w:ascii="Arial" w:hAnsi="Arial" w:cs="Arial"/>
          <w:sz w:val="22"/>
          <w:szCs w:val="22"/>
        </w:rPr>
        <w:t>.1).</w:t>
      </w:r>
    </w:p>
    <w:p w:rsidR="00DF026E" w:rsidRPr="005E6149" w:rsidRDefault="00DF026E" w:rsidP="00DF026E">
      <w:pPr>
        <w:pStyle w:val="TableCaption"/>
        <w:rPr>
          <w:rFonts w:ascii="Arial" w:hAnsi="Arial" w:cs="Arial"/>
          <w:sz w:val="18"/>
          <w:szCs w:val="18"/>
        </w:rPr>
      </w:pPr>
      <w:bookmarkStart w:id="61" w:name="_Toc278480675"/>
      <w:r w:rsidRPr="005E6149">
        <w:rPr>
          <w:rFonts w:ascii="Arial" w:hAnsi="Arial" w:cs="Arial"/>
          <w:sz w:val="18"/>
          <w:szCs w:val="18"/>
        </w:rPr>
        <w:t xml:space="preserve">Table 7.1: Summary Cost Statistics - Final trimmed </w:t>
      </w:r>
      <w:proofErr w:type="gramStart"/>
      <w:r w:rsidR="00190E37">
        <w:rPr>
          <w:rFonts w:ascii="Arial" w:hAnsi="Arial" w:cs="Arial"/>
          <w:sz w:val="18"/>
          <w:szCs w:val="18"/>
        </w:rPr>
        <w:t>Subacute</w:t>
      </w:r>
      <w:proofErr w:type="gramEnd"/>
      <w:r w:rsidRPr="005E6149">
        <w:rPr>
          <w:rFonts w:ascii="Arial" w:hAnsi="Arial" w:cs="Arial"/>
          <w:sz w:val="18"/>
          <w:szCs w:val="18"/>
        </w:rPr>
        <w:t xml:space="preserve"> dataset Round 17 NHCDC (2012/13)</w:t>
      </w:r>
      <w:bookmarkEnd w:id="61"/>
      <w:r w:rsidRPr="005E6149">
        <w:rPr>
          <w:rFonts w:ascii="Arial" w:hAnsi="Arial" w:cs="Arial"/>
          <w:sz w:val="18"/>
          <w:szCs w:val="18"/>
        </w:rPr>
        <w:t xml:space="preserve"> </w:t>
      </w:r>
    </w:p>
    <w:tbl>
      <w:tblPr>
        <w:tblW w:w="7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1: Summary Cost Statistics "/>
      </w:tblPr>
      <w:tblGrid>
        <w:gridCol w:w="2061"/>
        <w:gridCol w:w="1239"/>
        <w:gridCol w:w="1290"/>
        <w:gridCol w:w="1290"/>
        <w:gridCol w:w="1290"/>
      </w:tblGrid>
      <w:tr w:rsidR="00430818" w:rsidRPr="002019C1" w:rsidTr="00DC14D9">
        <w:trPr>
          <w:trHeight w:val="320"/>
          <w:jc w:val="center"/>
        </w:trPr>
        <w:tc>
          <w:tcPr>
            <w:tcW w:w="7170" w:type="dxa"/>
            <w:gridSpan w:val="5"/>
            <w:shd w:val="clear" w:color="000000" w:fill="CCCCCC"/>
          </w:tcPr>
          <w:p w:rsidR="00430818" w:rsidRPr="00C628C4" w:rsidRDefault="00430818" w:rsidP="00430818">
            <w:pPr>
              <w:jc w:val="cente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 xml:space="preserve">Round 17 Trimmed </w:t>
            </w:r>
            <w:r w:rsidR="00190E37">
              <w:rPr>
                <w:rFonts w:asciiTheme="majorHAnsi" w:eastAsia="Times New Roman" w:hAnsiTheme="majorHAnsi" w:cs="Arial"/>
                <w:b/>
                <w:bCs/>
                <w:color w:val="000000" w:themeColor="text1"/>
                <w:sz w:val="20"/>
                <w:szCs w:val="20"/>
                <w:lang w:val="en-AU"/>
              </w:rPr>
              <w:t>Subacute</w:t>
            </w:r>
            <w:r w:rsidRPr="00C628C4">
              <w:rPr>
                <w:rFonts w:asciiTheme="majorHAnsi" w:eastAsia="Times New Roman" w:hAnsiTheme="majorHAnsi" w:cs="Arial"/>
                <w:b/>
                <w:bCs/>
                <w:color w:val="000000" w:themeColor="text1"/>
                <w:sz w:val="20"/>
                <w:szCs w:val="20"/>
                <w:lang w:val="en-AU"/>
              </w:rPr>
              <w:t xml:space="preserve"> dataset</w:t>
            </w:r>
          </w:p>
        </w:tc>
      </w:tr>
      <w:tr w:rsidR="00430818" w:rsidRPr="002019C1" w:rsidTr="00DC14D9">
        <w:trPr>
          <w:trHeight w:val="320"/>
          <w:jc w:val="center"/>
        </w:trPr>
        <w:tc>
          <w:tcPr>
            <w:tcW w:w="2061" w:type="dxa"/>
            <w:shd w:val="clear" w:color="000000" w:fill="CCCCCC"/>
            <w:vAlign w:val="center"/>
            <w:hideMark/>
          </w:tcPr>
          <w:p w:rsidR="00430818" w:rsidRPr="00C628C4" w:rsidRDefault="00430818" w:rsidP="004B516C">
            <w:pP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Indigenous Status</w:t>
            </w:r>
          </w:p>
        </w:tc>
        <w:tc>
          <w:tcPr>
            <w:tcW w:w="1239" w:type="dxa"/>
            <w:shd w:val="clear" w:color="000000" w:fill="CCCCCC"/>
            <w:vAlign w:val="center"/>
            <w:hideMark/>
          </w:tcPr>
          <w:p w:rsidR="00430818" w:rsidRPr="00C628C4" w:rsidRDefault="00430818" w:rsidP="004B516C">
            <w:pPr>
              <w:jc w:val="right"/>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Number of Records</w:t>
            </w:r>
          </w:p>
        </w:tc>
        <w:tc>
          <w:tcPr>
            <w:tcW w:w="1290" w:type="dxa"/>
            <w:shd w:val="clear" w:color="000000" w:fill="CCCCCC"/>
            <w:vAlign w:val="center"/>
            <w:hideMark/>
          </w:tcPr>
          <w:p w:rsidR="00430818" w:rsidRPr="00C628C4" w:rsidRDefault="00430818" w:rsidP="004B516C">
            <w:pPr>
              <w:jc w:val="right"/>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Mean</w:t>
            </w:r>
          </w:p>
        </w:tc>
        <w:tc>
          <w:tcPr>
            <w:tcW w:w="1290" w:type="dxa"/>
            <w:shd w:val="clear" w:color="000000" w:fill="CCCCCC"/>
            <w:vAlign w:val="center"/>
            <w:hideMark/>
          </w:tcPr>
          <w:p w:rsidR="00430818" w:rsidRPr="00C628C4" w:rsidRDefault="00430818" w:rsidP="004B516C">
            <w:pPr>
              <w:jc w:val="right"/>
              <w:rPr>
                <w:rFonts w:asciiTheme="majorHAnsi" w:eastAsia="Times New Roman" w:hAnsiTheme="majorHAnsi" w:cs="Arial"/>
                <w:b/>
                <w:bCs/>
                <w:color w:val="000000" w:themeColor="text1"/>
                <w:sz w:val="20"/>
                <w:szCs w:val="20"/>
                <w:lang w:val="en-AU"/>
              </w:rPr>
            </w:pPr>
            <w:proofErr w:type="spellStart"/>
            <w:r w:rsidRPr="00C628C4">
              <w:rPr>
                <w:rFonts w:asciiTheme="majorHAnsi" w:eastAsia="Times New Roman" w:hAnsiTheme="majorHAnsi" w:cs="Arial"/>
                <w:b/>
                <w:bCs/>
                <w:color w:val="000000" w:themeColor="text1"/>
                <w:sz w:val="20"/>
                <w:szCs w:val="20"/>
                <w:lang w:val="en-AU"/>
              </w:rPr>
              <w:t>Std</w:t>
            </w:r>
            <w:proofErr w:type="spellEnd"/>
            <w:r w:rsidRPr="00C628C4">
              <w:rPr>
                <w:rFonts w:asciiTheme="majorHAnsi" w:eastAsia="Times New Roman" w:hAnsiTheme="majorHAnsi" w:cs="Arial"/>
                <w:b/>
                <w:bCs/>
                <w:color w:val="000000" w:themeColor="text1"/>
                <w:sz w:val="20"/>
                <w:szCs w:val="20"/>
                <w:lang w:val="en-AU"/>
              </w:rPr>
              <w:t xml:space="preserve"> Dev</w:t>
            </w:r>
          </w:p>
        </w:tc>
        <w:tc>
          <w:tcPr>
            <w:tcW w:w="1290" w:type="dxa"/>
            <w:shd w:val="clear" w:color="000000" w:fill="CCCCCC"/>
            <w:vAlign w:val="center"/>
            <w:hideMark/>
          </w:tcPr>
          <w:p w:rsidR="00430818" w:rsidRPr="00C628C4" w:rsidRDefault="00430818" w:rsidP="004B516C">
            <w:pPr>
              <w:jc w:val="right"/>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Mode</w:t>
            </w:r>
          </w:p>
        </w:tc>
      </w:tr>
      <w:tr w:rsidR="00430818" w:rsidRPr="002019C1" w:rsidTr="00DC14D9">
        <w:trPr>
          <w:trHeight w:val="300"/>
          <w:jc w:val="center"/>
        </w:trPr>
        <w:tc>
          <w:tcPr>
            <w:tcW w:w="2061" w:type="dxa"/>
            <w:shd w:val="clear" w:color="auto" w:fill="auto"/>
            <w:noWrap/>
            <w:vAlign w:val="center"/>
            <w:hideMark/>
          </w:tcPr>
          <w:p w:rsidR="00430818" w:rsidRPr="00C628C4" w:rsidRDefault="00430818" w:rsidP="004B516C">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Indigenous</w:t>
            </w:r>
          </w:p>
        </w:tc>
        <w:tc>
          <w:tcPr>
            <w:tcW w:w="1239" w:type="dxa"/>
            <w:shd w:val="clear" w:color="auto" w:fill="auto"/>
            <w:noWrap/>
            <w:vAlign w:val="center"/>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3,023</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$14,876.46</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$18,949.59</w:t>
            </w:r>
          </w:p>
        </w:tc>
        <w:tc>
          <w:tcPr>
            <w:tcW w:w="1290" w:type="dxa"/>
            <w:shd w:val="clear" w:color="auto" w:fill="auto"/>
            <w:noWrap/>
            <w:vAlign w:val="center"/>
            <w:hideMark/>
          </w:tcPr>
          <w:p w:rsidR="00430818" w:rsidRPr="00C628C4" w:rsidRDefault="00430818"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$1,015</w:t>
            </w:r>
          </w:p>
        </w:tc>
      </w:tr>
      <w:tr w:rsidR="00430818" w:rsidRPr="002019C1" w:rsidTr="00DC14D9">
        <w:trPr>
          <w:trHeight w:val="300"/>
          <w:jc w:val="center"/>
        </w:trPr>
        <w:tc>
          <w:tcPr>
            <w:tcW w:w="2061" w:type="dxa"/>
            <w:shd w:val="clear" w:color="auto" w:fill="auto"/>
            <w:noWrap/>
            <w:vAlign w:val="center"/>
            <w:hideMark/>
          </w:tcPr>
          <w:p w:rsidR="00430818" w:rsidRPr="00C628C4" w:rsidRDefault="007A097D" w:rsidP="004B516C">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Non-Indigenous</w:t>
            </w:r>
          </w:p>
        </w:tc>
        <w:tc>
          <w:tcPr>
            <w:tcW w:w="1239" w:type="dxa"/>
            <w:shd w:val="clear" w:color="auto" w:fill="auto"/>
            <w:noWrap/>
            <w:vAlign w:val="center"/>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162,089</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$11,850.60</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$14,306.03</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$493</w:t>
            </w:r>
          </w:p>
        </w:tc>
      </w:tr>
      <w:tr w:rsidR="00430818" w:rsidRPr="002019C1" w:rsidTr="00DC14D9">
        <w:trPr>
          <w:trHeight w:val="320"/>
          <w:jc w:val="center"/>
        </w:trPr>
        <w:tc>
          <w:tcPr>
            <w:tcW w:w="2061" w:type="dxa"/>
            <w:shd w:val="clear" w:color="auto" w:fill="auto"/>
            <w:noWrap/>
            <w:vAlign w:val="center"/>
            <w:hideMark/>
          </w:tcPr>
          <w:p w:rsidR="00430818" w:rsidRPr="00C628C4" w:rsidRDefault="00430818" w:rsidP="004B516C">
            <w:pP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Total</w:t>
            </w:r>
          </w:p>
        </w:tc>
        <w:tc>
          <w:tcPr>
            <w:tcW w:w="1239" w:type="dxa"/>
            <w:shd w:val="clear" w:color="auto" w:fill="auto"/>
            <w:noWrap/>
            <w:vAlign w:val="center"/>
            <w:hideMark/>
          </w:tcPr>
          <w:p w:rsidR="00430818" w:rsidRPr="00C628C4" w:rsidRDefault="00430818"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165,112</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$11,906.00</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$14,410.15</w:t>
            </w:r>
          </w:p>
        </w:tc>
        <w:tc>
          <w:tcPr>
            <w:tcW w:w="1290" w:type="dxa"/>
            <w:shd w:val="clear" w:color="auto" w:fill="auto"/>
            <w:noWrap/>
            <w:vAlign w:val="center"/>
            <w:hideMark/>
          </w:tcPr>
          <w:p w:rsidR="00430818" w:rsidRPr="00C628C4" w:rsidRDefault="00430818" w:rsidP="004B516C">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$493.87</w:t>
            </w:r>
          </w:p>
        </w:tc>
      </w:tr>
    </w:tbl>
    <w:p w:rsidR="004B516C" w:rsidRPr="005E6149" w:rsidRDefault="00430818" w:rsidP="004B516C">
      <w:pPr>
        <w:spacing w:before="120" w:after="120"/>
        <w:rPr>
          <w:rFonts w:ascii="Arial" w:hAnsi="Arial" w:cs="Arial"/>
          <w:sz w:val="22"/>
          <w:szCs w:val="22"/>
        </w:rPr>
      </w:pPr>
      <w:r>
        <w:rPr>
          <w:rFonts w:ascii="Arial" w:hAnsi="Arial" w:cs="Arial"/>
          <w:sz w:val="22"/>
          <w:szCs w:val="22"/>
        </w:rPr>
        <w:t>T</w:t>
      </w:r>
      <w:r w:rsidR="004B516C" w:rsidRPr="005E6149">
        <w:rPr>
          <w:rFonts w:ascii="Arial" w:hAnsi="Arial" w:cs="Arial"/>
          <w:sz w:val="22"/>
          <w:szCs w:val="22"/>
        </w:rPr>
        <w:t xml:space="preserve">he summary data presented above </w:t>
      </w:r>
      <w:r w:rsidR="003955DE">
        <w:rPr>
          <w:rFonts w:ascii="Arial" w:hAnsi="Arial" w:cs="Arial"/>
          <w:sz w:val="22"/>
          <w:szCs w:val="22"/>
        </w:rPr>
        <w:t xml:space="preserve">shows </w:t>
      </w:r>
      <w:r w:rsidR="004B516C" w:rsidRPr="005E6149">
        <w:rPr>
          <w:rFonts w:ascii="Arial" w:hAnsi="Arial" w:cs="Arial"/>
          <w:sz w:val="22"/>
          <w:szCs w:val="22"/>
        </w:rPr>
        <w:t xml:space="preserve">that Indigenous </w:t>
      </w:r>
      <w:proofErr w:type="spellStart"/>
      <w:r w:rsidR="00190E37">
        <w:rPr>
          <w:rFonts w:ascii="Arial" w:hAnsi="Arial" w:cs="Arial"/>
          <w:sz w:val="22"/>
          <w:szCs w:val="22"/>
        </w:rPr>
        <w:t>subacute</w:t>
      </w:r>
      <w:proofErr w:type="spellEnd"/>
      <w:r w:rsidR="004B516C" w:rsidRPr="005E6149">
        <w:rPr>
          <w:rFonts w:ascii="Arial" w:hAnsi="Arial" w:cs="Arial"/>
          <w:sz w:val="22"/>
          <w:szCs w:val="22"/>
        </w:rPr>
        <w:t xml:space="preserve"> patients are more expensive to treat than </w:t>
      </w:r>
      <w:r w:rsidR="007A097D">
        <w:rPr>
          <w:rFonts w:ascii="Arial" w:hAnsi="Arial" w:cs="Arial"/>
          <w:sz w:val="22"/>
          <w:szCs w:val="22"/>
        </w:rPr>
        <w:t>non-Indigenous</w:t>
      </w:r>
      <w:r w:rsidR="004B516C" w:rsidRPr="005E6149">
        <w:rPr>
          <w:rFonts w:ascii="Arial" w:hAnsi="Arial" w:cs="Arial"/>
          <w:sz w:val="22"/>
          <w:szCs w:val="22"/>
        </w:rPr>
        <w:t xml:space="preserve"> </w:t>
      </w:r>
      <w:proofErr w:type="spellStart"/>
      <w:r w:rsidR="00190E37">
        <w:rPr>
          <w:rFonts w:ascii="Arial" w:hAnsi="Arial" w:cs="Arial"/>
          <w:sz w:val="22"/>
          <w:szCs w:val="22"/>
        </w:rPr>
        <w:t>subacute</w:t>
      </w:r>
      <w:proofErr w:type="spellEnd"/>
      <w:r w:rsidR="004B516C" w:rsidRPr="005E6149">
        <w:rPr>
          <w:rFonts w:ascii="Arial" w:hAnsi="Arial" w:cs="Arial"/>
          <w:sz w:val="22"/>
          <w:szCs w:val="22"/>
        </w:rPr>
        <w:t xml:space="preserve"> patients</w:t>
      </w:r>
      <w:r w:rsidR="00D873D2">
        <w:rPr>
          <w:rFonts w:ascii="Arial" w:hAnsi="Arial" w:cs="Arial"/>
          <w:sz w:val="22"/>
          <w:szCs w:val="22"/>
        </w:rPr>
        <w:t xml:space="preserve">. </w:t>
      </w:r>
      <w:r w:rsidR="004B516C" w:rsidRPr="005E6149">
        <w:rPr>
          <w:rFonts w:ascii="Arial" w:hAnsi="Arial" w:cs="Arial"/>
          <w:sz w:val="22"/>
          <w:szCs w:val="22"/>
        </w:rPr>
        <w:t xml:space="preserve">A review of the cost distributions at </w:t>
      </w:r>
      <w:r>
        <w:rPr>
          <w:rFonts w:ascii="Arial" w:hAnsi="Arial" w:cs="Arial"/>
          <w:sz w:val="22"/>
          <w:szCs w:val="22"/>
        </w:rPr>
        <w:t>product type, care type and sub and</w:t>
      </w:r>
      <w:r w:rsidR="004B516C" w:rsidRPr="005E6149">
        <w:rPr>
          <w:rFonts w:ascii="Arial" w:hAnsi="Arial" w:cs="Arial"/>
          <w:sz w:val="22"/>
          <w:szCs w:val="22"/>
        </w:rPr>
        <w:t xml:space="preserve"> </w:t>
      </w:r>
      <w:r w:rsidR="00F618BE">
        <w:rPr>
          <w:rFonts w:ascii="Arial" w:hAnsi="Arial" w:cs="Arial"/>
          <w:sz w:val="22"/>
          <w:szCs w:val="22"/>
        </w:rPr>
        <w:t>non</w:t>
      </w:r>
      <w:r w:rsidR="004B516C" w:rsidRPr="005E6149">
        <w:rPr>
          <w:rFonts w:ascii="Arial" w:hAnsi="Arial" w:cs="Arial"/>
          <w:sz w:val="22"/>
          <w:szCs w:val="22"/>
        </w:rPr>
        <w:t>-acute class (SNAP class) levels yield some variable results.</w:t>
      </w:r>
    </w:p>
    <w:p w:rsidR="004B516C" w:rsidRPr="00A46AE7" w:rsidRDefault="004B516C" w:rsidP="00A46AE7">
      <w:pPr>
        <w:pStyle w:val="Heading2"/>
        <w:keepLines w:val="0"/>
        <w:tabs>
          <w:tab w:val="left" w:pos="851"/>
        </w:tabs>
        <w:spacing w:before="360" w:after="240"/>
        <w:ind w:left="851" w:hanging="851"/>
        <w:rPr>
          <w:rFonts w:ascii="Arial" w:hAnsi="Arial" w:cs="Arial"/>
          <w:color w:val="548DD4" w:themeColor="text2" w:themeTint="99"/>
        </w:rPr>
      </w:pPr>
      <w:bookmarkStart w:id="62" w:name="_Toc278480629"/>
      <w:r w:rsidRPr="00A46AE7">
        <w:rPr>
          <w:rFonts w:ascii="Arial" w:hAnsi="Arial" w:cs="Arial"/>
          <w:color w:val="548DD4" w:themeColor="text2" w:themeTint="99"/>
        </w:rPr>
        <w:t xml:space="preserve">Statistical Analyses of the </w:t>
      </w:r>
      <w:proofErr w:type="spellStart"/>
      <w:r w:rsidR="00190E37">
        <w:rPr>
          <w:rFonts w:ascii="Arial" w:hAnsi="Arial" w:cs="Arial"/>
          <w:color w:val="548DD4" w:themeColor="text2" w:themeTint="99"/>
        </w:rPr>
        <w:t>Subacute</w:t>
      </w:r>
      <w:proofErr w:type="spellEnd"/>
      <w:r w:rsidRPr="00A46AE7">
        <w:rPr>
          <w:rFonts w:ascii="Arial" w:hAnsi="Arial" w:cs="Arial"/>
          <w:color w:val="548DD4" w:themeColor="text2" w:themeTint="99"/>
        </w:rPr>
        <w:t xml:space="preserve"> Datasets</w:t>
      </w:r>
      <w:bookmarkEnd w:id="62"/>
    </w:p>
    <w:p w:rsidR="004B516C" w:rsidRPr="005E6149" w:rsidRDefault="004B516C" w:rsidP="004B516C">
      <w:pPr>
        <w:spacing w:before="120" w:after="120"/>
        <w:rPr>
          <w:rFonts w:ascii="Arial" w:hAnsi="Arial" w:cs="Arial"/>
          <w:sz w:val="20"/>
          <w:szCs w:val="20"/>
        </w:rPr>
      </w:pPr>
      <w:r w:rsidRPr="005E6149">
        <w:rPr>
          <w:rFonts w:ascii="Arial" w:hAnsi="Arial" w:cs="Arial"/>
          <w:sz w:val="22"/>
          <w:szCs w:val="22"/>
        </w:rPr>
        <w:t xml:space="preserve">The null hypothesis that was tested assumed that there is no observable difference in the average cost of Indigenous patients and </w:t>
      </w:r>
      <w:r w:rsidR="007A097D">
        <w:rPr>
          <w:rFonts w:ascii="Arial" w:hAnsi="Arial" w:cs="Arial"/>
          <w:sz w:val="22"/>
          <w:szCs w:val="22"/>
        </w:rPr>
        <w:t>non-Indigenous</w:t>
      </w:r>
      <w:r w:rsidRPr="005E6149">
        <w:rPr>
          <w:rFonts w:ascii="Arial" w:hAnsi="Arial" w:cs="Arial"/>
          <w:sz w:val="22"/>
          <w:szCs w:val="22"/>
        </w:rPr>
        <w:t xml:space="preserve"> patients receiving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admitted service</w:t>
      </w:r>
      <w:r w:rsidR="00430818">
        <w:rPr>
          <w:rFonts w:ascii="Arial" w:hAnsi="Arial" w:cs="Arial"/>
          <w:sz w:val="22"/>
          <w:szCs w:val="22"/>
        </w:rPr>
        <w:t>s.</w:t>
      </w:r>
    </w:p>
    <w:p w:rsidR="004B516C" w:rsidRPr="00A46AE7" w:rsidRDefault="004B516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SNAP Analysis</w:t>
      </w:r>
    </w:p>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The majority of the SNAP classes had 5 or fewer Indigenous patients and as such made it difficult to draw any meaningful inferences from the resultant statistical outputs</w:t>
      </w:r>
      <w:r w:rsidR="00D873D2">
        <w:rPr>
          <w:rFonts w:ascii="Arial" w:hAnsi="Arial" w:cs="Arial"/>
          <w:sz w:val="22"/>
          <w:szCs w:val="22"/>
        </w:rPr>
        <w:t xml:space="preserve">. </w:t>
      </w:r>
      <w:r w:rsidRPr="005E6149">
        <w:rPr>
          <w:rFonts w:ascii="Arial" w:hAnsi="Arial" w:cs="Arial"/>
          <w:sz w:val="22"/>
          <w:szCs w:val="22"/>
        </w:rPr>
        <w:t xml:space="preserve">As </w:t>
      </w:r>
      <w:r w:rsidRPr="005E6149">
        <w:rPr>
          <w:rFonts w:ascii="Arial" w:hAnsi="Arial" w:cs="Arial"/>
          <w:sz w:val="22"/>
          <w:szCs w:val="22"/>
        </w:rPr>
        <w:lastRenderedPageBreak/>
        <w:t>such it was determined to focus the analysis on the higher levels of product type and care type.</w:t>
      </w:r>
    </w:p>
    <w:p w:rsidR="004B516C" w:rsidRPr="00A46AE7" w:rsidRDefault="004B516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Product Type Analysis</w:t>
      </w:r>
    </w:p>
    <w:p w:rsidR="004B516C" w:rsidRPr="005E6149" w:rsidRDefault="004B516C" w:rsidP="00EE4063">
      <w:pPr>
        <w:spacing w:before="120" w:after="120"/>
        <w:rPr>
          <w:rFonts w:ascii="Arial" w:eastAsia="Times New Roman" w:hAnsi="Arial" w:cs="Arial"/>
          <w:color w:val="000000"/>
          <w:sz w:val="20"/>
          <w:szCs w:val="20"/>
        </w:rPr>
      </w:pPr>
      <w:r w:rsidRPr="005E6149">
        <w:rPr>
          <w:rFonts w:ascii="Arial" w:hAnsi="Arial" w:cs="Arial"/>
          <w:sz w:val="22"/>
          <w:szCs w:val="22"/>
        </w:rPr>
        <w:t xml:space="preserve">The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dataset assigns each patient record to a product type</w:t>
      </w:r>
      <w:r w:rsidR="00D873D2">
        <w:rPr>
          <w:rFonts w:ascii="Arial" w:hAnsi="Arial" w:cs="Arial"/>
          <w:sz w:val="22"/>
          <w:szCs w:val="22"/>
        </w:rPr>
        <w:t xml:space="preserve">. </w:t>
      </w:r>
      <w:r w:rsidRPr="005E6149">
        <w:rPr>
          <w:rFonts w:ascii="Arial" w:hAnsi="Arial" w:cs="Arial"/>
          <w:sz w:val="22"/>
          <w:szCs w:val="22"/>
        </w:rPr>
        <w:t>The subset of products that formed the focus of this analysis related to the following:</w:t>
      </w:r>
      <w:r w:rsidRPr="005E6149">
        <w:rPr>
          <w:rFonts w:ascii="Arial" w:eastAsia="Times New Roman" w:hAnsi="Arial" w:cs="Arial"/>
          <w:color w:val="000000"/>
          <w:sz w:val="20"/>
          <w:szCs w:val="20"/>
        </w:rPr>
        <w:t xml:space="preserve"> </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RH – Rehabilitation</w:t>
      </w:r>
      <w:r w:rsidR="00975CC8" w:rsidRPr="005E6149">
        <w:rPr>
          <w:rFonts w:ascii="Arial" w:eastAsia="Times New Roman" w:hAnsi="Arial" w:cs="Arial"/>
          <w:color w:val="000000"/>
          <w:sz w:val="22"/>
          <w:szCs w:val="22"/>
          <w:lang w:val="en-AU"/>
        </w:rPr>
        <w:t>;</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PC – Palliative care</w:t>
      </w:r>
      <w:r w:rsidR="00975CC8" w:rsidRPr="005E6149">
        <w:rPr>
          <w:rFonts w:ascii="Arial" w:eastAsia="Times New Roman" w:hAnsi="Arial" w:cs="Arial"/>
          <w:color w:val="000000"/>
          <w:sz w:val="22"/>
          <w:szCs w:val="22"/>
          <w:lang w:val="en-AU"/>
        </w:rPr>
        <w:t>;</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GM – Geriatric Evaluation and Management</w:t>
      </w:r>
      <w:r w:rsidR="00975CC8" w:rsidRPr="005E6149">
        <w:rPr>
          <w:rFonts w:ascii="Arial" w:eastAsia="Times New Roman" w:hAnsi="Arial" w:cs="Arial"/>
          <w:color w:val="000000"/>
          <w:sz w:val="22"/>
          <w:szCs w:val="22"/>
          <w:lang w:val="en-AU"/>
        </w:rPr>
        <w:t>;</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PG – Psycho-Geriatric care</w:t>
      </w:r>
      <w:r w:rsidR="00975CC8" w:rsidRPr="005E6149">
        <w:rPr>
          <w:rFonts w:ascii="Arial" w:eastAsia="Times New Roman" w:hAnsi="Arial" w:cs="Arial"/>
          <w:color w:val="000000"/>
          <w:sz w:val="22"/>
          <w:szCs w:val="22"/>
          <w:lang w:val="en-AU"/>
        </w:rPr>
        <w:t>;</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MA – Maintenance</w:t>
      </w:r>
      <w:r w:rsidR="00975CC8" w:rsidRPr="005E6149">
        <w:rPr>
          <w:rFonts w:ascii="Arial" w:eastAsia="Times New Roman" w:hAnsi="Arial" w:cs="Arial"/>
          <w:color w:val="000000"/>
          <w:sz w:val="22"/>
          <w:szCs w:val="22"/>
          <w:lang w:val="en-AU"/>
        </w:rPr>
        <w:t>; and</w:t>
      </w:r>
    </w:p>
    <w:p w:rsidR="004B516C" w:rsidRPr="005E6149" w:rsidRDefault="004B516C" w:rsidP="00E86862">
      <w:pPr>
        <w:pStyle w:val="ListParagraph"/>
        <w:numPr>
          <w:ilvl w:val="0"/>
          <w:numId w:val="32"/>
        </w:numPr>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OA – Other Admitted Patient Care.</w:t>
      </w:r>
    </w:p>
    <w:p w:rsidR="004B516C" w:rsidRPr="005E6149" w:rsidRDefault="004B516C" w:rsidP="004B516C">
      <w:pPr>
        <w:spacing w:before="120" w:after="120"/>
        <w:rPr>
          <w:rFonts w:ascii="Arial" w:eastAsia="Times New Roman" w:hAnsi="Arial" w:cs="Arial"/>
          <w:color w:val="000000"/>
          <w:sz w:val="22"/>
          <w:szCs w:val="22"/>
          <w:lang w:val="en-AU"/>
        </w:rPr>
      </w:pPr>
      <w:r w:rsidRPr="005E6149">
        <w:rPr>
          <w:rFonts w:ascii="Arial" w:eastAsia="Times New Roman" w:hAnsi="Arial" w:cs="Arial"/>
          <w:color w:val="000000"/>
          <w:sz w:val="22"/>
          <w:szCs w:val="22"/>
          <w:lang w:val="en-AU"/>
        </w:rPr>
        <w:t>The highest populated product type is the rehabilitation category, with 89,977 separations</w:t>
      </w:r>
      <w:r w:rsidR="00D873D2">
        <w:rPr>
          <w:rFonts w:ascii="Arial" w:eastAsia="Times New Roman" w:hAnsi="Arial" w:cs="Arial"/>
          <w:color w:val="000000"/>
          <w:sz w:val="22"/>
          <w:szCs w:val="22"/>
          <w:lang w:val="en-AU"/>
        </w:rPr>
        <w:t xml:space="preserve">. </w:t>
      </w:r>
      <w:r w:rsidRPr="005E6149">
        <w:rPr>
          <w:rFonts w:ascii="Arial" w:eastAsia="Times New Roman" w:hAnsi="Arial" w:cs="Arial"/>
          <w:color w:val="000000"/>
          <w:sz w:val="22"/>
          <w:szCs w:val="22"/>
          <w:lang w:val="en-AU"/>
        </w:rPr>
        <w:t>The lowest populated product type related to Other Admitted Patient Care with 1,757 separations (</w:t>
      </w:r>
      <w:r w:rsidR="0062298C">
        <w:rPr>
          <w:rFonts w:ascii="Arial" w:eastAsia="Times New Roman" w:hAnsi="Arial" w:cs="Arial"/>
          <w:color w:val="000000"/>
          <w:sz w:val="22"/>
          <w:szCs w:val="22"/>
          <w:lang w:val="en-AU"/>
        </w:rPr>
        <w:t>Table</w:t>
      </w:r>
      <w:r w:rsidRPr="005E6149">
        <w:rPr>
          <w:rFonts w:ascii="Arial" w:eastAsia="Times New Roman" w:hAnsi="Arial" w:cs="Arial"/>
          <w:color w:val="000000"/>
          <w:sz w:val="22"/>
          <w:szCs w:val="22"/>
          <w:lang w:val="en-AU"/>
        </w:rPr>
        <w:t xml:space="preserve"> 2).</w:t>
      </w:r>
    </w:p>
    <w:p w:rsidR="004B516C" w:rsidRPr="005E6149" w:rsidRDefault="004B516C" w:rsidP="00430818">
      <w:pPr>
        <w:spacing w:before="120" w:after="120"/>
        <w:rPr>
          <w:rFonts w:ascii="Arial" w:eastAsia="Times New Roman" w:hAnsi="Arial" w:cs="Arial"/>
          <w:color w:val="000000"/>
          <w:sz w:val="22"/>
          <w:szCs w:val="22"/>
          <w:lang w:val="en-AU"/>
        </w:rPr>
        <w:sectPr w:rsidR="004B516C" w:rsidRPr="005E6149" w:rsidSect="004D21FA">
          <w:pgSz w:w="12240" w:h="15840"/>
          <w:pgMar w:top="1440" w:right="1800" w:bottom="1440" w:left="1800" w:header="720" w:footer="720" w:gutter="0"/>
          <w:cols w:space="720"/>
          <w:docGrid w:linePitch="360"/>
        </w:sectPr>
      </w:pPr>
      <w:r w:rsidRPr="005E6149">
        <w:rPr>
          <w:rFonts w:ascii="Arial" w:eastAsia="Times New Roman" w:hAnsi="Arial" w:cs="Arial"/>
          <w:color w:val="000000"/>
          <w:sz w:val="22"/>
          <w:szCs w:val="22"/>
          <w:lang w:val="en-AU"/>
        </w:rPr>
        <w:t xml:space="preserve">Five of the six product types are considered to represent statistically different cost profiles for Indigenous compared to </w:t>
      </w:r>
      <w:r w:rsidR="007A097D">
        <w:rPr>
          <w:rFonts w:ascii="Arial" w:eastAsia="Times New Roman" w:hAnsi="Arial" w:cs="Arial"/>
          <w:color w:val="000000"/>
          <w:sz w:val="22"/>
          <w:szCs w:val="22"/>
          <w:lang w:val="en-AU"/>
        </w:rPr>
        <w:t>Non-Indigenous</w:t>
      </w:r>
      <w:r w:rsidRPr="005E6149">
        <w:rPr>
          <w:rFonts w:ascii="Arial" w:eastAsia="Times New Roman" w:hAnsi="Arial" w:cs="Arial"/>
          <w:color w:val="000000"/>
          <w:sz w:val="22"/>
          <w:szCs w:val="22"/>
          <w:lang w:val="en-AU"/>
        </w:rPr>
        <w:t xml:space="preserve"> patients</w:t>
      </w:r>
      <w:r w:rsidR="00D873D2">
        <w:rPr>
          <w:rFonts w:ascii="Arial" w:eastAsia="Times New Roman" w:hAnsi="Arial" w:cs="Arial"/>
          <w:color w:val="000000"/>
          <w:sz w:val="22"/>
          <w:szCs w:val="22"/>
          <w:lang w:val="en-AU"/>
        </w:rPr>
        <w:t xml:space="preserve">. </w:t>
      </w:r>
      <w:r w:rsidRPr="005E6149">
        <w:rPr>
          <w:rFonts w:ascii="Arial" w:eastAsia="Times New Roman" w:hAnsi="Arial" w:cs="Arial"/>
          <w:color w:val="000000"/>
          <w:sz w:val="22"/>
          <w:szCs w:val="22"/>
          <w:lang w:val="en-AU"/>
        </w:rPr>
        <w:t>The two patient cohorts did not display any statistical difference in their cost profiles within the Geriatric Evaluat</w:t>
      </w:r>
      <w:r w:rsidR="00430818">
        <w:rPr>
          <w:rFonts w:ascii="Arial" w:eastAsia="Times New Roman" w:hAnsi="Arial" w:cs="Arial"/>
          <w:color w:val="000000"/>
          <w:sz w:val="22"/>
          <w:szCs w:val="22"/>
          <w:lang w:val="en-AU"/>
        </w:rPr>
        <w:t>ion and Management (GEM) group.</w:t>
      </w:r>
    </w:p>
    <w:p w:rsidR="00DF026E" w:rsidRPr="005E6149" w:rsidRDefault="00DF026E" w:rsidP="00DF026E">
      <w:pPr>
        <w:pStyle w:val="TableCaption"/>
        <w:rPr>
          <w:rFonts w:ascii="Arial" w:hAnsi="Arial" w:cs="Arial"/>
          <w:sz w:val="18"/>
          <w:szCs w:val="18"/>
        </w:rPr>
      </w:pPr>
      <w:bookmarkStart w:id="63" w:name="_Toc278480676"/>
      <w:r w:rsidRPr="005E6149">
        <w:rPr>
          <w:rFonts w:ascii="Arial" w:hAnsi="Arial" w:cs="Arial"/>
          <w:sz w:val="18"/>
          <w:szCs w:val="18"/>
        </w:rPr>
        <w:lastRenderedPageBreak/>
        <w:t xml:space="preserve">Table 7.2: </w:t>
      </w:r>
      <w:r w:rsidR="003955DE">
        <w:rPr>
          <w:rFonts w:ascii="Arial" w:hAnsi="Arial" w:cs="Arial"/>
          <w:sz w:val="18"/>
          <w:szCs w:val="18"/>
        </w:rPr>
        <w:t xml:space="preserve">T </w:t>
      </w:r>
      <w:r w:rsidRPr="005E6149">
        <w:rPr>
          <w:rFonts w:ascii="Arial" w:hAnsi="Arial" w:cs="Arial"/>
          <w:sz w:val="18"/>
          <w:szCs w:val="18"/>
        </w:rPr>
        <w:t xml:space="preserve">statistics for </w:t>
      </w:r>
      <w:r w:rsidR="00190E37">
        <w:rPr>
          <w:rFonts w:ascii="Arial" w:hAnsi="Arial" w:cs="Arial"/>
          <w:sz w:val="18"/>
          <w:szCs w:val="18"/>
        </w:rPr>
        <w:t>Subacute</w:t>
      </w:r>
      <w:r w:rsidRPr="005E6149">
        <w:rPr>
          <w:rFonts w:ascii="Arial" w:hAnsi="Arial" w:cs="Arial"/>
          <w:sz w:val="18"/>
          <w:szCs w:val="18"/>
        </w:rPr>
        <w:t xml:space="preserve"> Product Types: Indigenous compared to </w:t>
      </w:r>
      <w:r w:rsidR="007A097D">
        <w:rPr>
          <w:rFonts w:ascii="Arial" w:hAnsi="Arial" w:cs="Arial"/>
          <w:sz w:val="18"/>
          <w:szCs w:val="18"/>
        </w:rPr>
        <w:t>Non-Indigenous</w:t>
      </w:r>
      <w:r w:rsidRPr="005E6149">
        <w:rPr>
          <w:rFonts w:ascii="Arial" w:hAnsi="Arial" w:cs="Arial"/>
          <w:sz w:val="18"/>
          <w:szCs w:val="18"/>
        </w:rPr>
        <w:t xml:space="preserve"> patient cohorts, Round 17 NHCDC (2012/13)</w:t>
      </w:r>
      <w:bookmarkEnd w:id="63"/>
    </w:p>
    <w:tbl>
      <w:tblPr>
        <w:tblW w:w="15076"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Table 7.2: T statistics for Subacute Product Types"/>
      </w:tblPr>
      <w:tblGrid>
        <w:gridCol w:w="1058"/>
        <w:gridCol w:w="2127"/>
        <w:gridCol w:w="1275"/>
        <w:gridCol w:w="1276"/>
        <w:gridCol w:w="1276"/>
        <w:gridCol w:w="1134"/>
        <w:gridCol w:w="992"/>
        <w:gridCol w:w="1276"/>
        <w:gridCol w:w="1417"/>
        <w:gridCol w:w="3245"/>
      </w:tblGrid>
      <w:tr w:rsidR="004B516C" w:rsidRPr="002019C1" w:rsidTr="00DC14D9">
        <w:trPr>
          <w:trHeight w:val="300"/>
          <w:tblHeader/>
          <w:jc w:val="center"/>
        </w:trPr>
        <w:tc>
          <w:tcPr>
            <w:tcW w:w="3185" w:type="dxa"/>
            <w:gridSpan w:val="2"/>
            <w:shd w:val="clear" w:color="auto" w:fill="CCCCCC"/>
            <w:noWrap/>
            <w:hideMark/>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Round 17</w:t>
            </w:r>
          </w:p>
        </w:tc>
        <w:tc>
          <w:tcPr>
            <w:tcW w:w="2551" w:type="dxa"/>
            <w:gridSpan w:val="2"/>
            <w:shd w:val="clear" w:color="auto" w:fill="CCCCCC"/>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2410" w:type="dxa"/>
            <w:gridSpan w:val="2"/>
            <w:shd w:val="clear" w:color="auto" w:fill="CCCCCC"/>
          </w:tcPr>
          <w:p w:rsidR="004B516C" w:rsidRPr="00C628C4" w:rsidRDefault="007A097D"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6930" w:type="dxa"/>
            <w:gridSpan w:val="4"/>
            <w:shd w:val="clear" w:color="auto" w:fill="CCCCCC"/>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Statistics</w:t>
            </w:r>
          </w:p>
        </w:tc>
      </w:tr>
      <w:tr w:rsidR="003955DE" w:rsidRPr="002019C1" w:rsidTr="00DC14D9">
        <w:trPr>
          <w:trHeight w:val="320"/>
          <w:tblHeader/>
          <w:jc w:val="center"/>
        </w:trPr>
        <w:tc>
          <w:tcPr>
            <w:tcW w:w="1058"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Product type</w:t>
            </w:r>
          </w:p>
        </w:tc>
        <w:tc>
          <w:tcPr>
            <w:tcW w:w="2127"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Description</w:t>
            </w:r>
          </w:p>
        </w:tc>
        <w:tc>
          <w:tcPr>
            <w:tcW w:w="1275"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276"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1276"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134"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992" w:type="dxa"/>
            <w:shd w:val="clear" w:color="auto" w:fill="CCCCCC"/>
            <w:noWrap/>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1276"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 |t|</w:t>
            </w:r>
          </w:p>
        </w:tc>
        <w:tc>
          <w:tcPr>
            <w:tcW w:w="1417" w:type="dxa"/>
            <w:shd w:val="clear" w:color="auto" w:fill="CCCCCC"/>
            <w:noWrap/>
            <w:hideMark/>
          </w:tcPr>
          <w:p w:rsidR="003955DE" w:rsidRPr="00C628C4" w:rsidRDefault="003955DE" w:rsidP="00430818">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rPr>
              <w:t>Hypothesis</w:t>
            </w:r>
          </w:p>
        </w:tc>
        <w:tc>
          <w:tcPr>
            <w:tcW w:w="3245" w:type="dxa"/>
            <w:shd w:val="clear" w:color="auto" w:fill="CCCCCC"/>
          </w:tcPr>
          <w:p w:rsidR="003955DE" w:rsidRPr="00C628C4" w:rsidRDefault="003955DE" w:rsidP="00DF026E">
            <w:pPr>
              <w:jc w:val="cente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rPr>
              <w:t xml:space="preserve">Interpretation (Indigenous cost relative to </w:t>
            </w:r>
            <w:r w:rsidR="007A097D" w:rsidRPr="00C628C4">
              <w:rPr>
                <w:rFonts w:asciiTheme="majorHAnsi" w:eastAsia="Times New Roman" w:hAnsiTheme="majorHAnsi" w:cs="Arial"/>
                <w:b/>
                <w:color w:val="000000"/>
                <w:sz w:val="20"/>
                <w:szCs w:val="20"/>
              </w:rPr>
              <w:t>Non-Indigenous</w:t>
            </w:r>
            <w:r w:rsidRPr="00C628C4">
              <w:rPr>
                <w:rFonts w:asciiTheme="majorHAnsi" w:eastAsia="Times New Roman" w:hAnsiTheme="majorHAnsi" w:cs="Arial"/>
                <w:b/>
                <w:color w:val="000000"/>
                <w:sz w:val="20"/>
                <w:szCs w:val="20"/>
              </w:rPr>
              <w:t xml:space="preserve"> Cost)</w:t>
            </w:r>
          </w:p>
        </w:tc>
      </w:tr>
      <w:tr w:rsidR="003955DE" w:rsidRPr="002019C1" w:rsidTr="00DC14D9">
        <w:trPr>
          <w:trHeight w:val="50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GM</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Geriatric Evaluation and Management</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147</w:t>
            </w:r>
          </w:p>
        </w:tc>
        <w:tc>
          <w:tcPr>
            <w:tcW w:w="1276" w:type="dxa"/>
            <w:shd w:val="clear" w:color="auto" w:fill="auto"/>
            <w:noWrap/>
            <w:vAlign w:val="bottom"/>
            <w:hideMark/>
          </w:tcPr>
          <w:p w:rsidR="003955DE" w:rsidRPr="00C628C4" w:rsidRDefault="003955DE" w:rsidP="00430818">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$15,237</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30,001</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$13,593</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1.35</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0.1781</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accept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 xml:space="preserve">No significant difference </w:t>
            </w:r>
          </w:p>
        </w:tc>
      </w:tr>
      <w:tr w:rsidR="003955DE" w:rsidRPr="002019C1" w:rsidTr="00DC14D9">
        <w:trPr>
          <w:trHeight w:val="32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MA</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Maintenance</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578</w:t>
            </w:r>
          </w:p>
        </w:tc>
        <w:tc>
          <w:tcPr>
            <w:tcW w:w="1276" w:type="dxa"/>
            <w:shd w:val="clear" w:color="auto" w:fill="auto"/>
            <w:noWrap/>
            <w:vAlign w:val="bottom"/>
            <w:hideMark/>
          </w:tcPr>
          <w:p w:rsidR="003955DE" w:rsidRPr="00C628C4" w:rsidRDefault="003955DE" w:rsidP="00430818">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$14,831</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17,918</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$12,346</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3.19</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0.0015</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Higher</w:t>
            </w:r>
          </w:p>
        </w:tc>
      </w:tr>
      <w:tr w:rsidR="003955DE" w:rsidRPr="002019C1" w:rsidTr="00DC14D9">
        <w:trPr>
          <w:trHeight w:val="50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OA</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Other Admitted Patient Care</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84</w:t>
            </w:r>
          </w:p>
        </w:tc>
        <w:tc>
          <w:tcPr>
            <w:tcW w:w="1276" w:type="dxa"/>
            <w:shd w:val="clear" w:color="auto" w:fill="auto"/>
            <w:noWrap/>
            <w:vAlign w:val="bottom"/>
            <w:hideMark/>
          </w:tcPr>
          <w:p w:rsidR="003955DE" w:rsidRPr="00C628C4" w:rsidRDefault="003955DE" w:rsidP="00430818">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$9,403</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1,673</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$22,288</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-7.77</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 xml:space="preserve">Lower </w:t>
            </w:r>
          </w:p>
        </w:tc>
      </w:tr>
      <w:tr w:rsidR="003955DE" w:rsidRPr="002019C1" w:rsidTr="00DC14D9">
        <w:trPr>
          <w:trHeight w:val="32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PC</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Palliative Care</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456</w:t>
            </w:r>
          </w:p>
        </w:tc>
        <w:tc>
          <w:tcPr>
            <w:tcW w:w="1276" w:type="dxa"/>
            <w:shd w:val="clear" w:color="auto" w:fill="auto"/>
            <w:noWrap/>
            <w:vAlign w:val="bottom"/>
            <w:hideMark/>
          </w:tcPr>
          <w:p w:rsidR="003955DE" w:rsidRPr="00C628C4" w:rsidRDefault="003955DE" w:rsidP="00430818">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$12,764</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22,305</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$9,340</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4.51</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 xml:space="preserve">Higher </w:t>
            </w:r>
          </w:p>
        </w:tc>
      </w:tr>
      <w:tr w:rsidR="003955DE" w:rsidRPr="002019C1" w:rsidTr="00DC14D9">
        <w:trPr>
          <w:trHeight w:val="50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PG</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Psychogeriatric Care</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35</w:t>
            </w:r>
          </w:p>
        </w:tc>
        <w:tc>
          <w:tcPr>
            <w:tcW w:w="1276" w:type="dxa"/>
            <w:shd w:val="clear" w:color="auto" w:fill="auto"/>
            <w:noWrap/>
            <w:vAlign w:val="bottom"/>
            <w:hideMark/>
          </w:tcPr>
          <w:p w:rsidR="003955DE" w:rsidRPr="00C628C4" w:rsidRDefault="003955DE" w:rsidP="00430818">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$14,201</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1,938</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$22,611</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-2.20</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0.0279</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 xml:space="preserve">Lower </w:t>
            </w:r>
          </w:p>
        </w:tc>
      </w:tr>
      <w:tr w:rsidR="003955DE" w:rsidRPr="002019C1" w:rsidTr="00DC14D9">
        <w:trPr>
          <w:trHeight w:val="500"/>
          <w:jc w:val="center"/>
        </w:trPr>
        <w:tc>
          <w:tcPr>
            <w:tcW w:w="1058"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RH</w:t>
            </w:r>
          </w:p>
        </w:tc>
        <w:tc>
          <w:tcPr>
            <w:tcW w:w="2127"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Rehabilitation</w:t>
            </w:r>
          </w:p>
        </w:tc>
        <w:tc>
          <w:tcPr>
            <w:tcW w:w="1275"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1,723</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$15,700</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88,254</w:t>
            </w:r>
          </w:p>
        </w:tc>
        <w:tc>
          <w:tcPr>
            <w:tcW w:w="1134"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$11,357</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8.94</w:t>
            </w:r>
          </w:p>
        </w:tc>
        <w:tc>
          <w:tcPr>
            <w:tcW w:w="1276"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417" w:type="dxa"/>
            <w:shd w:val="clear" w:color="auto" w:fill="auto"/>
            <w:noWrap/>
            <w:vAlign w:val="bottom"/>
            <w:hideMark/>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Higher</w:t>
            </w:r>
          </w:p>
        </w:tc>
      </w:tr>
    </w:tbl>
    <w:p w:rsidR="004B516C" w:rsidRPr="00A46AE7" w:rsidRDefault="004B516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Care Type Analysis</w:t>
      </w:r>
    </w:p>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The dataset also identifies each record by care type, although the date for care type change is not reported in the data and thus the length of stay for the care type cannot be reliably validated</w:t>
      </w:r>
      <w:r w:rsidR="00D873D2">
        <w:rPr>
          <w:rFonts w:ascii="Arial" w:hAnsi="Arial" w:cs="Arial"/>
          <w:sz w:val="22"/>
          <w:szCs w:val="22"/>
        </w:rPr>
        <w:t xml:space="preserve">. </w:t>
      </w:r>
      <w:r w:rsidRPr="005E6149">
        <w:rPr>
          <w:rFonts w:ascii="Arial" w:hAnsi="Arial" w:cs="Arial"/>
          <w:sz w:val="22"/>
          <w:szCs w:val="22"/>
        </w:rPr>
        <w:t xml:space="preserve">A separation and discharge date are reported, however these appear to reflect the national minimum dataset definitions of admission and separation dates to and from hospital that are not necessarily quarantined solely to the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episode of care</w:t>
      </w:r>
      <w:r w:rsidR="00D873D2">
        <w:rPr>
          <w:rFonts w:ascii="Arial" w:hAnsi="Arial" w:cs="Arial"/>
          <w:sz w:val="22"/>
          <w:szCs w:val="22"/>
        </w:rPr>
        <w:t xml:space="preserve">. </w:t>
      </w:r>
      <w:r w:rsidRPr="005E6149">
        <w:rPr>
          <w:rFonts w:ascii="Arial" w:hAnsi="Arial" w:cs="Arial"/>
          <w:sz w:val="22"/>
          <w:szCs w:val="22"/>
        </w:rPr>
        <w:t xml:space="preserve">Reliance on the length of stay data item was </w:t>
      </w:r>
      <w:r w:rsidR="005E7BBC" w:rsidRPr="005E6149">
        <w:rPr>
          <w:rFonts w:ascii="Arial" w:hAnsi="Arial" w:cs="Arial"/>
          <w:sz w:val="22"/>
          <w:szCs w:val="22"/>
        </w:rPr>
        <w:t xml:space="preserve">therefore, </w:t>
      </w:r>
      <w:proofErr w:type="spellStart"/>
      <w:r w:rsidRPr="005E6149">
        <w:rPr>
          <w:rFonts w:ascii="Arial" w:hAnsi="Arial" w:cs="Arial"/>
          <w:sz w:val="22"/>
          <w:szCs w:val="22"/>
        </w:rPr>
        <w:t>minimised</w:t>
      </w:r>
      <w:proofErr w:type="spellEnd"/>
      <w:r w:rsidRPr="005E6149">
        <w:rPr>
          <w:rFonts w:ascii="Arial" w:hAnsi="Arial" w:cs="Arial"/>
          <w:sz w:val="22"/>
          <w:szCs w:val="22"/>
        </w:rPr>
        <w:t xml:space="preserve"> in this analysis. </w:t>
      </w:r>
    </w:p>
    <w:p w:rsidR="004B516C" w:rsidRPr="005E6149" w:rsidRDefault="004B516C" w:rsidP="001E165C">
      <w:pPr>
        <w:spacing w:before="120" w:after="120"/>
        <w:rPr>
          <w:rFonts w:ascii="Arial" w:eastAsia="Times New Roman" w:hAnsi="Arial" w:cs="Arial"/>
          <w:sz w:val="22"/>
          <w:szCs w:val="22"/>
          <w:lang w:val="en-AU"/>
        </w:rPr>
      </w:pPr>
      <w:r w:rsidRPr="005E6149">
        <w:rPr>
          <w:rFonts w:ascii="Arial" w:hAnsi="Arial" w:cs="Arial"/>
          <w:sz w:val="22"/>
          <w:szCs w:val="22"/>
        </w:rPr>
        <w:t xml:space="preserve">The care type categories forming the focus of this analysis </w:t>
      </w:r>
      <w:r w:rsidR="001E165C" w:rsidRPr="005E6149">
        <w:rPr>
          <w:rFonts w:ascii="Arial" w:hAnsi="Arial" w:cs="Arial"/>
          <w:sz w:val="22"/>
          <w:szCs w:val="22"/>
        </w:rPr>
        <w:t>are listed in Table 7.3.</w:t>
      </w:r>
    </w:p>
    <w:p w:rsidR="001E165C" w:rsidRPr="005E6149" w:rsidRDefault="001E165C">
      <w:pPr>
        <w:rPr>
          <w:rFonts w:ascii="Arial" w:eastAsia="Times New Roman" w:hAnsi="Arial" w:cs="Arial"/>
          <w:b/>
          <w:sz w:val="18"/>
          <w:szCs w:val="18"/>
          <w:lang w:val="en-AU"/>
        </w:rPr>
      </w:pPr>
      <w:r w:rsidRPr="005E6149">
        <w:rPr>
          <w:rFonts w:ascii="Arial" w:hAnsi="Arial" w:cs="Arial"/>
          <w:sz w:val="18"/>
          <w:szCs w:val="18"/>
        </w:rPr>
        <w:br w:type="page"/>
      </w:r>
    </w:p>
    <w:p w:rsidR="00DF026E" w:rsidRPr="005E6149" w:rsidRDefault="00DF026E" w:rsidP="00DF026E">
      <w:pPr>
        <w:pStyle w:val="TableCaption"/>
        <w:rPr>
          <w:rFonts w:ascii="Arial" w:hAnsi="Arial" w:cs="Arial"/>
          <w:sz w:val="18"/>
          <w:szCs w:val="18"/>
        </w:rPr>
      </w:pPr>
      <w:bookmarkStart w:id="64" w:name="_Toc278480677"/>
      <w:r w:rsidRPr="005E6149">
        <w:rPr>
          <w:rFonts w:ascii="Arial" w:hAnsi="Arial" w:cs="Arial"/>
          <w:sz w:val="18"/>
          <w:szCs w:val="18"/>
        </w:rPr>
        <w:lastRenderedPageBreak/>
        <w:t xml:space="preserve">Table 7.3: </w:t>
      </w:r>
      <w:r w:rsidR="003955DE">
        <w:rPr>
          <w:rFonts w:ascii="Arial" w:hAnsi="Arial" w:cs="Arial"/>
          <w:sz w:val="18"/>
          <w:szCs w:val="18"/>
        </w:rPr>
        <w:t xml:space="preserve">T </w:t>
      </w:r>
      <w:r w:rsidRPr="005E6149">
        <w:rPr>
          <w:rFonts w:ascii="Arial" w:hAnsi="Arial" w:cs="Arial"/>
          <w:sz w:val="18"/>
          <w:szCs w:val="18"/>
        </w:rPr>
        <w:t xml:space="preserve">statistics for </w:t>
      </w:r>
      <w:r w:rsidR="00190E37">
        <w:rPr>
          <w:rFonts w:ascii="Arial" w:hAnsi="Arial" w:cs="Arial"/>
          <w:sz w:val="18"/>
          <w:szCs w:val="18"/>
        </w:rPr>
        <w:t>Subacute</w:t>
      </w:r>
      <w:r w:rsidRPr="005E6149">
        <w:rPr>
          <w:rFonts w:ascii="Arial" w:hAnsi="Arial" w:cs="Arial"/>
          <w:sz w:val="18"/>
          <w:szCs w:val="18"/>
        </w:rPr>
        <w:t xml:space="preserve"> Care Types: Indigenous compared to </w:t>
      </w:r>
      <w:r w:rsidR="007A097D">
        <w:rPr>
          <w:rFonts w:ascii="Arial" w:hAnsi="Arial" w:cs="Arial"/>
          <w:sz w:val="18"/>
          <w:szCs w:val="18"/>
        </w:rPr>
        <w:t>Non-Indigenous</w:t>
      </w:r>
      <w:r w:rsidRPr="005E6149">
        <w:rPr>
          <w:rFonts w:ascii="Arial" w:hAnsi="Arial" w:cs="Arial"/>
          <w:sz w:val="18"/>
          <w:szCs w:val="18"/>
        </w:rPr>
        <w:t xml:space="preserve"> patient cohorts, Round 17 NHCDC (2012/13)</w:t>
      </w:r>
      <w:bookmarkEnd w:id="64"/>
    </w:p>
    <w:tbl>
      <w:tblPr>
        <w:tblW w:w="15076"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Table 7.3: T statistics for Subacute Care Types"/>
      </w:tblPr>
      <w:tblGrid>
        <w:gridCol w:w="1200"/>
        <w:gridCol w:w="2835"/>
        <w:gridCol w:w="992"/>
        <w:gridCol w:w="1276"/>
        <w:gridCol w:w="992"/>
        <w:gridCol w:w="1276"/>
        <w:gridCol w:w="992"/>
        <w:gridCol w:w="993"/>
        <w:gridCol w:w="1275"/>
        <w:gridCol w:w="3245"/>
      </w:tblGrid>
      <w:tr w:rsidR="004B516C" w:rsidRPr="002019C1" w:rsidTr="00DC14D9">
        <w:trPr>
          <w:trHeight w:val="300"/>
          <w:tblHeader/>
          <w:jc w:val="center"/>
        </w:trPr>
        <w:tc>
          <w:tcPr>
            <w:tcW w:w="4035" w:type="dxa"/>
            <w:gridSpan w:val="2"/>
            <w:shd w:val="clear" w:color="auto" w:fill="CCCCCC"/>
            <w:noWrap/>
            <w:hideMark/>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Round 17</w:t>
            </w:r>
          </w:p>
        </w:tc>
        <w:tc>
          <w:tcPr>
            <w:tcW w:w="2268" w:type="dxa"/>
            <w:gridSpan w:val="2"/>
            <w:shd w:val="clear" w:color="auto" w:fill="CCCCCC"/>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2268" w:type="dxa"/>
            <w:gridSpan w:val="2"/>
            <w:shd w:val="clear" w:color="auto" w:fill="CCCCCC"/>
          </w:tcPr>
          <w:p w:rsidR="004B516C" w:rsidRPr="00C628C4" w:rsidRDefault="007A097D"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6505" w:type="dxa"/>
            <w:gridSpan w:val="4"/>
            <w:shd w:val="clear" w:color="auto" w:fill="CCCCCC"/>
          </w:tcPr>
          <w:p w:rsidR="004B516C" w:rsidRPr="00C628C4" w:rsidRDefault="004B516C"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Statistics</w:t>
            </w:r>
            <w:r w:rsidR="009B07F9" w:rsidRPr="00C628C4">
              <w:rPr>
                <w:rFonts w:asciiTheme="majorHAnsi" w:eastAsia="Times New Roman" w:hAnsiTheme="majorHAnsi" w:cs="Arial"/>
                <w:b/>
                <w:color w:val="000000"/>
                <w:sz w:val="20"/>
                <w:szCs w:val="20"/>
                <w:lang w:val="en-AU"/>
              </w:rPr>
              <w:t xml:space="preserve"> </w:t>
            </w:r>
          </w:p>
        </w:tc>
      </w:tr>
      <w:tr w:rsidR="003955DE" w:rsidRPr="002019C1" w:rsidTr="00DC14D9">
        <w:trPr>
          <w:trHeight w:val="320"/>
          <w:tblHeader/>
          <w:jc w:val="center"/>
        </w:trPr>
        <w:tc>
          <w:tcPr>
            <w:tcW w:w="1200"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Product type</w:t>
            </w:r>
          </w:p>
        </w:tc>
        <w:tc>
          <w:tcPr>
            <w:tcW w:w="2835"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Description</w:t>
            </w:r>
          </w:p>
        </w:tc>
        <w:tc>
          <w:tcPr>
            <w:tcW w:w="992"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276"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992"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Number of Patients</w:t>
            </w:r>
          </w:p>
        </w:tc>
        <w:tc>
          <w:tcPr>
            <w:tcW w:w="1276"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Average Cost</w:t>
            </w:r>
          </w:p>
        </w:tc>
        <w:tc>
          <w:tcPr>
            <w:tcW w:w="992" w:type="dxa"/>
            <w:shd w:val="clear" w:color="auto" w:fill="CCCCCC"/>
            <w:noWrap/>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993"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 |t|</w:t>
            </w:r>
          </w:p>
        </w:tc>
        <w:tc>
          <w:tcPr>
            <w:tcW w:w="1275" w:type="dxa"/>
            <w:shd w:val="clear" w:color="auto" w:fill="CCCCCC"/>
            <w:noWrap/>
            <w:hideMark/>
          </w:tcPr>
          <w:p w:rsidR="003955DE" w:rsidRPr="00C628C4" w:rsidRDefault="003955DE" w:rsidP="00DF026E">
            <w:pPr>
              <w:jc w:val="cente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rPr>
              <w:t>Hypothesis (</w:t>
            </w:r>
            <w:r w:rsidRPr="00C628C4">
              <w:rPr>
                <w:rFonts w:asciiTheme="majorHAnsi" w:hAnsiTheme="majorHAnsi" w:cs="Arial"/>
                <w:b/>
                <w:sz w:val="20"/>
                <w:szCs w:val="20"/>
              </w:rPr>
              <w:t>H</w:t>
            </w:r>
            <w:r w:rsidRPr="00C628C4">
              <w:rPr>
                <w:rFonts w:asciiTheme="majorHAnsi" w:hAnsiTheme="majorHAnsi" w:cs="Arial"/>
                <w:b/>
                <w:sz w:val="20"/>
                <w:szCs w:val="20"/>
                <w:vertAlign w:val="subscript"/>
              </w:rPr>
              <w:t>0</w:t>
            </w:r>
            <w:r w:rsidRPr="00C628C4">
              <w:rPr>
                <w:rFonts w:asciiTheme="majorHAnsi" w:hAnsiTheme="majorHAnsi" w:cs="Arial"/>
                <w:b/>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sidRPr="009D7F6D">
              <w:rPr>
                <w:rStyle w:val="IntenseReference"/>
                <w:rFonts w:asciiTheme="majorHAnsi" w:hAnsiTheme="majorHAnsi" w:cs="Times New Roman"/>
                <w:b w:val="0"/>
                <w:bCs w:val="0"/>
                <w:smallCaps w:val="0"/>
                <w:color w:val="000000" w:themeColor="text1"/>
                <w:sz w:val="20"/>
                <w:szCs w:val="20"/>
              </w:rPr>
              <w:t>=</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b/>
                <w:sz w:val="20"/>
                <w:szCs w:val="20"/>
              </w:rPr>
              <w:t>)</w:t>
            </w:r>
          </w:p>
        </w:tc>
        <w:tc>
          <w:tcPr>
            <w:tcW w:w="3245" w:type="dxa"/>
            <w:shd w:val="clear" w:color="auto" w:fill="CCCCCC"/>
          </w:tcPr>
          <w:p w:rsidR="003955DE" w:rsidRPr="00C628C4" w:rsidRDefault="003955DE" w:rsidP="00DF026E">
            <w:pPr>
              <w:jc w:val="cente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rPr>
              <w:t xml:space="preserve">Interpretation (Indigenous cost relative to </w:t>
            </w:r>
            <w:r w:rsidR="007A097D" w:rsidRPr="00C628C4">
              <w:rPr>
                <w:rFonts w:asciiTheme="majorHAnsi" w:eastAsia="Times New Roman" w:hAnsiTheme="majorHAnsi" w:cs="Arial"/>
                <w:b/>
                <w:color w:val="000000"/>
                <w:sz w:val="20"/>
                <w:szCs w:val="20"/>
              </w:rPr>
              <w:t>Non-Indigenous</w:t>
            </w:r>
            <w:r w:rsidRPr="00C628C4">
              <w:rPr>
                <w:rFonts w:asciiTheme="majorHAnsi" w:eastAsia="Times New Roman" w:hAnsiTheme="majorHAnsi" w:cs="Arial"/>
                <w:b/>
                <w:color w:val="000000"/>
                <w:sz w:val="20"/>
                <w:szCs w:val="20"/>
              </w:rPr>
              <w:t xml:space="preserve"> Cost)</w:t>
            </w:r>
          </w:p>
        </w:tc>
      </w:tr>
      <w:tr w:rsidR="003955DE" w:rsidRPr="002019C1" w:rsidTr="00DC14D9">
        <w:trPr>
          <w:trHeight w:val="50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02.0</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Rehabilitation care that cannot be further categorised</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900</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$18,820.90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60,297</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$12,400.70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9.74</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8E2E20">
            <w:pPr>
              <w:jc w:val="right"/>
              <w:rPr>
                <w:rFonts w:asciiTheme="majorHAnsi" w:eastAsia="Times New Roman" w:hAnsiTheme="majorHAnsi" w:cs="Arial"/>
                <w:color w:val="000000"/>
                <w:sz w:val="18"/>
                <w:szCs w:val="18"/>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32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02.1</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Rehabilitation in a designated unit</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438</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$11,664.00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15,117</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$9,243.30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2.53</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0.0118</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50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02.2</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Rehabilitation care according to a designated program</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165</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$13,934.30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4,397</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$6,126.9</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4.13</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32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02.3</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Rehabilitation care is the principal clinical intent</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220</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$12,294.30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8,446</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$10,431.90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1.70</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0.0902</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accept</w:t>
            </w:r>
          </w:p>
        </w:tc>
        <w:tc>
          <w:tcPr>
            <w:tcW w:w="3245" w:type="dxa"/>
            <w:vAlign w:val="bottom"/>
          </w:tcPr>
          <w:p w:rsidR="003955DE" w:rsidRPr="00C628C4" w:rsidRDefault="003955DE" w:rsidP="00430818">
            <w:pPr>
              <w:jc w:val="right"/>
              <w:rPr>
                <w:rFonts w:asciiTheme="majorHAnsi" w:eastAsia="Times New Roman" w:hAnsiTheme="majorHAnsi" w:cs="Arial"/>
                <w:color w:val="000000"/>
                <w:sz w:val="18"/>
                <w:szCs w:val="18"/>
              </w:rPr>
            </w:pPr>
            <w:r w:rsidRPr="00C628C4">
              <w:rPr>
                <w:rFonts w:asciiTheme="majorHAnsi" w:eastAsia="Times New Roman" w:hAnsiTheme="majorHAnsi" w:cs="Arial"/>
                <w:color w:val="000000"/>
                <w:sz w:val="18"/>
                <w:szCs w:val="18"/>
              </w:rPr>
              <w:t>No significant difference</w:t>
            </w:r>
            <w:r w:rsidRPr="00C628C4">
              <w:rPr>
                <w:rFonts w:asciiTheme="majorHAnsi" w:eastAsia="Times New Roman" w:hAnsiTheme="majorHAnsi" w:cs="Arial"/>
                <w:color w:val="000000"/>
                <w:sz w:val="18"/>
                <w:szCs w:val="18"/>
              </w:rPr>
              <w:b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1</w:t>
            </w:r>
            <w:r w:rsidR="00511BAA">
              <w:rPr>
                <w:rStyle w:val="IntenseReference"/>
                <w:rFonts w:asciiTheme="majorHAnsi" w:hAnsiTheme="majorHAnsi" w:cs="Times New Roman"/>
                <w:b w:val="0"/>
                <w:bCs w:val="0"/>
                <w:smallCaps w:val="0"/>
                <w:color w:val="000000" w:themeColor="text1"/>
                <w:sz w:val="22"/>
                <w:szCs w:val="22"/>
                <w:vertAlign w:val="subscript"/>
              </w:rPr>
              <w:t xml:space="preserve"> </w:t>
            </w:r>
            <w:r w:rsidR="00511BAA" w:rsidRPr="009D7F6D">
              <w:rPr>
                <w:rStyle w:val="IntenseReference"/>
                <w:rFonts w:asciiTheme="majorHAnsi" w:hAnsiTheme="majorHAnsi" w:cs="Times New Roman"/>
                <w:b w:val="0"/>
                <w:bCs w:val="0"/>
                <w:smallCaps w:val="0"/>
                <w:color w:val="000000" w:themeColor="text1"/>
                <w:sz w:val="20"/>
                <w:szCs w:val="20"/>
              </w:rPr>
              <w:t>=</w:t>
            </w:r>
            <w:r w:rsidR="00511BAA">
              <w:rPr>
                <w:rStyle w:val="IntenseReference"/>
                <w:rFonts w:asciiTheme="majorHAnsi" w:hAnsiTheme="majorHAnsi" w:cs="Times New Roman"/>
                <w:b w:val="0"/>
                <w:bCs w:val="0"/>
                <w:smallCaps w:val="0"/>
                <w:color w:val="000000" w:themeColor="text1"/>
                <w:sz w:val="20"/>
                <w:szCs w:val="20"/>
              </w:rP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sz w:val="19"/>
                <w:szCs w:val="19"/>
              </w:rPr>
              <w:t>)</w:t>
            </w:r>
          </w:p>
        </w:tc>
      </w:tr>
      <w:tr w:rsidR="003955DE" w:rsidRPr="002019C1" w:rsidTr="00DC14D9">
        <w:trPr>
          <w:trHeight w:val="50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03.0</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Palliative Care that cannot be further categorised</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171</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$12,477.10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13,443</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$9,191.10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2.61</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0.0100</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500"/>
          <w:jc w:val="center"/>
        </w:trPr>
        <w:tc>
          <w:tcPr>
            <w:tcW w:w="1200" w:type="dxa"/>
            <w:shd w:val="clear" w:color="auto" w:fill="auto"/>
            <w:noWrap/>
            <w:vAlign w:val="bottom"/>
            <w:hideMark/>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03.1</w:t>
            </w:r>
          </w:p>
        </w:tc>
        <w:tc>
          <w:tcPr>
            <w:tcW w:w="2835" w:type="dxa"/>
            <w:shd w:val="clear" w:color="auto" w:fill="auto"/>
            <w:vAlign w:val="center"/>
            <w:hideMark/>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Palliative care delivered in a designated unit</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146</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$14,923.40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3,929</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$10,790.40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3.01</w:t>
            </w:r>
          </w:p>
        </w:tc>
        <w:tc>
          <w:tcPr>
            <w:tcW w:w="993"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0.0031</w:t>
            </w:r>
          </w:p>
        </w:tc>
        <w:tc>
          <w:tcPr>
            <w:tcW w:w="1275" w:type="dxa"/>
            <w:shd w:val="clear" w:color="auto" w:fill="auto"/>
            <w:noWrap/>
            <w:vAlign w:val="bottom"/>
            <w:hideMark/>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500"/>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03.2</w:t>
            </w:r>
          </w:p>
        </w:tc>
        <w:tc>
          <w:tcPr>
            <w:tcW w:w="2835" w:type="dxa"/>
            <w:shd w:val="clear" w:color="auto" w:fill="auto"/>
            <w:vAlign w:val="center"/>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Palliative care according to the designated program</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39</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$14,128.70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1,381</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$10,948.60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0.99</w:t>
            </w:r>
          </w:p>
        </w:tc>
        <w:tc>
          <w:tcPr>
            <w:tcW w:w="993"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0.3302</w:t>
            </w:r>
          </w:p>
        </w:tc>
        <w:tc>
          <w:tcPr>
            <w:tcW w:w="1275"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accept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8"/>
                <w:szCs w:val="18"/>
              </w:rPr>
              <w:t>No significant difference</w:t>
            </w:r>
            <w:r w:rsidRPr="00C628C4">
              <w:rPr>
                <w:rFonts w:asciiTheme="majorHAnsi" w:eastAsia="Times New Roman" w:hAnsiTheme="majorHAnsi" w:cs="Arial"/>
                <w:color w:val="000000"/>
                <w:sz w:val="18"/>
                <w:szCs w:val="18"/>
              </w:rPr>
              <w:b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1</w:t>
            </w:r>
            <w:r w:rsidR="00511BAA">
              <w:rPr>
                <w:rStyle w:val="IntenseReference"/>
                <w:rFonts w:asciiTheme="majorHAnsi" w:hAnsiTheme="majorHAnsi" w:cs="Times New Roman"/>
                <w:b w:val="0"/>
                <w:bCs w:val="0"/>
                <w:smallCaps w:val="0"/>
                <w:color w:val="000000" w:themeColor="text1"/>
                <w:sz w:val="22"/>
                <w:szCs w:val="22"/>
                <w:vertAlign w:val="subscript"/>
              </w:rPr>
              <w:t xml:space="preserve"> </w:t>
            </w:r>
            <w:r w:rsidR="00511BAA" w:rsidRPr="009D7F6D">
              <w:rPr>
                <w:rStyle w:val="IntenseReference"/>
                <w:rFonts w:asciiTheme="majorHAnsi" w:hAnsiTheme="majorHAnsi" w:cs="Times New Roman"/>
                <w:b w:val="0"/>
                <w:bCs w:val="0"/>
                <w:smallCaps w:val="0"/>
                <w:color w:val="000000" w:themeColor="text1"/>
                <w:sz w:val="20"/>
                <w:szCs w:val="20"/>
              </w:rPr>
              <w:t>=</w:t>
            </w:r>
            <w:r w:rsidR="00511BAA">
              <w:rPr>
                <w:rStyle w:val="IntenseReference"/>
                <w:rFonts w:asciiTheme="majorHAnsi" w:hAnsiTheme="majorHAnsi" w:cs="Times New Roman"/>
                <w:b w:val="0"/>
                <w:bCs w:val="0"/>
                <w:smallCaps w:val="0"/>
                <w:color w:val="000000" w:themeColor="text1"/>
                <w:sz w:val="20"/>
                <w:szCs w:val="20"/>
              </w:rP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sz w:val="19"/>
                <w:szCs w:val="19"/>
              </w:rPr>
              <w:t>)</w:t>
            </w:r>
          </w:p>
        </w:tc>
      </w:tr>
      <w:tr w:rsidR="003955DE" w:rsidRPr="002019C1" w:rsidTr="00DC14D9">
        <w:trPr>
          <w:trHeight w:val="500"/>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03.3</w:t>
            </w:r>
          </w:p>
        </w:tc>
        <w:tc>
          <w:tcPr>
            <w:tcW w:w="2835" w:type="dxa"/>
            <w:shd w:val="clear" w:color="auto" w:fill="auto"/>
            <w:vAlign w:val="center"/>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Palliative care is the principal clinical intent</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100</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$9,572.20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3,552</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$7,669.50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1.47</w:t>
            </w:r>
          </w:p>
        </w:tc>
        <w:tc>
          <w:tcPr>
            <w:tcW w:w="993"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0.1453</w:t>
            </w:r>
          </w:p>
        </w:tc>
        <w:tc>
          <w:tcPr>
            <w:tcW w:w="1275"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accept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8"/>
                <w:szCs w:val="18"/>
              </w:rPr>
              <w:t>No significant difference</w:t>
            </w:r>
            <w:r w:rsidRPr="00C628C4">
              <w:rPr>
                <w:rFonts w:asciiTheme="majorHAnsi" w:eastAsia="Times New Roman" w:hAnsiTheme="majorHAnsi" w:cs="Arial"/>
                <w:color w:val="000000"/>
                <w:sz w:val="18"/>
                <w:szCs w:val="18"/>
              </w:rPr>
              <w:b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1</w:t>
            </w:r>
            <w:r w:rsidR="00511BAA">
              <w:rPr>
                <w:rStyle w:val="IntenseReference"/>
                <w:rFonts w:asciiTheme="majorHAnsi" w:hAnsiTheme="majorHAnsi" w:cs="Times New Roman"/>
                <w:b w:val="0"/>
                <w:bCs w:val="0"/>
                <w:smallCaps w:val="0"/>
                <w:color w:val="000000" w:themeColor="text1"/>
                <w:sz w:val="22"/>
                <w:szCs w:val="22"/>
                <w:vertAlign w:val="subscript"/>
              </w:rPr>
              <w:t xml:space="preserve"> </w:t>
            </w:r>
            <w:r w:rsidR="00511BAA" w:rsidRPr="009D7F6D">
              <w:rPr>
                <w:rStyle w:val="IntenseReference"/>
                <w:rFonts w:asciiTheme="majorHAnsi" w:hAnsiTheme="majorHAnsi" w:cs="Times New Roman"/>
                <w:b w:val="0"/>
                <w:bCs w:val="0"/>
                <w:smallCaps w:val="0"/>
                <w:color w:val="000000" w:themeColor="text1"/>
                <w:sz w:val="20"/>
                <w:szCs w:val="20"/>
              </w:rPr>
              <w:t>=</w:t>
            </w:r>
            <w:r w:rsidR="00511BAA">
              <w:rPr>
                <w:rStyle w:val="IntenseReference"/>
                <w:rFonts w:asciiTheme="majorHAnsi" w:hAnsiTheme="majorHAnsi" w:cs="Times New Roman"/>
                <w:b w:val="0"/>
                <w:bCs w:val="0"/>
                <w:smallCaps w:val="0"/>
                <w:color w:val="000000" w:themeColor="text1"/>
                <w:sz w:val="20"/>
                <w:szCs w:val="20"/>
              </w:rP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sz w:val="19"/>
                <w:szCs w:val="19"/>
              </w:rPr>
              <w:t>)</w:t>
            </w:r>
          </w:p>
        </w:tc>
      </w:tr>
      <w:tr w:rsidR="003955DE" w:rsidRPr="002019C1" w:rsidTr="00DC14D9">
        <w:trPr>
          <w:trHeight w:val="500"/>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04.0</w:t>
            </w:r>
          </w:p>
        </w:tc>
        <w:tc>
          <w:tcPr>
            <w:tcW w:w="2835" w:type="dxa"/>
            <w:shd w:val="clear" w:color="auto" w:fill="auto"/>
            <w:vAlign w:val="center"/>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Geriatric Evaluation and Management</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147</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$15,237.70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30,002</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$13,589.80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1.36</w:t>
            </w:r>
          </w:p>
        </w:tc>
        <w:tc>
          <w:tcPr>
            <w:tcW w:w="993"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0.1771</w:t>
            </w:r>
          </w:p>
        </w:tc>
        <w:tc>
          <w:tcPr>
            <w:tcW w:w="1275"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accept</w:t>
            </w:r>
          </w:p>
        </w:tc>
        <w:tc>
          <w:tcPr>
            <w:tcW w:w="3245" w:type="dxa"/>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8"/>
                <w:szCs w:val="18"/>
              </w:rPr>
              <w:t>No significant difference</w:t>
            </w:r>
            <w:r w:rsidRPr="00C628C4">
              <w:rPr>
                <w:rFonts w:asciiTheme="majorHAnsi" w:eastAsia="Times New Roman" w:hAnsiTheme="majorHAnsi" w:cs="Arial"/>
                <w:color w:val="000000"/>
                <w:sz w:val="18"/>
                <w:szCs w:val="18"/>
              </w:rPr>
              <w:b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1</w:t>
            </w:r>
            <w:r w:rsidR="00511BAA">
              <w:rPr>
                <w:rStyle w:val="IntenseReference"/>
                <w:rFonts w:asciiTheme="majorHAnsi" w:hAnsiTheme="majorHAnsi" w:cs="Times New Roman"/>
                <w:b w:val="0"/>
                <w:bCs w:val="0"/>
                <w:smallCaps w:val="0"/>
                <w:color w:val="000000" w:themeColor="text1"/>
                <w:sz w:val="22"/>
                <w:szCs w:val="22"/>
                <w:vertAlign w:val="subscript"/>
              </w:rPr>
              <w:t xml:space="preserve"> </w:t>
            </w:r>
            <w:r w:rsidR="00511BAA" w:rsidRPr="009D7F6D">
              <w:rPr>
                <w:rStyle w:val="IntenseReference"/>
                <w:rFonts w:asciiTheme="majorHAnsi" w:hAnsiTheme="majorHAnsi" w:cs="Times New Roman"/>
                <w:b w:val="0"/>
                <w:bCs w:val="0"/>
                <w:smallCaps w:val="0"/>
                <w:color w:val="000000" w:themeColor="text1"/>
                <w:sz w:val="20"/>
                <w:szCs w:val="20"/>
              </w:rPr>
              <w:t>=</w:t>
            </w:r>
            <w:r w:rsidR="00511BAA">
              <w:rPr>
                <w:rStyle w:val="IntenseReference"/>
                <w:rFonts w:asciiTheme="majorHAnsi" w:hAnsiTheme="majorHAnsi" w:cs="Times New Roman"/>
                <w:b w:val="0"/>
                <w:bCs w:val="0"/>
                <w:smallCaps w:val="0"/>
                <w:color w:val="000000" w:themeColor="text1"/>
                <w:sz w:val="20"/>
                <w:szCs w:val="20"/>
              </w:rPr>
              <w:t xml:space="preserve"> </w:t>
            </w:r>
            <w:r w:rsidR="00511BAA" w:rsidRPr="009D7F6D">
              <w:rPr>
                <w:rStyle w:val="IntenseReference"/>
                <w:rFonts w:asciiTheme="majorHAnsi" w:hAnsiTheme="majorHAnsi" w:cs="Times New Roman"/>
                <w:b w:val="0"/>
                <w:bCs w:val="0"/>
                <w:smallCaps w:val="0"/>
                <w:color w:val="000000" w:themeColor="text1"/>
                <w:sz w:val="22"/>
                <w:szCs w:val="22"/>
              </w:rPr>
              <w:t>µ</w:t>
            </w:r>
            <w:r w:rsidR="00511BAA"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sz w:val="19"/>
                <w:szCs w:val="19"/>
              </w:rPr>
              <w:t>)</w:t>
            </w:r>
          </w:p>
        </w:tc>
      </w:tr>
      <w:tr w:rsidR="003955DE" w:rsidRPr="002019C1" w:rsidTr="00DC14D9">
        <w:trPr>
          <w:trHeight w:val="500"/>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05.0</w:t>
            </w:r>
          </w:p>
        </w:tc>
        <w:tc>
          <w:tcPr>
            <w:tcW w:w="2835" w:type="dxa"/>
            <w:shd w:val="clear" w:color="auto" w:fill="auto"/>
            <w:vAlign w:val="bottom"/>
          </w:tcPr>
          <w:p w:rsidR="003955DE" w:rsidRPr="00C628C4" w:rsidRDefault="003955DE" w:rsidP="00511BAA">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Psychogeriatric care</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35</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$14,201.80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1,938</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$22,611.80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-2.20</w:t>
            </w:r>
          </w:p>
        </w:tc>
        <w:tc>
          <w:tcPr>
            <w:tcW w:w="993"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0.0279</w:t>
            </w:r>
          </w:p>
        </w:tc>
        <w:tc>
          <w:tcPr>
            <w:tcW w:w="1275"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430818">
            <w:pPr>
              <w:jc w:val="right"/>
              <w:rPr>
                <w:rFonts w:asciiTheme="majorHAnsi" w:eastAsia="Times New Roman" w:hAnsiTheme="majorHAnsi" w:cs="Arial"/>
                <w:color w:val="000000"/>
                <w:sz w:val="19"/>
                <w:szCs w:val="19"/>
              </w:rPr>
            </w:pPr>
            <w:r w:rsidRPr="00C628C4">
              <w:rPr>
                <w:rFonts w:asciiTheme="majorHAnsi" w:eastAsia="Times New Roman" w:hAnsiTheme="majorHAnsi" w:cs="Arial"/>
                <w:color w:val="000000"/>
                <w:sz w:val="19"/>
                <w:szCs w:val="19"/>
              </w:rPr>
              <w:t>Lower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9"/>
                <w:szCs w:val="19"/>
              </w:rPr>
              <w:t>)</w:t>
            </w:r>
          </w:p>
        </w:tc>
      </w:tr>
      <w:tr w:rsidR="003955DE" w:rsidRPr="002019C1" w:rsidTr="00DC14D9">
        <w:trPr>
          <w:trHeight w:val="500"/>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06.0</w:t>
            </w:r>
          </w:p>
        </w:tc>
        <w:tc>
          <w:tcPr>
            <w:tcW w:w="2835" w:type="dxa"/>
            <w:shd w:val="clear" w:color="auto" w:fill="auto"/>
            <w:vAlign w:val="bottom"/>
          </w:tcPr>
          <w:p w:rsidR="003955DE" w:rsidRPr="00C628C4" w:rsidRDefault="003955DE" w:rsidP="00511BAA">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Maintenance care</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577</w:t>
            </w:r>
          </w:p>
        </w:tc>
        <w:tc>
          <w:tcPr>
            <w:tcW w:w="1276"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$14,837.10</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17,914</w:t>
            </w:r>
          </w:p>
        </w:tc>
        <w:tc>
          <w:tcPr>
            <w:tcW w:w="1276"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$12,347.90</w:t>
            </w:r>
          </w:p>
        </w:tc>
        <w:tc>
          <w:tcPr>
            <w:tcW w:w="992"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3.19</w:t>
            </w:r>
          </w:p>
        </w:tc>
        <w:tc>
          <w:tcPr>
            <w:tcW w:w="993" w:type="dxa"/>
            <w:shd w:val="clear" w:color="auto" w:fill="auto"/>
            <w:noWrap/>
            <w:vAlign w:val="bottom"/>
          </w:tcPr>
          <w:p w:rsidR="003955DE" w:rsidRPr="00C628C4" w:rsidRDefault="003955DE" w:rsidP="00DF026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0.0015</w:t>
            </w:r>
          </w:p>
        </w:tc>
        <w:tc>
          <w:tcPr>
            <w:tcW w:w="1275" w:type="dxa"/>
            <w:shd w:val="clear" w:color="auto" w:fill="auto"/>
            <w:noWrap/>
            <w:vAlign w:val="bottom"/>
          </w:tcPr>
          <w:p w:rsidR="003955DE" w:rsidRPr="00C628C4" w:rsidRDefault="003955DE" w:rsidP="00511BAA">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511BAA">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Higher</w:t>
            </w:r>
            <w:r w:rsidRPr="00C628C4">
              <w:rPr>
                <w:rFonts w:asciiTheme="majorHAnsi" w:eastAsia="Times New Roman" w:hAnsiTheme="majorHAnsi" w:cs="Arial"/>
                <w:color w:val="000000"/>
                <w:sz w:val="18"/>
                <w:szCs w:val="18"/>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r w:rsidR="003955DE" w:rsidRPr="002019C1" w:rsidTr="00DC14D9">
        <w:trPr>
          <w:trHeight w:val="64"/>
          <w:jc w:val="center"/>
        </w:trPr>
        <w:tc>
          <w:tcPr>
            <w:tcW w:w="1200" w:type="dxa"/>
            <w:shd w:val="clear" w:color="auto" w:fill="auto"/>
            <w:noWrap/>
            <w:vAlign w:val="bottom"/>
          </w:tcPr>
          <w:p w:rsidR="003955DE" w:rsidRPr="00C628C4" w:rsidRDefault="003955DE" w:rsidP="004B516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08.0</w:t>
            </w:r>
          </w:p>
        </w:tc>
        <w:tc>
          <w:tcPr>
            <w:tcW w:w="2835" w:type="dxa"/>
            <w:shd w:val="clear" w:color="auto" w:fill="auto"/>
            <w:vAlign w:val="center"/>
          </w:tcPr>
          <w:p w:rsidR="003955DE" w:rsidRPr="00C628C4" w:rsidRDefault="003955DE" w:rsidP="004B516C">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Other admitted patient care</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85</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$9,427.00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1,671</w:t>
            </w:r>
          </w:p>
        </w:tc>
        <w:tc>
          <w:tcPr>
            <w:tcW w:w="1276"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$22,300.90</w:t>
            </w:r>
          </w:p>
        </w:tc>
        <w:tc>
          <w:tcPr>
            <w:tcW w:w="992"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-7.84</w:t>
            </w:r>
          </w:p>
        </w:tc>
        <w:tc>
          <w:tcPr>
            <w:tcW w:w="993"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 0.0001</w:t>
            </w:r>
          </w:p>
        </w:tc>
        <w:tc>
          <w:tcPr>
            <w:tcW w:w="1275" w:type="dxa"/>
            <w:shd w:val="clear" w:color="auto" w:fill="auto"/>
            <w:noWrap/>
            <w:vAlign w:val="bottom"/>
          </w:tcPr>
          <w:p w:rsidR="003955DE" w:rsidRPr="00C628C4" w:rsidRDefault="003955DE" w:rsidP="00430818">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reject</w:t>
            </w:r>
          </w:p>
        </w:tc>
        <w:tc>
          <w:tcPr>
            <w:tcW w:w="3245" w:type="dxa"/>
            <w:vAlign w:val="bottom"/>
          </w:tcPr>
          <w:p w:rsidR="003955DE" w:rsidRPr="00C628C4" w:rsidRDefault="003955DE" w:rsidP="00511BAA">
            <w:pPr>
              <w:jc w:val="right"/>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19"/>
                <w:szCs w:val="19"/>
              </w:rPr>
              <w:t>Lower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1</w:t>
            </w:r>
            <w:r w:rsidR="008E2E20">
              <w:rPr>
                <w:rStyle w:val="IntenseReference"/>
                <w:rFonts w:asciiTheme="majorHAnsi" w:hAnsiTheme="majorHAnsi" w:cs="Times New Roman"/>
                <w:b w:val="0"/>
                <w:bCs w:val="0"/>
                <w:smallCaps w:val="0"/>
                <w:color w:val="000000" w:themeColor="text1"/>
                <w:sz w:val="22"/>
                <w:szCs w:val="22"/>
                <w:vertAlign w:val="subscript"/>
              </w:rPr>
              <w:t xml:space="preserve"> </w:t>
            </w:r>
            <w:r w:rsidR="008E2E20">
              <w:rPr>
                <w:rStyle w:val="IntenseReference"/>
                <w:rFonts w:asciiTheme="majorHAnsi" w:hAnsiTheme="majorHAnsi" w:cs="Times New Roman"/>
                <w:b w:val="0"/>
                <w:bCs w:val="0"/>
                <w:smallCaps w:val="0"/>
                <w:color w:val="000000" w:themeColor="text1"/>
                <w:sz w:val="20"/>
                <w:szCs w:val="20"/>
              </w:rPr>
              <w:t xml:space="preserve">˂ </w:t>
            </w:r>
            <w:r w:rsidR="008E2E20" w:rsidRPr="009D7F6D">
              <w:rPr>
                <w:rStyle w:val="IntenseReference"/>
                <w:rFonts w:asciiTheme="majorHAnsi" w:hAnsiTheme="majorHAnsi" w:cs="Times New Roman"/>
                <w:b w:val="0"/>
                <w:bCs w:val="0"/>
                <w:smallCaps w:val="0"/>
                <w:color w:val="000000" w:themeColor="text1"/>
                <w:sz w:val="22"/>
                <w:szCs w:val="22"/>
              </w:rPr>
              <w:t>µ</w:t>
            </w:r>
            <w:r w:rsidR="008E2E20"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9"/>
                <w:szCs w:val="19"/>
              </w:rPr>
              <w:t>)</w:t>
            </w:r>
          </w:p>
        </w:tc>
      </w:tr>
    </w:tbl>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 xml:space="preserve">Table </w:t>
      </w:r>
      <w:r w:rsidR="00DF026E" w:rsidRPr="005E6149">
        <w:rPr>
          <w:rFonts w:ascii="Arial" w:hAnsi="Arial" w:cs="Arial"/>
          <w:sz w:val="22"/>
          <w:szCs w:val="22"/>
        </w:rPr>
        <w:t>7</w:t>
      </w:r>
      <w:r w:rsidRPr="005E6149">
        <w:rPr>
          <w:rFonts w:ascii="Arial" w:hAnsi="Arial" w:cs="Arial"/>
          <w:sz w:val="22"/>
          <w:szCs w:val="22"/>
        </w:rPr>
        <w:t>.3 identifies that of the 12 care type categories considered within scope of the study:</w:t>
      </w:r>
    </w:p>
    <w:p w:rsidR="004B516C" w:rsidRPr="005E6149" w:rsidRDefault="004B516C" w:rsidP="00E86862">
      <w:pPr>
        <w:pStyle w:val="ListParagraph"/>
        <w:numPr>
          <w:ilvl w:val="0"/>
          <w:numId w:val="33"/>
        </w:numPr>
        <w:spacing w:before="120" w:after="120"/>
        <w:rPr>
          <w:rFonts w:ascii="Arial" w:hAnsi="Arial" w:cs="Arial"/>
          <w:sz w:val="22"/>
          <w:szCs w:val="22"/>
        </w:rPr>
      </w:pPr>
      <w:r w:rsidRPr="005E6149">
        <w:rPr>
          <w:rFonts w:ascii="Arial" w:hAnsi="Arial" w:cs="Arial"/>
          <w:sz w:val="22"/>
          <w:szCs w:val="22"/>
        </w:rPr>
        <w:t xml:space="preserve">4 care type categories reported no statistical difference in the two population </w:t>
      </w:r>
      <w:r w:rsidR="000B466E" w:rsidRPr="005E6149">
        <w:rPr>
          <w:rFonts w:ascii="Arial" w:hAnsi="Arial" w:cs="Arial"/>
          <w:sz w:val="22"/>
          <w:szCs w:val="22"/>
        </w:rPr>
        <w:t xml:space="preserve">average </w:t>
      </w:r>
      <w:r w:rsidRPr="005E6149">
        <w:rPr>
          <w:rFonts w:ascii="Arial" w:hAnsi="Arial" w:cs="Arial"/>
          <w:sz w:val="22"/>
          <w:szCs w:val="22"/>
        </w:rPr>
        <w:t>cost of service delivery</w:t>
      </w:r>
      <w:r w:rsidR="001B6B02" w:rsidRPr="005E6149">
        <w:rPr>
          <w:rFonts w:ascii="Arial" w:hAnsi="Arial" w:cs="Arial"/>
          <w:sz w:val="22"/>
          <w:szCs w:val="22"/>
        </w:rPr>
        <w:t>;</w:t>
      </w:r>
      <w:r w:rsidR="008E2E20">
        <w:rPr>
          <w:rFonts w:ascii="Arial" w:hAnsi="Arial" w:cs="Arial"/>
          <w:sz w:val="22"/>
          <w:szCs w:val="22"/>
        </w:rPr>
        <w:t xml:space="preserve"> </w:t>
      </w:r>
    </w:p>
    <w:p w:rsidR="004B516C" w:rsidRPr="005E6149" w:rsidRDefault="004B516C" w:rsidP="00E86862">
      <w:pPr>
        <w:pStyle w:val="ListParagraph"/>
        <w:numPr>
          <w:ilvl w:val="0"/>
          <w:numId w:val="33"/>
        </w:numPr>
        <w:spacing w:before="120" w:after="120"/>
        <w:rPr>
          <w:rFonts w:ascii="Arial" w:hAnsi="Arial" w:cs="Arial"/>
          <w:sz w:val="22"/>
          <w:szCs w:val="22"/>
        </w:rPr>
      </w:pPr>
      <w:r w:rsidRPr="005E6149">
        <w:rPr>
          <w:rFonts w:ascii="Arial" w:hAnsi="Arial" w:cs="Arial"/>
          <w:sz w:val="22"/>
          <w:szCs w:val="22"/>
        </w:rPr>
        <w:lastRenderedPageBreak/>
        <w:t xml:space="preserve">2 care type categories reported a statistical difference between the two population mean cost of service delivery, with the </w:t>
      </w:r>
      <w:r w:rsidR="007A097D">
        <w:rPr>
          <w:rFonts w:ascii="Arial" w:hAnsi="Arial" w:cs="Arial"/>
          <w:sz w:val="22"/>
          <w:szCs w:val="22"/>
        </w:rPr>
        <w:t>Non-Indigenous</w:t>
      </w:r>
      <w:r w:rsidRPr="005E6149">
        <w:rPr>
          <w:rFonts w:ascii="Arial" w:hAnsi="Arial" w:cs="Arial"/>
          <w:sz w:val="22"/>
          <w:szCs w:val="22"/>
        </w:rPr>
        <w:t xml:space="preserve"> population more expensive to treat than the Indigenous population; and</w:t>
      </w:r>
    </w:p>
    <w:p w:rsidR="004B516C" w:rsidRPr="005E6149" w:rsidRDefault="004B516C" w:rsidP="00E86862">
      <w:pPr>
        <w:pStyle w:val="ListParagraph"/>
        <w:numPr>
          <w:ilvl w:val="0"/>
          <w:numId w:val="33"/>
        </w:numPr>
        <w:spacing w:before="120" w:after="120"/>
        <w:rPr>
          <w:rFonts w:ascii="Arial" w:hAnsi="Arial" w:cs="Arial"/>
          <w:sz w:val="22"/>
          <w:szCs w:val="22"/>
        </w:rPr>
      </w:pPr>
      <w:r w:rsidRPr="005E6149">
        <w:rPr>
          <w:rFonts w:ascii="Arial" w:hAnsi="Arial" w:cs="Arial"/>
          <w:sz w:val="22"/>
          <w:szCs w:val="22"/>
        </w:rPr>
        <w:t xml:space="preserve">6 care type categories reported a statistical difference between the two population mean </w:t>
      </w:r>
      <w:proofErr w:type="gramStart"/>
      <w:r w:rsidRPr="005E6149">
        <w:rPr>
          <w:rFonts w:ascii="Arial" w:hAnsi="Arial" w:cs="Arial"/>
          <w:sz w:val="22"/>
          <w:szCs w:val="22"/>
        </w:rPr>
        <w:t>cost</w:t>
      </w:r>
      <w:proofErr w:type="gramEnd"/>
      <w:r w:rsidRPr="005E6149">
        <w:rPr>
          <w:rFonts w:ascii="Arial" w:hAnsi="Arial" w:cs="Arial"/>
          <w:sz w:val="22"/>
          <w:szCs w:val="22"/>
        </w:rPr>
        <w:t xml:space="preserve"> of service delivery, with the Indigenous population more expensive to treat than the </w:t>
      </w:r>
      <w:r w:rsidR="007A097D">
        <w:rPr>
          <w:rFonts w:ascii="Arial" w:hAnsi="Arial" w:cs="Arial"/>
          <w:sz w:val="22"/>
          <w:szCs w:val="22"/>
        </w:rPr>
        <w:t>Non-Indigenous</w:t>
      </w:r>
      <w:r w:rsidRPr="005E6149">
        <w:rPr>
          <w:rFonts w:ascii="Arial" w:hAnsi="Arial" w:cs="Arial"/>
          <w:sz w:val="22"/>
          <w:szCs w:val="22"/>
        </w:rPr>
        <w:t xml:space="preserve"> population.</w:t>
      </w:r>
    </w:p>
    <w:p w:rsidR="004B516C" w:rsidRPr="005E6149" w:rsidRDefault="004B516C" w:rsidP="004B516C">
      <w:pPr>
        <w:spacing w:before="120" w:after="120"/>
        <w:rPr>
          <w:rFonts w:ascii="Arial" w:hAnsi="Arial" w:cs="Arial"/>
          <w:sz w:val="22"/>
          <w:szCs w:val="22"/>
        </w:rPr>
      </w:pPr>
      <w:r w:rsidRPr="005E6149">
        <w:rPr>
          <w:rFonts w:ascii="Arial" w:hAnsi="Arial" w:cs="Arial"/>
          <w:sz w:val="22"/>
          <w:szCs w:val="22"/>
        </w:rPr>
        <w:t xml:space="preserve">Some caution needs to be extended in the interpretation of the data, as closer inspection of the dataset yields interesting features of the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client cohort that is counter intuitive</w:t>
      </w:r>
      <w:r w:rsidR="00D873D2">
        <w:rPr>
          <w:rFonts w:ascii="Arial" w:hAnsi="Arial" w:cs="Arial"/>
          <w:sz w:val="22"/>
          <w:szCs w:val="22"/>
        </w:rPr>
        <w:t xml:space="preserve">. </w:t>
      </w:r>
      <w:r w:rsidRPr="005E6149">
        <w:rPr>
          <w:rFonts w:ascii="Arial" w:hAnsi="Arial" w:cs="Arial"/>
          <w:sz w:val="22"/>
          <w:szCs w:val="22"/>
        </w:rPr>
        <w:t xml:space="preserve">For example, for care type 02.2 - rehabilitation according to a designated program, the majority of patients </w:t>
      </w:r>
      <w:proofErr w:type="gramStart"/>
      <w:r w:rsidRPr="005E6149">
        <w:rPr>
          <w:rFonts w:ascii="Arial" w:hAnsi="Arial" w:cs="Arial"/>
          <w:sz w:val="22"/>
          <w:szCs w:val="22"/>
        </w:rPr>
        <w:t>( 77.93</w:t>
      </w:r>
      <w:proofErr w:type="gramEnd"/>
      <w:r w:rsidRPr="005E6149">
        <w:rPr>
          <w:rFonts w:ascii="Arial" w:hAnsi="Arial" w:cs="Arial"/>
          <w:sz w:val="22"/>
          <w:szCs w:val="22"/>
        </w:rPr>
        <w:t>%) are flagged as same-day patients, having a length of stay of one day</w:t>
      </w:r>
      <w:r w:rsidR="00D873D2">
        <w:rPr>
          <w:rFonts w:ascii="Arial" w:hAnsi="Arial" w:cs="Arial"/>
          <w:sz w:val="22"/>
          <w:szCs w:val="22"/>
        </w:rPr>
        <w:t xml:space="preserve">. </w:t>
      </w:r>
      <w:r w:rsidRPr="005E6149">
        <w:rPr>
          <w:rFonts w:ascii="Arial" w:hAnsi="Arial" w:cs="Arial"/>
          <w:sz w:val="22"/>
          <w:szCs w:val="22"/>
        </w:rPr>
        <w:t>Extracting patients with length of stay of one day and then considering the cost differential profiles would adopt a similar and consistent approach to that documented for the acute admitted cohort</w:t>
      </w:r>
      <w:r w:rsidR="00D873D2">
        <w:rPr>
          <w:rFonts w:ascii="Arial" w:hAnsi="Arial" w:cs="Arial"/>
          <w:sz w:val="22"/>
          <w:szCs w:val="22"/>
        </w:rPr>
        <w:t xml:space="preserve">. </w:t>
      </w:r>
      <w:r w:rsidRPr="005E6149">
        <w:rPr>
          <w:rFonts w:ascii="Arial" w:hAnsi="Arial" w:cs="Arial"/>
          <w:sz w:val="22"/>
          <w:szCs w:val="22"/>
        </w:rPr>
        <w:t xml:space="preserve">However, the </w:t>
      </w:r>
      <w:proofErr w:type="gramStart"/>
      <w:r w:rsidRPr="005E6149">
        <w:rPr>
          <w:rFonts w:ascii="Arial" w:hAnsi="Arial" w:cs="Arial"/>
          <w:sz w:val="22"/>
          <w:szCs w:val="22"/>
        </w:rPr>
        <w:t xml:space="preserve">number of cases in the overnight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care type categories become</w:t>
      </w:r>
      <w:proofErr w:type="gramEnd"/>
      <w:r w:rsidRPr="005E6149">
        <w:rPr>
          <w:rFonts w:ascii="Arial" w:hAnsi="Arial" w:cs="Arial"/>
          <w:sz w:val="22"/>
          <w:szCs w:val="22"/>
        </w:rPr>
        <w:t xml:space="preserve"> relatively small in size, thereby compromising the statistical analysis and resultant reporting of the outputs</w:t>
      </w:r>
      <w:r w:rsidR="00D873D2">
        <w:rPr>
          <w:rFonts w:ascii="Arial" w:hAnsi="Arial" w:cs="Arial"/>
          <w:sz w:val="22"/>
          <w:szCs w:val="22"/>
        </w:rPr>
        <w:t xml:space="preserve">. </w:t>
      </w:r>
    </w:p>
    <w:p w:rsidR="004B516C" w:rsidRPr="005E6149" w:rsidRDefault="00DF026E" w:rsidP="004B516C">
      <w:pPr>
        <w:spacing w:before="120" w:after="120"/>
        <w:rPr>
          <w:rFonts w:ascii="Arial" w:hAnsi="Arial" w:cs="Arial"/>
          <w:sz w:val="22"/>
          <w:szCs w:val="22"/>
        </w:rPr>
      </w:pPr>
      <w:r w:rsidRPr="005E6149">
        <w:rPr>
          <w:rFonts w:ascii="Arial" w:hAnsi="Arial" w:cs="Arial"/>
          <w:sz w:val="22"/>
          <w:szCs w:val="22"/>
        </w:rPr>
        <w:t>M</w:t>
      </w:r>
      <w:r w:rsidR="004B516C" w:rsidRPr="005E6149">
        <w:rPr>
          <w:rFonts w:ascii="Arial" w:hAnsi="Arial" w:cs="Arial"/>
          <w:sz w:val="22"/>
          <w:szCs w:val="22"/>
        </w:rPr>
        <w:t xml:space="preserve">aintaining the analyses at the care type level, and investigating the differences between the two population means, statistically results in an overall cost differential for </w:t>
      </w:r>
      <w:proofErr w:type="spellStart"/>
      <w:r w:rsidR="00190E37">
        <w:rPr>
          <w:rFonts w:ascii="Arial" w:hAnsi="Arial" w:cs="Arial"/>
          <w:sz w:val="22"/>
          <w:szCs w:val="22"/>
        </w:rPr>
        <w:t>subacute</w:t>
      </w:r>
      <w:proofErr w:type="spellEnd"/>
      <w:r w:rsidR="004B516C" w:rsidRPr="005E6149">
        <w:rPr>
          <w:rFonts w:ascii="Arial" w:hAnsi="Arial" w:cs="Arial"/>
          <w:sz w:val="22"/>
          <w:szCs w:val="22"/>
        </w:rPr>
        <w:t xml:space="preserve"> services of:</w:t>
      </w:r>
    </w:p>
    <w:p w:rsidR="004B516C" w:rsidRPr="005E6149" w:rsidRDefault="004B516C" w:rsidP="00E86862">
      <w:pPr>
        <w:pStyle w:val="ListParagraph"/>
        <w:numPr>
          <w:ilvl w:val="0"/>
          <w:numId w:val="30"/>
        </w:numPr>
        <w:spacing w:before="120" w:after="120"/>
        <w:jc w:val="both"/>
        <w:rPr>
          <w:rFonts w:ascii="Arial" w:hAnsi="Arial" w:cs="Arial"/>
          <w:sz w:val="22"/>
          <w:szCs w:val="22"/>
        </w:rPr>
      </w:pPr>
      <w:r w:rsidRPr="005E6149">
        <w:rPr>
          <w:rFonts w:ascii="Arial" w:hAnsi="Arial" w:cs="Arial"/>
          <w:sz w:val="22"/>
          <w:szCs w:val="22"/>
        </w:rPr>
        <w:t>5% for the Round 17 dataset when comparing only th</w:t>
      </w:r>
      <w:r w:rsidR="00A90A1F">
        <w:rPr>
          <w:rFonts w:ascii="Arial" w:hAnsi="Arial" w:cs="Arial"/>
          <w:sz w:val="22"/>
          <w:szCs w:val="22"/>
        </w:rPr>
        <w:t>o</w:t>
      </w:r>
      <w:r w:rsidRPr="005E6149">
        <w:rPr>
          <w:rFonts w:ascii="Arial" w:hAnsi="Arial" w:cs="Arial"/>
          <w:sz w:val="22"/>
          <w:szCs w:val="22"/>
        </w:rPr>
        <w:t>se care types with statistically different cost profiles; and</w:t>
      </w:r>
    </w:p>
    <w:p w:rsidR="004B516C" w:rsidRPr="005E6149" w:rsidRDefault="004B516C" w:rsidP="00E86862">
      <w:pPr>
        <w:pStyle w:val="ListParagraph"/>
        <w:numPr>
          <w:ilvl w:val="0"/>
          <w:numId w:val="30"/>
        </w:numPr>
        <w:spacing w:before="120" w:after="120"/>
        <w:rPr>
          <w:rFonts w:ascii="Arial" w:hAnsi="Arial" w:cs="Arial"/>
          <w:sz w:val="22"/>
          <w:szCs w:val="22"/>
        </w:rPr>
      </w:pPr>
      <w:r w:rsidRPr="005E6149">
        <w:rPr>
          <w:rFonts w:ascii="Arial" w:hAnsi="Arial" w:cs="Arial"/>
          <w:sz w:val="22"/>
          <w:szCs w:val="22"/>
        </w:rPr>
        <w:t xml:space="preserve">3% for all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services.</w:t>
      </w:r>
    </w:p>
    <w:p w:rsidR="001E165C" w:rsidRPr="00A46AE7" w:rsidRDefault="001E165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Conclusion</w:t>
      </w:r>
    </w:p>
    <w:p w:rsidR="001E165C" w:rsidRPr="00756929" w:rsidRDefault="001E165C" w:rsidP="00756929">
      <w:pPr>
        <w:rPr>
          <w:rFonts w:ascii="Arial" w:hAnsi="Arial" w:cs="Arial"/>
          <w:sz w:val="22"/>
          <w:szCs w:val="22"/>
        </w:rPr>
      </w:pPr>
      <w:r w:rsidRPr="00756929">
        <w:rPr>
          <w:rFonts w:ascii="Arial" w:hAnsi="Arial" w:cs="Arial"/>
          <w:sz w:val="22"/>
          <w:szCs w:val="22"/>
        </w:rPr>
        <w:t xml:space="preserve">There is an overall cost differential incurred when treating an Indigenous patient compared to a </w:t>
      </w:r>
      <w:r w:rsidR="007A097D">
        <w:rPr>
          <w:rFonts w:ascii="Arial" w:hAnsi="Arial" w:cs="Arial"/>
          <w:sz w:val="22"/>
          <w:szCs w:val="22"/>
        </w:rPr>
        <w:t>Non-Indigenous</w:t>
      </w:r>
      <w:r w:rsidRPr="00756929">
        <w:rPr>
          <w:rFonts w:ascii="Arial" w:hAnsi="Arial" w:cs="Arial"/>
          <w:sz w:val="22"/>
          <w:szCs w:val="22"/>
        </w:rPr>
        <w:t xml:space="preserve"> patent for </w:t>
      </w:r>
      <w:proofErr w:type="spellStart"/>
      <w:r w:rsidR="00190E37">
        <w:rPr>
          <w:rFonts w:ascii="Arial" w:hAnsi="Arial" w:cs="Arial"/>
          <w:sz w:val="22"/>
          <w:szCs w:val="22"/>
        </w:rPr>
        <w:t>subacute</w:t>
      </w:r>
      <w:proofErr w:type="spellEnd"/>
      <w:r w:rsidRPr="00756929">
        <w:rPr>
          <w:rFonts w:ascii="Arial" w:hAnsi="Arial" w:cs="Arial"/>
          <w:sz w:val="22"/>
          <w:szCs w:val="22"/>
        </w:rPr>
        <w:t xml:space="preserve"> services</w:t>
      </w:r>
      <w:r w:rsidR="00D873D2" w:rsidRPr="00756929">
        <w:rPr>
          <w:rFonts w:ascii="Arial" w:hAnsi="Arial" w:cs="Arial"/>
          <w:sz w:val="22"/>
          <w:szCs w:val="22"/>
        </w:rPr>
        <w:t xml:space="preserve">. </w:t>
      </w:r>
      <w:r w:rsidRPr="00756929">
        <w:rPr>
          <w:rFonts w:ascii="Arial" w:hAnsi="Arial" w:cs="Arial"/>
          <w:sz w:val="22"/>
          <w:szCs w:val="22"/>
        </w:rPr>
        <w:t xml:space="preserve">It is, on average, 3.35% more expensive to provide </w:t>
      </w:r>
      <w:proofErr w:type="spellStart"/>
      <w:r w:rsidR="00190E37">
        <w:rPr>
          <w:rFonts w:ascii="Arial" w:hAnsi="Arial" w:cs="Arial"/>
          <w:sz w:val="22"/>
          <w:szCs w:val="22"/>
        </w:rPr>
        <w:t>subacute</w:t>
      </w:r>
      <w:proofErr w:type="spellEnd"/>
      <w:r w:rsidRPr="00756929">
        <w:rPr>
          <w:rFonts w:ascii="Arial" w:hAnsi="Arial" w:cs="Arial"/>
          <w:sz w:val="22"/>
          <w:szCs w:val="22"/>
        </w:rPr>
        <w:t xml:space="preserve"> services to the Indigenous patient than the </w:t>
      </w:r>
      <w:r w:rsidR="007A097D">
        <w:rPr>
          <w:rFonts w:ascii="Arial" w:hAnsi="Arial" w:cs="Arial"/>
          <w:sz w:val="22"/>
          <w:szCs w:val="22"/>
        </w:rPr>
        <w:t>Non-Indigenous</w:t>
      </w:r>
      <w:r w:rsidRPr="00756929">
        <w:rPr>
          <w:rFonts w:ascii="Arial" w:hAnsi="Arial" w:cs="Arial"/>
          <w:sz w:val="22"/>
          <w:szCs w:val="22"/>
        </w:rPr>
        <w:t xml:space="preserve"> patient.</w:t>
      </w:r>
    </w:p>
    <w:p w:rsidR="001E165C" w:rsidRPr="005E6149" w:rsidRDefault="001E165C" w:rsidP="001E165C">
      <w:pPr>
        <w:spacing w:before="120" w:after="120"/>
        <w:rPr>
          <w:rFonts w:ascii="Arial" w:hAnsi="Arial" w:cs="Arial"/>
          <w:sz w:val="22"/>
          <w:szCs w:val="22"/>
        </w:rPr>
      </w:pPr>
    </w:p>
    <w:p w:rsidR="001E165C" w:rsidRPr="005E6149" w:rsidRDefault="001E165C" w:rsidP="001E165C">
      <w:pPr>
        <w:spacing w:before="120" w:after="120"/>
        <w:rPr>
          <w:rFonts w:ascii="Arial" w:hAnsi="Arial" w:cs="Arial"/>
          <w:sz w:val="22"/>
          <w:szCs w:val="22"/>
        </w:rPr>
        <w:sectPr w:rsidR="001E165C" w:rsidRPr="005E6149" w:rsidSect="006A4720">
          <w:pgSz w:w="15840" w:h="12240" w:orient="landscape"/>
          <w:pgMar w:top="1800" w:right="1440" w:bottom="1800" w:left="1440" w:header="720" w:footer="720" w:gutter="0"/>
          <w:cols w:space="720"/>
          <w:docGrid w:linePitch="360"/>
        </w:sectPr>
      </w:pPr>
    </w:p>
    <w:p w:rsidR="000B1144" w:rsidRPr="00FD775F" w:rsidRDefault="000B1144" w:rsidP="00287791">
      <w:pPr>
        <w:pStyle w:val="Heading1"/>
        <w:ind w:left="0"/>
      </w:pPr>
      <w:bookmarkStart w:id="65" w:name="_Toc278480630"/>
      <w:bookmarkStart w:id="66" w:name="_Toc426117643"/>
      <w:r w:rsidRPr="00FD775F">
        <w:lastRenderedPageBreak/>
        <w:t>Identifying a Cost Differential – Emergency Department Services</w:t>
      </w:r>
      <w:bookmarkEnd w:id="65"/>
      <w:bookmarkEnd w:id="66"/>
    </w:p>
    <w:p w:rsidR="003E7711" w:rsidRPr="005E6149" w:rsidRDefault="003E7711" w:rsidP="00806D88">
      <w:pPr>
        <w:spacing w:before="120" w:after="120"/>
        <w:rPr>
          <w:rFonts w:ascii="Arial" w:hAnsi="Arial" w:cs="Arial"/>
          <w:sz w:val="22"/>
          <w:szCs w:val="22"/>
        </w:rPr>
      </w:pPr>
      <w:r w:rsidRPr="005E6149">
        <w:rPr>
          <w:rFonts w:ascii="Arial" w:hAnsi="Arial" w:cs="Arial"/>
          <w:sz w:val="22"/>
          <w:szCs w:val="22"/>
        </w:rPr>
        <w:t xml:space="preserve">The Round 16 dataset contained </w:t>
      </w:r>
      <w:r w:rsidR="00D72455" w:rsidRPr="005E6149">
        <w:rPr>
          <w:rFonts w:ascii="Arial" w:hAnsi="Arial" w:cs="Arial"/>
          <w:sz w:val="22"/>
          <w:szCs w:val="22"/>
        </w:rPr>
        <w:t>6,490,953</w:t>
      </w:r>
      <w:r w:rsidRPr="005E6149">
        <w:rPr>
          <w:rFonts w:ascii="Arial" w:hAnsi="Arial" w:cs="Arial"/>
          <w:sz w:val="22"/>
          <w:szCs w:val="22"/>
        </w:rPr>
        <w:t xml:space="preserve"> records </w:t>
      </w:r>
      <w:r w:rsidR="00755F79" w:rsidRPr="005E6149">
        <w:rPr>
          <w:rFonts w:ascii="Arial" w:hAnsi="Arial" w:cs="Arial"/>
          <w:sz w:val="22"/>
          <w:szCs w:val="22"/>
        </w:rPr>
        <w:t xml:space="preserve">identifying </w:t>
      </w:r>
      <w:r w:rsidRPr="005E6149">
        <w:rPr>
          <w:rFonts w:ascii="Arial" w:hAnsi="Arial" w:cs="Arial"/>
          <w:sz w:val="22"/>
          <w:szCs w:val="22"/>
        </w:rPr>
        <w:t xml:space="preserve">patients presenting to emergency departments and receiving services either on an admitted or </w:t>
      </w:r>
      <w:r w:rsidR="00F618BE">
        <w:rPr>
          <w:rFonts w:ascii="Arial" w:hAnsi="Arial" w:cs="Arial"/>
          <w:sz w:val="22"/>
          <w:szCs w:val="22"/>
        </w:rPr>
        <w:t>non</w:t>
      </w:r>
      <w:r w:rsidRPr="005E6149">
        <w:rPr>
          <w:rFonts w:ascii="Arial" w:hAnsi="Arial" w:cs="Arial"/>
          <w:sz w:val="22"/>
          <w:szCs w:val="22"/>
        </w:rPr>
        <w:t>-admitted basis</w:t>
      </w:r>
      <w:r w:rsidR="00D873D2">
        <w:rPr>
          <w:rFonts w:ascii="Arial" w:hAnsi="Arial" w:cs="Arial"/>
          <w:sz w:val="22"/>
          <w:szCs w:val="22"/>
        </w:rPr>
        <w:t xml:space="preserve">. </w:t>
      </w:r>
      <w:r w:rsidRPr="005E6149">
        <w:rPr>
          <w:rFonts w:ascii="Arial" w:hAnsi="Arial" w:cs="Arial"/>
          <w:sz w:val="22"/>
          <w:szCs w:val="22"/>
        </w:rPr>
        <w:t xml:space="preserve">Round 17 contained </w:t>
      </w:r>
      <w:r w:rsidR="00806D88" w:rsidRPr="005E6149">
        <w:rPr>
          <w:rFonts w:ascii="Arial" w:hAnsi="Arial" w:cs="Arial"/>
          <w:sz w:val="22"/>
          <w:szCs w:val="22"/>
        </w:rPr>
        <w:t>6,476,202</w:t>
      </w:r>
      <w:r w:rsidRPr="005E6149">
        <w:rPr>
          <w:rFonts w:ascii="Arial" w:hAnsi="Arial" w:cs="Arial"/>
          <w:sz w:val="22"/>
          <w:szCs w:val="22"/>
        </w:rPr>
        <w:t xml:space="preserve"> comparable records.</w:t>
      </w:r>
    </w:p>
    <w:p w:rsidR="00BB03E6" w:rsidRPr="005E6149" w:rsidRDefault="003841FC" w:rsidP="00806D88">
      <w:pPr>
        <w:spacing w:before="120" w:after="120"/>
        <w:rPr>
          <w:rFonts w:ascii="Arial" w:hAnsi="Arial" w:cs="Arial"/>
          <w:sz w:val="22"/>
          <w:szCs w:val="22"/>
        </w:rPr>
      </w:pPr>
      <w:r>
        <w:rPr>
          <w:rFonts w:ascii="Arial" w:hAnsi="Arial" w:cs="Arial"/>
          <w:sz w:val="22"/>
          <w:szCs w:val="22"/>
        </w:rPr>
        <w:t>A</w:t>
      </w:r>
      <w:r w:rsidR="00806D88" w:rsidRPr="005E6149">
        <w:rPr>
          <w:rFonts w:ascii="Arial" w:hAnsi="Arial" w:cs="Arial"/>
          <w:sz w:val="22"/>
          <w:szCs w:val="22"/>
        </w:rPr>
        <w:t xml:space="preserve">ll cases where the Indigenous status was </w:t>
      </w:r>
      <w:r w:rsidR="00AF37E4" w:rsidRPr="005E6149">
        <w:rPr>
          <w:rFonts w:ascii="Arial" w:hAnsi="Arial" w:cs="Arial"/>
          <w:sz w:val="22"/>
          <w:szCs w:val="22"/>
        </w:rPr>
        <w:t>not identified</w:t>
      </w:r>
      <w:r>
        <w:rPr>
          <w:rFonts w:ascii="Arial" w:hAnsi="Arial" w:cs="Arial"/>
          <w:sz w:val="22"/>
          <w:szCs w:val="22"/>
        </w:rPr>
        <w:t xml:space="preserve"> were removed from the dataset</w:t>
      </w:r>
      <w:r w:rsidR="00D873D2">
        <w:rPr>
          <w:rFonts w:ascii="Arial" w:hAnsi="Arial" w:cs="Arial"/>
          <w:sz w:val="22"/>
          <w:szCs w:val="22"/>
        </w:rPr>
        <w:t xml:space="preserve">. </w:t>
      </w:r>
      <w:r w:rsidR="00755F79" w:rsidRPr="005E6149">
        <w:rPr>
          <w:rFonts w:ascii="Arial" w:hAnsi="Arial" w:cs="Arial"/>
          <w:sz w:val="22"/>
          <w:szCs w:val="22"/>
        </w:rPr>
        <w:t xml:space="preserve">The partitioning of the datasets into emergency admitted and emergency </w:t>
      </w:r>
      <w:r w:rsidR="00F618BE">
        <w:rPr>
          <w:rFonts w:ascii="Arial" w:hAnsi="Arial" w:cs="Arial"/>
          <w:sz w:val="22"/>
          <w:szCs w:val="22"/>
        </w:rPr>
        <w:t>non</w:t>
      </w:r>
      <w:r w:rsidR="00755F79" w:rsidRPr="005E6149">
        <w:rPr>
          <w:rFonts w:ascii="Arial" w:hAnsi="Arial" w:cs="Arial"/>
          <w:sz w:val="22"/>
          <w:szCs w:val="22"/>
        </w:rPr>
        <w:t>-admitted products was then undertaken.</w:t>
      </w:r>
    </w:p>
    <w:p w:rsidR="00F043C2" w:rsidRPr="005E6149" w:rsidRDefault="00F043C2" w:rsidP="00F043C2">
      <w:pPr>
        <w:pStyle w:val="TableCaption"/>
        <w:rPr>
          <w:rFonts w:ascii="Arial" w:hAnsi="Arial" w:cs="Arial"/>
          <w:sz w:val="18"/>
          <w:szCs w:val="18"/>
        </w:rPr>
      </w:pPr>
      <w:bookmarkStart w:id="67" w:name="_Toc278480678"/>
      <w:r w:rsidRPr="005E6149">
        <w:rPr>
          <w:rFonts w:ascii="Arial" w:hAnsi="Arial" w:cs="Arial"/>
          <w:sz w:val="18"/>
          <w:szCs w:val="18"/>
        </w:rPr>
        <w:t xml:space="preserve">Table 8.1: Number of Indigenous and </w:t>
      </w:r>
      <w:r w:rsidR="007A097D">
        <w:rPr>
          <w:rFonts w:ascii="Arial" w:hAnsi="Arial" w:cs="Arial"/>
          <w:sz w:val="18"/>
          <w:szCs w:val="18"/>
        </w:rPr>
        <w:t>Non-Indigenous</w:t>
      </w:r>
      <w:r w:rsidRPr="005E6149">
        <w:rPr>
          <w:rFonts w:ascii="Arial" w:hAnsi="Arial" w:cs="Arial"/>
          <w:sz w:val="18"/>
          <w:szCs w:val="18"/>
        </w:rPr>
        <w:t xml:space="preserve"> records by product type contained on the trimmed emergency department cost datasets from Round 16 (2011/12) and Round 17(2012/2013) NHCDC respectively</w:t>
      </w:r>
      <w:bookmarkEnd w:id="67"/>
    </w:p>
    <w:tbl>
      <w:tblPr>
        <w:tblW w:w="68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75"/>
        <w:gridCol w:w="1026"/>
        <w:gridCol w:w="1026"/>
        <w:gridCol w:w="1026"/>
        <w:gridCol w:w="1026"/>
        <w:gridCol w:w="1026"/>
      </w:tblGrid>
      <w:tr w:rsidR="007D6195" w:rsidRPr="002019C1" w:rsidTr="00F043C2">
        <w:trPr>
          <w:trHeight w:val="300"/>
          <w:jc w:val="center"/>
        </w:trPr>
        <w:tc>
          <w:tcPr>
            <w:tcW w:w="1573" w:type="dxa"/>
            <w:vMerge w:val="restart"/>
            <w:shd w:val="clear" w:color="auto" w:fill="CCCCCC"/>
            <w:noWrap/>
            <w:vAlign w:val="bottom"/>
            <w:hideMark/>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Indigenous Status</w:t>
            </w:r>
          </w:p>
        </w:tc>
        <w:tc>
          <w:tcPr>
            <w:tcW w:w="1701" w:type="dxa"/>
            <w:gridSpan w:val="2"/>
            <w:shd w:val="clear" w:color="auto" w:fill="CCCCCC"/>
            <w:noWrap/>
            <w:vAlign w:val="bottom"/>
            <w:hideMark/>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Admitted ED</w:t>
            </w:r>
          </w:p>
        </w:tc>
        <w:tc>
          <w:tcPr>
            <w:tcW w:w="1912" w:type="dxa"/>
            <w:gridSpan w:val="2"/>
            <w:shd w:val="clear" w:color="auto" w:fill="CCCCCC"/>
            <w:noWrap/>
            <w:vAlign w:val="bottom"/>
            <w:hideMark/>
          </w:tcPr>
          <w:p w:rsidR="007D6195" w:rsidRPr="00C628C4" w:rsidRDefault="00F618BE"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Non</w:t>
            </w:r>
            <w:r w:rsidR="007D6195" w:rsidRPr="00C628C4">
              <w:rPr>
                <w:rFonts w:asciiTheme="majorHAnsi" w:eastAsia="Times New Roman" w:hAnsiTheme="majorHAnsi" w:cs="Arial"/>
                <w:b/>
                <w:sz w:val="20"/>
                <w:szCs w:val="20"/>
                <w:lang w:val="en-AU"/>
              </w:rPr>
              <w:t>-Admitted ED</w:t>
            </w:r>
          </w:p>
        </w:tc>
        <w:tc>
          <w:tcPr>
            <w:tcW w:w="1701" w:type="dxa"/>
            <w:gridSpan w:val="2"/>
            <w:shd w:val="clear" w:color="auto" w:fill="CCCCCC"/>
            <w:noWrap/>
            <w:vAlign w:val="bottom"/>
            <w:hideMark/>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Totals</w:t>
            </w:r>
          </w:p>
        </w:tc>
      </w:tr>
      <w:tr w:rsidR="007D6195" w:rsidRPr="002019C1" w:rsidTr="00F043C2">
        <w:trPr>
          <w:trHeight w:val="300"/>
          <w:jc w:val="center"/>
        </w:trPr>
        <w:tc>
          <w:tcPr>
            <w:tcW w:w="1573" w:type="dxa"/>
            <w:vMerge/>
            <w:shd w:val="clear" w:color="auto" w:fill="CCCCCC"/>
            <w:noWrap/>
            <w:vAlign w:val="bottom"/>
          </w:tcPr>
          <w:p w:rsidR="007D6195" w:rsidRPr="00C628C4" w:rsidRDefault="007D6195" w:rsidP="007D6195">
            <w:pPr>
              <w:jc w:val="center"/>
              <w:rPr>
                <w:rFonts w:asciiTheme="majorHAnsi" w:eastAsia="Times New Roman" w:hAnsiTheme="majorHAnsi" w:cs="Arial"/>
                <w:b/>
                <w:sz w:val="20"/>
                <w:szCs w:val="20"/>
                <w:lang w:val="en-AU"/>
              </w:rPr>
            </w:pPr>
          </w:p>
        </w:tc>
        <w:tc>
          <w:tcPr>
            <w:tcW w:w="675" w:type="dxa"/>
            <w:shd w:val="clear" w:color="auto" w:fill="CCCCCC"/>
            <w:noWrap/>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Rd16</w:t>
            </w:r>
          </w:p>
        </w:tc>
        <w:tc>
          <w:tcPr>
            <w:tcW w:w="1026" w:type="dxa"/>
            <w:shd w:val="clear" w:color="auto" w:fill="CCCCCC"/>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Rd17</w:t>
            </w:r>
          </w:p>
        </w:tc>
        <w:tc>
          <w:tcPr>
            <w:tcW w:w="886" w:type="dxa"/>
            <w:shd w:val="clear" w:color="auto" w:fill="CCCCCC"/>
            <w:noWrap/>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Rd16</w:t>
            </w:r>
          </w:p>
        </w:tc>
        <w:tc>
          <w:tcPr>
            <w:tcW w:w="1026" w:type="dxa"/>
            <w:shd w:val="clear" w:color="auto" w:fill="CCCCCC"/>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Rd17</w:t>
            </w:r>
          </w:p>
        </w:tc>
        <w:tc>
          <w:tcPr>
            <w:tcW w:w="675" w:type="dxa"/>
            <w:shd w:val="clear" w:color="auto" w:fill="CCCCCC"/>
            <w:noWrap/>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Rd16</w:t>
            </w:r>
          </w:p>
        </w:tc>
        <w:tc>
          <w:tcPr>
            <w:tcW w:w="1026" w:type="dxa"/>
            <w:shd w:val="clear" w:color="auto" w:fill="CCCCCC"/>
            <w:vAlign w:val="bottom"/>
          </w:tcPr>
          <w:p w:rsidR="007D6195" w:rsidRPr="00C628C4" w:rsidRDefault="007D6195" w:rsidP="007D6195">
            <w:pPr>
              <w:jc w:val="center"/>
              <w:rPr>
                <w:rFonts w:asciiTheme="majorHAnsi" w:eastAsia="Times New Roman" w:hAnsiTheme="majorHAnsi" w:cs="Arial"/>
                <w:b/>
                <w:sz w:val="20"/>
                <w:szCs w:val="20"/>
                <w:lang w:val="en-AU"/>
              </w:rPr>
            </w:pPr>
            <w:r w:rsidRPr="00C628C4">
              <w:rPr>
                <w:rFonts w:asciiTheme="majorHAnsi" w:eastAsia="Times New Roman" w:hAnsiTheme="majorHAnsi" w:cs="Arial"/>
                <w:b/>
                <w:sz w:val="20"/>
                <w:szCs w:val="20"/>
                <w:lang w:val="en-AU"/>
              </w:rPr>
              <w:t>Rd17</w:t>
            </w:r>
          </w:p>
        </w:tc>
      </w:tr>
      <w:tr w:rsidR="007D6195" w:rsidRPr="002019C1" w:rsidTr="00F043C2">
        <w:trPr>
          <w:trHeight w:val="300"/>
          <w:jc w:val="center"/>
        </w:trPr>
        <w:tc>
          <w:tcPr>
            <w:tcW w:w="1573" w:type="dxa"/>
            <w:shd w:val="clear" w:color="auto" w:fill="auto"/>
            <w:noWrap/>
            <w:vAlign w:val="bottom"/>
            <w:hideMark/>
          </w:tcPr>
          <w:p w:rsidR="007D6195" w:rsidRPr="00C628C4" w:rsidRDefault="007D6195" w:rsidP="007D6195">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Indigenous</w:t>
            </w:r>
          </w:p>
        </w:tc>
        <w:tc>
          <w:tcPr>
            <w:tcW w:w="675"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50,594</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90,096</w:t>
            </w:r>
          </w:p>
        </w:tc>
        <w:tc>
          <w:tcPr>
            <w:tcW w:w="886"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215,464</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266,041</w:t>
            </w:r>
          </w:p>
        </w:tc>
        <w:tc>
          <w:tcPr>
            <w:tcW w:w="675"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266,058</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356,137</w:t>
            </w:r>
          </w:p>
        </w:tc>
      </w:tr>
      <w:tr w:rsidR="007D6195" w:rsidRPr="002019C1" w:rsidTr="00F043C2">
        <w:trPr>
          <w:trHeight w:val="300"/>
          <w:jc w:val="center"/>
        </w:trPr>
        <w:tc>
          <w:tcPr>
            <w:tcW w:w="1573" w:type="dxa"/>
            <w:shd w:val="clear" w:color="auto" w:fill="auto"/>
            <w:noWrap/>
            <w:vAlign w:val="bottom"/>
            <w:hideMark/>
          </w:tcPr>
          <w:p w:rsidR="007D6195" w:rsidRPr="00C628C4" w:rsidRDefault="007A097D" w:rsidP="007D6195">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Non-Indigenous</w:t>
            </w:r>
          </w:p>
        </w:tc>
        <w:tc>
          <w:tcPr>
            <w:tcW w:w="675"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738,714</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1,582,844</w:t>
            </w:r>
          </w:p>
        </w:tc>
        <w:tc>
          <w:tcPr>
            <w:tcW w:w="886"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2,848,299</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4,190,791</w:t>
            </w:r>
          </w:p>
        </w:tc>
        <w:tc>
          <w:tcPr>
            <w:tcW w:w="675" w:type="dxa"/>
            <w:shd w:val="clear" w:color="auto" w:fill="auto"/>
            <w:noWrap/>
            <w:vAlign w:val="bottom"/>
            <w:hideMark/>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3,587,013</w:t>
            </w:r>
          </w:p>
        </w:tc>
        <w:tc>
          <w:tcPr>
            <w:tcW w:w="1026" w:type="dxa"/>
            <w:shd w:val="clear" w:color="auto" w:fill="auto"/>
            <w:vAlign w:val="bottom"/>
          </w:tcPr>
          <w:p w:rsidR="007D6195" w:rsidRPr="00C628C4" w:rsidRDefault="007D6195"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5,773,635</w:t>
            </w:r>
          </w:p>
        </w:tc>
      </w:tr>
      <w:tr w:rsidR="007D6195" w:rsidRPr="002019C1" w:rsidTr="00F043C2">
        <w:trPr>
          <w:trHeight w:val="300"/>
          <w:jc w:val="center"/>
        </w:trPr>
        <w:tc>
          <w:tcPr>
            <w:tcW w:w="1573" w:type="dxa"/>
            <w:shd w:val="clear" w:color="auto" w:fill="auto"/>
            <w:noWrap/>
            <w:vAlign w:val="bottom"/>
          </w:tcPr>
          <w:p w:rsidR="007D6195" w:rsidRPr="00C628C4" w:rsidRDefault="007D6195" w:rsidP="007D6195">
            <w:pP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Total</w:t>
            </w:r>
          </w:p>
        </w:tc>
        <w:tc>
          <w:tcPr>
            <w:tcW w:w="675" w:type="dxa"/>
            <w:shd w:val="clear" w:color="auto" w:fill="auto"/>
            <w:noWrap/>
            <w:vAlign w:val="bottom"/>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789,308</w:t>
            </w:r>
          </w:p>
        </w:tc>
        <w:tc>
          <w:tcPr>
            <w:tcW w:w="1026" w:type="dxa"/>
            <w:shd w:val="clear" w:color="auto" w:fill="auto"/>
            <w:vAlign w:val="bottom"/>
          </w:tcPr>
          <w:p w:rsidR="007D6195" w:rsidRPr="00C628C4" w:rsidRDefault="00F043C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1,672,940</w:t>
            </w:r>
          </w:p>
        </w:tc>
        <w:tc>
          <w:tcPr>
            <w:tcW w:w="886" w:type="dxa"/>
            <w:shd w:val="clear" w:color="auto" w:fill="auto"/>
            <w:noWrap/>
            <w:vAlign w:val="bottom"/>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3,063,763</w:t>
            </w:r>
          </w:p>
        </w:tc>
        <w:tc>
          <w:tcPr>
            <w:tcW w:w="1026" w:type="dxa"/>
            <w:shd w:val="clear" w:color="auto" w:fill="auto"/>
            <w:vAlign w:val="bottom"/>
          </w:tcPr>
          <w:p w:rsidR="007D6195" w:rsidRPr="00C628C4" w:rsidRDefault="00F043C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4,456,832</w:t>
            </w:r>
          </w:p>
        </w:tc>
        <w:tc>
          <w:tcPr>
            <w:tcW w:w="675" w:type="dxa"/>
            <w:shd w:val="clear" w:color="auto" w:fill="auto"/>
            <w:noWrap/>
            <w:vAlign w:val="bottom"/>
          </w:tcPr>
          <w:p w:rsidR="007D6195" w:rsidRPr="00C628C4" w:rsidRDefault="0069205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3,853,071</w:t>
            </w:r>
          </w:p>
        </w:tc>
        <w:tc>
          <w:tcPr>
            <w:tcW w:w="1026" w:type="dxa"/>
            <w:shd w:val="clear" w:color="auto" w:fill="auto"/>
            <w:vAlign w:val="bottom"/>
          </w:tcPr>
          <w:p w:rsidR="007D6195" w:rsidRPr="00C628C4" w:rsidRDefault="00F043C2" w:rsidP="007D6195">
            <w:pPr>
              <w:jc w:val="right"/>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6,129,772</w:t>
            </w:r>
          </w:p>
        </w:tc>
      </w:tr>
    </w:tbl>
    <w:p w:rsidR="00982783" w:rsidRPr="005E6149" w:rsidRDefault="00982783" w:rsidP="00982783">
      <w:pPr>
        <w:pStyle w:val="Heading2"/>
        <w:rPr>
          <w:rFonts w:ascii="Arial" w:hAnsi="Arial" w:cs="Arial"/>
        </w:rPr>
      </w:pPr>
      <w:bookmarkStart w:id="68" w:name="_Toc278480631"/>
      <w:r w:rsidRPr="005E6149">
        <w:rPr>
          <w:rFonts w:ascii="Arial" w:hAnsi="Arial" w:cs="Arial"/>
        </w:rPr>
        <w:t>Statistical Analyses of the ED Dataset</w:t>
      </w:r>
      <w:bookmarkEnd w:id="68"/>
    </w:p>
    <w:p w:rsidR="00982783" w:rsidRPr="005E6149" w:rsidRDefault="00982783" w:rsidP="009718D1">
      <w:pPr>
        <w:spacing w:before="120" w:after="120"/>
        <w:rPr>
          <w:rFonts w:ascii="Arial" w:hAnsi="Arial" w:cs="Arial"/>
          <w:sz w:val="22"/>
          <w:szCs w:val="22"/>
        </w:rPr>
      </w:pPr>
      <w:r w:rsidRPr="005E6149">
        <w:rPr>
          <w:rFonts w:ascii="Arial" w:hAnsi="Arial" w:cs="Arial"/>
          <w:sz w:val="22"/>
          <w:szCs w:val="22"/>
        </w:rPr>
        <w:t xml:space="preserve">High-level statistical analyses on the Round 17 ED dataset indicated that there was </w:t>
      </w:r>
      <w:r w:rsidR="009A68B7" w:rsidRPr="005E6149">
        <w:rPr>
          <w:rFonts w:ascii="Arial" w:hAnsi="Arial" w:cs="Arial"/>
          <w:sz w:val="22"/>
          <w:szCs w:val="22"/>
        </w:rPr>
        <w:t>a</w:t>
      </w:r>
      <w:r w:rsidRPr="005E6149">
        <w:rPr>
          <w:rFonts w:ascii="Arial" w:hAnsi="Arial" w:cs="Arial"/>
          <w:sz w:val="22"/>
          <w:szCs w:val="22"/>
        </w:rPr>
        <w:t xml:space="preserve"> cost differential between Indigenous and </w:t>
      </w:r>
      <w:r w:rsidR="007A097D">
        <w:rPr>
          <w:rFonts w:ascii="Arial" w:hAnsi="Arial" w:cs="Arial"/>
          <w:sz w:val="22"/>
          <w:szCs w:val="22"/>
        </w:rPr>
        <w:t>Non-Indigenous</w:t>
      </w:r>
      <w:r w:rsidRPr="005E6149">
        <w:rPr>
          <w:rFonts w:ascii="Arial" w:hAnsi="Arial" w:cs="Arial"/>
          <w:sz w:val="22"/>
          <w:szCs w:val="22"/>
        </w:rPr>
        <w:t xml:space="preserve"> patients (Table 8.2)</w:t>
      </w:r>
      <w:r w:rsidR="009A68B7" w:rsidRPr="005E6149">
        <w:rPr>
          <w:rFonts w:ascii="Arial" w:hAnsi="Arial" w:cs="Arial"/>
          <w:sz w:val="22"/>
          <w:szCs w:val="22"/>
        </w:rPr>
        <w:t>, however it was marginal</w:t>
      </w:r>
      <w:r w:rsidR="00D873D2">
        <w:rPr>
          <w:rFonts w:ascii="Arial" w:hAnsi="Arial" w:cs="Arial"/>
          <w:sz w:val="22"/>
          <w:szCs w:val="22"/>
        </w:rPr>
        <w:t xml:space="preserve">. </w:t>
      </w:r>
      <w:r w:rsidRPr="005E6149">
        <w:rPr>
          <w:rFonts w:ascii="Arial" w:hAnsi="Arial" w:cs="Arial"/>
          <w:sz w:val="22"/>
          <w:szCs w:val="22"/>
        </w:rPr>
        <w:t>Drill down to triage category</w:t>
      </w:r>
      <w:r w:rsidR="00594D3E" w:rsidRPr="005E6149">
        <w:rPr>
          <w:rFonts w:ascii="Arial" w:hAnsi="Arial" w:cs="Arial"/>
          <w:sz w:val="22"/>
          <w:szCs w:val="22"/>
        </w:rPr>
        <w:t xml:space="preserve"> (Table 8.3)</w:t>
      </w:r>
      <w:r w:rsidR="009A68B7" w:rsidRPr="005E6149">
        <w:rPr>
          <w:rFonts w:ascii="Arial" w:hAnsi="Arial" w:cs="Arial"/>
          <w:sz w:val="22"/>
          <w:szCs w:val="22"/>
        </w:rPr>
        <w:t>,</w:t>
      </w:r>
      <w:r w:rsidRPr="005E6149">
        <w:rPr>
          <w:rFonts w:ascii="Arial" w:hAnsi="Arial" w:cs="Arial"/>
          <w:sz w:val="22"/>
          <w:szCs w:val="22"/>
        </w:rPr>
        <w:t xml:space="preserve"> and then further at urgency related groups indicated variable </w:t>
      </w:r>
      <w:proofErr w:type="gramStart"/>
      <w:r w:rsidRPr="005E6149">
        <w:rPr>
          <w:rFonts w:ascii="Arial" w:hAnsi="Arial" w:cs="Arial"/>
          <w:sz w:val="22"/>
          <w:szCs w:val="22"/>
        </w:rPr>
        <w:t>results,</w:t>
      </w:r>
      <w:proofErr w:type="gramEnd"/>
      <w:r w:rsidRPr="005E6149">
        <w:rPr>
          <w:rFonts w:ascii="Arial" w:hAnsi="Arial" w:cs="Arial"/>
          <w:sz w:val="22"/>
          <w:szCs w:val="22"/>
        </w:rPr>
        <w:t xml:space="preserve"> however what was noted was the </w:t>
      </w:r>
      <w:r w:rsidR="009A68B7" w:rsidRPr="005E6149">
        <w:rPr>
          <w:rFonts w:ascii="Arial" w:hAnsi="Arial" w:cs="Arial"/>
          <w:sz w:val="22"/>
          <w:szCs w:val="22"/>
        </w:rPr>
        <w:t>reported</w:t>
      </w:r>
      <w:r w:rsidRPr="005E6149">
        <w:rPr>
          <w:rFonts w:ascii="Arial" w:hAnsi="Arial" w:cs="Arial"/>
          <w:sz w:val="22"/>
          <w:szCs w:val="22"/>
        </w:rPr>
        <w:t xml:space="preserve"> differences </w:t>
      </w:r>
      <w:r w:rsidR="009A68B7" w:rsidRPr="005E6149">
        <w:rPr>
          <w:rFonts w:ascii="Arial" w:hAnsi="Arial" w:cs="Arial"/>
          <w:sz w:val="22"/>
          <w:szCs w:val="22"/>
        </w:rPr>
        <w:t>w</w:t>
      </w:r>
      <w:r w:rsidR="00381F8E" w:rsidRPr="005E6149">
        <w:rPr>
          <w:rFonts w:ascii="Arial" w:hAnsi="Arial" w:cs="Arial"/>
          <w:sz w:val="22"/>
          <w:szCs w:val="22"/>
        </w:rPr>
        <w:t>ere consistently</w:t>
      </w:r>
      <w:r w:rsidR="009A68B7" w:rsidRPr="005E6149">
        <w:rPr>
          <w:rFonts w:ascii="Arial" w:hAnsi="Arial" w:cs="Arial"/>
          <w:sz w:val="22"/>
          <w:szCs w:val="22"/>
        </w:rPr>
        <w:t xml:space="preserve"> marginal </w:t>
      </w:r>
      <w:r w:rsidRPr="005E6149">
        <w:rPr>
          <w:rFonts w:ascii="Arial" w:hAnsi="Arial" w:cs="Arial"/>
          <w:sz w:val="22"/>
          <w:szCs w:val="22"/>
        </w:rPr>
        <w:t>between the two cohorts cost profile across the respective categories</w:t>
      </w:r>
      <w:r w:rsidR="00D873D2">
        <w:rPr>
          <w:rFonts w:ascii="Arial" w:hAnsi="Arial" w:cs="Arial"/>
          <w:sz w:val="22"/>
          <w:szCs w:val="22"/>
        </w:rPr>
        <w:t xml:space="preserve">. </w:t>
      </w:r>
    </w:p>
    <w:p w:rsidR="009A68B7" w:rsidRPr="005E6149" w:rsidRDefault="009A68B7" w:rsidP="009A68B7">
      <w:pPr>
        <w:pStyle w:val="TableCaption"/>
        <w:rPr>
          <w:rFonts w:ascii="Arial" w:hAnsi="Arial" w:cs="Arial"/>
          <w:sz w:val="18"/>
          <w:szCs w:val="18"/>
        </w:rPr>
      </w:pPr>
      <w:bookmarkStart w:id="69" w:name="_Toc278480679"/>
      <w:r w:rsidRPr="005E6149">
        <w:rPr>
          <w:rFonts w:ascii="Arial" w:hAnsi="Arial" w:cs="Arial"/>
          <w:sz w:val="18"/>
          <w:szCs w:val="18"/>
        </w:rPr>
        <w:t>Table 8.2: Paired T-test for Trimmed ED Dataset – Round 17 (2012/13)</w:t>
      </w:r>
      <w:bookmarkEnd w:id="69"/>
    </w:p>
    <w:tbl>
      <w:tblPr>
        <w:tblStyle w:val="TableGrid"/>
        <w:tblW w:w="0" w:type="auto"/>
        <w:jc w:val="center"/>
        <w:tblLook w:val="04A0" w:firstRow="1" w:lastRow="0" w:firstColumn="1" w:lastColumn="0" w:noHBand="0" w:noVBand="1"/>
        <w:tblCaption w:val="Paired T-test for Trimmed ED Dataset Round 17 "/>
      </w:tblPr>
      <w:tblGrid>
        <w:gridCol w:w="1283"/>
        <w:gridCol w:w="1106"/>
        <w:gridCol w:w="1006"/>
        <w:gridCol w:w="1117"/>
        <w:gridCol w:w="891"/>
        <w:gridCol w:w="835"/>
        <w:gridCol w:w="1295"/>
      </w:tblGrid>
      <w:tr w:rsidR="0062298C" w:rsidRPr="002019C1" w:rsidTr="00DC14D9">
        <w:trPr>
          <w:tblHeader/>
          <w:jc w:val="center"/>
        </w:trPr>
        <w:tc>
          <w:tcPr>
            <w:tcW w:w="1283"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Indigenous status</w:t>
            </w:r>
          </w:p>
        </w:tc>
        <w:tc>
          <w:tcPr>
            <w:tcW w:w="1106"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Number of Patients</w:t>
            </w:r>
          </w:p>
        </w:tc>
        <w:tc>
          <w:tcPr>
            <w:tcW w:w="1006"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Average Cost</w:t>
            </w:r>
          </w:p>
        </w:tc>
        <w:tc>
          <w:tcPr>
            <w:tcW w:w="1117"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Standard Deviation</w:t>
            </w:r>
          </w:p>
        </w:tc>
        <w:tc>
          <w:tcPr>
            <w:tcW w:w="891"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T value</w:t>
            </w:r>
          </w:p>
        </w:tc>
        <w:tc>
          <w:tcPr>
            <w:tcW w:w="835" w:type="dxa"/>
            <w:shd w:val="clear" w:color="auto" w:fill="CCCCCC"/>
          </w:tcPr>
          <w:p w:rsidR="0062298C" w:rsidRPr="00C628C4" w:rsidRDefault="0062298C" w:rsidP="009A68B7">
            <w:pPr>
              <w:spacing w:before="120" w:after="120"/>
              <w:jc w:val="center"/>
              <w:rPr>
                <w:rFonts w:asciiTheme="majorHAnsi" w:hAnsiTheme="majorHAnsi" w:cs="Arial"/>
                <w:b/>
              </w:rPr>
            </w:pPr>
            <w:proofErr w:type="spellStart"/>
            <w:r w:rsidRPr="00C628C4">
              <w:rPr>
                <w:rFonts w:asciiTheme="majorHAnsi" w:hAnsiTheme="majorHAnsi" w:cs="Arial"/>
                <w:b/>
              </w:rPr>
              <w:t>Pr</w:t>
            </w:r>
            <w:proofErr w:type="spellEnd"/>
            <w:r w:rsidRPr="00C628C4">
              <w:rPr>
                <w:rFonts w:asciiTheme="majorHAnsi" w:hAnsiTheme="majorHAnsi" w:cs="Arial"/>
                <w:b/>
              </w:rPr>
              <w:t xml:space="preserve"> &gt; [t]</w:t>
            </w:r>
          </w:p>
        </w:tc>
        <w:tc>
          <w:tcPr>
            <w:tcW w:w="1295" w:type="dxa"/>
            <w:shd w:val="clear" w:color="auto" w:fill="CCCCCC"/>
          </w:tcPr>
          <w:p w:rsidR="0062298C" w:rsidRPr="00C628C4" w:rsidRDefault="0062298C" w:rsidP="009A68B7">
            <w:pPr>
              <w:spacing w:before="120" w:after="120"/>
              <w:jc w:val="center"/>
              <w:rPr>
                <w:rFonts w:asciiTheme="majorHAnsi" w:hAnsiTheme="majorHAnsi" w:cs="Arial"/>
                <w:b/>
              </w:rPr>
            </w:pPr>
            <w:r w:rsidRPr="00C628C4">
              <w:rPr>
                <w:rFonts w:asciiTheme="majorHAnsi" w:hAnsiTheme="majorHAnsi" w:cs="Arial"/>
                <w:b/>
              </w:rPr>
              <w:t>Hypothesis</w:t>
            </w:r>
          </w:p>
        </w:tc>
      </w:tr>
      <w:tr w:rsidR="0062298C" w:rsidRPr="002019C1" w:rsidTr="00DC14D9">
        <w:trPr>
          <w:jc w:val="center"/>
        </w:trPr>
        <w:tc>
          <w:tcPr>
            <w:tcW w:w="1283"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Indigenous</w:t>
            </w:r>
          </w:p>
        </w:tc>
        <w:tc>
          <w:tcPr>
            <w:tcW w:w="1106"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356,137</w:t>
            </w:r>
          </w:p>
        </w:tc>
        <w:tc>
          <w:tcPr>
            <w:tcW w:w="1006"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$582.30</w:t>
            </w:r>
          </w:p>
        </w:tc>
        <w:tc>
          <w:tcPr>
            <w:tcW w:w="1117" w:type="dxa"/>
          </w:tcPr>
          <w:p w:rsidR="0062298C" w:rsidRPr="00C628C4" w:rsidRDefault="0062298C" w:rsidP="000202D3">
            <w:pPr>
              <w:spacing w:before="120" w:after="120"/>
              <w:rPr>
                <w:rFonts w:asciiTheme="majorHAnsi" w:hAnsiTheme="majorHAnsi" w:cs="Arial"/>
              </w:rPr>
            </w:pPr>
            <w:r w:rsidRPr="00C628C4">
              <w:rPr>
                <w:rFonts w:asciiTheme="majorHAnsi" w:hAnsiTheme="majorHAnsi" w:cs="Arial"/>
              </w:rPr>
              <w:t>$523</w:t>
            </w:r>
          </w:p>
        </w:tc>
        <w:tc>
          <w:tcPr>
            <w:tcW w:w="891" w:type="dxa"/>
            <w:vMerge w:val="restart"/>
            <w:vAlign w:val="center"/>
          </w:tcPr>
          <w:p w:rsidR="0062298C" w:rsidRPr="00C628C4" w:rsidRDefault="0062298C" w:rsidP="009A68B7">
            <w:pPr>
              <w:spacing w:before="120" w:after="120"/>
              <w:jc w:val="center"/>
              <w:rPr>
                <w:rFonts w:asciiTheme="majorHAnsi" w:hAnsiTheme="majorHAnsi" w:cs="Arial"/>
              </w:rPr>
            </w:pPr>
            <w:r w:rsidRPr="00C628C4">
              <w:rPr>
                <w:rFonts w:asciiTheme="majorHAnsi" w:hAnsiTheme="majorHAnsi" w:cs="Arial"/>
              </w:rPr>
              <w:t>6.76</w:t>
            </w:r>
          </w:p>
        </w:tc>
        <w:tc>
          <w:tcPr>
            <w:tcW w:w="835" w:type="dxa"/>
            <w:vMerge w:val="restart"/>
            <w:vAlign w:val="center"/>
          </w:tcPr>
          <w:p w:rsidR="0062298C" w:rsidRPr="00C628C4" w:rsidRDefault="0062298C" w:rsidP="009A68B7">
            <w:pPr>
              <w:spacing w:before="120" w:after="120"/>
              <w:jc w:val="center"/>
              <w:rPr>
                <w:rFonts w:asciiTheme="majorHAnsi" w:hAnsiTheme="majorHAnsi" w:cs="Arial"/>
              </w:rPr>
            </w:pPr>
            <w:r w:rsidRPr="00C628C4">
              <w:rPr>
                <w:rFonts w:asciiTheme="majorHAnsi" w:hAnsiTheme="majorHAnsi" w:cs="Arial"/>
              </w:rPr>
              <w:t>&lt;.0001</w:t>
            </w:r>
          </w:p>
        </w:tc>
        <w:tc>
          <w:tcPr>
            <w:tcW w:w="1295" w:type="dxa"/>
            <w:vMerge w:val="restart"/>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Reject</w:t>
            </w:r>
          </w:p>
          <w:p w:rsidR="0062298C" w:rsidRPr="00C628C4" w:rsidRDefault="0062298C" w:rsidP="009718D1">
            <w:pPr>
              <w:spacing w:before="120" w:after="120"/>
              <w:rPr>
                <w:rFonts w:asciiTheme="majorHAnsi" w:hAnsiTheme="majorHAnsi" w:cs="Arial"/>
              </w:rPr>
            </w:pPr>
            <w:r w:rsidRPr="00C628C4">
              <w:rPr>
                <w:rFonts w:asciiTheme="majorHAnsi" w:hAnsiTheme="majorHAnsi" w:cs="Arial"/>
              </w:rPr>
              <w:t xml:space="preserve">Indigenous costlier than </w:t>
            </w:r>
            <w:r w:rsidR="007A097D" w:rsidRPr="00C628C4">
              <w:rPr>
                <w:rFonts w:asciiTheme="majorHAnsi" w:hAnsiTheme="majorHAnsi" w:cs="Arial"/>
              </w:rPr>
              <w:t>Non-Indigenous</w:t>
            </w:r>
            <w:r w:rsidRPr="00C628C4">
              <w:rPr>
                <w:rFonts w:asciiTheme="majorHAnsi" w:hAnsiTheme="majorHAnsi" w:cs="Arial"/>
              </w:rPr>
              <w:t xml:space="preserve"> </w:t>
            </w:r>
          </w:p>
        </w:tc>
      </w:tr>
      <w:tr w:rsidR="0062298C" w:rsidRPr="002019C1" w:rsidTr="00DC14D9">
        <w:trPr>
          <w:jc w:val="center"/>
        </w:trPr>
        <w:tc>
          <w:tcPr>
            <w:tcW w:w="1283" w:type="dxa"/>
          </w:tcPr>
          <w:p w:rsidR="0062298C" w:rsidRPr="00C628C4" w:rsidRDefault="007A097D" w:rsidP="009718D1">
            <w:pPr>
              <w:spacing w:before="120" w:after="120"/>
              <w:rPr>
                <w:rFonts w:asciiTheme="majorHAnsi" w:hAnsiTheme="majorHAnsi" w:cs="Arial"/>
              </w:rPr>
            </w:pPr>
            <w:r w:rsidRPr="00C628C4">
              <w:rPr>
                <w:rFonts w:asciiTheme="majorHAnsi" w:hAnsiTheme="majorHAnsi" w:cs="Arial"/>
              </w:rPr>
              <w:t>Non-Indigenous</w:t>
            </w:r>
          </w:p>
        </w:tc>
        <w:tc>
          <w:tcPr>
            <w:tcW w:w="1106"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5,773,635</w:t>
            </w:r>
          </w:p>
        </w:tc>
        <w:tc>
          <w:tcPr>
            <w:tcW w:w="1006"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$576.10</w:t>
            </w:r>
          </w:p>
        </w:tc>
        <w:tc>
          <w:tcPr>
            <w:tcW w:w="1117"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$621</w:t>
            </w:r>
          </w:p>
        </w:tc>
        <w:tc>
          <w:tcPr>
            <w:tcW w:w="891" w:type="dxa"/>
            <w:vMerge/>
          </w:tcPr>
          <w:p w:rsidR="0062298C" w:rsidRPr="00C628C4" w:rsidRDefault="0062298C" w:rsidP="009718D1">
            <w:pPr>
              <w:spacing w:before="120" w:after="120"/>
              <w:rPr>
                <w:rFonts w:asciiTheme="majorHAnsi" w:hAnsiTheme="majorHAnsi" w:cs="Arial"/>
              </w:rPr>
            </w:pPr>
          </w:p>
        </w:tc>
        <w:tc>
          <w:tcPr>
            <w:tcW w:w="835" w:type="dxa"/>
            <w:vMerge/>
          </w:tcPr>
          <w:p w:rsidR="0062298C" w:rsidRPr="00C628C4" w:rsidRDefault="0062298C" w:rsidP="009718D1">
            <w:pPr>
              <w:spacing w:before="120" w:after="120"/>
              <w:rPr>
                <w:rFonts w:asciiTheme="majorHAnsi" w:hAnsiTheme="majorHAnsi" w:cs="Arial"/>
              </w:rPr>
            </w:pPr>
          </w:p>
        </w:tc>
        <w:tc>
          <w:tcPr>
            <w:tcW w:w="1295" w:type="dxa"/>
            <w:vMerge/>
          </w:tcPr>
          <w:p w:rsidR="0062298C" w:rsidRPr="00C628C4" w:rsidRDefault="0062298C" w:rsidP="009718D1">
            <w:pPr>
              <w:spacing w:before="120" w:after="120"/>
              <w:rPr>
                <w:rFonts w:asciiTheme="majorHAnsi" w:hAnsiTheme="majorHAnsi" w:cs="Arial"/>
              </w:rPr>
            </w:pPr>
          </w:p>
        </w:tc>
      </w:tr>
      <w:tr w:rsidR="0062298C" w:rsidRPr="002019C1" w:rsidTr="00DC14D9">
        <w:trPr>
          <w:jc w:val="center"/>
        </w:trPr>
        <w:tc>
          <w:tcPr>
            <w:tcW w:w="1283"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Diff (1-2)</w:t>
            </w:r>
          </w:p>
        </w:tc>
        <w:tc>
          <w:tcPr>
            <w:tcW w:w="1106" w:type="dxa"/>
          </w:tcPr>
          <w:p w:rsidR="0062298C" w:rsidRPr="00C628C4" w:rsidRDefault="0062298C" w:rsidP="009718D1">
            <w:pPr>
              <w:spacing w:before="120" w:after="120"/>
              <w:rPr>
                <w:rFonts w:asciiTheme="majorHAnsi" w:hAnsiTheme="majorHAnsi" w:cs="Arial"/>
              </w:rPr>
            </w:pPr>
          </w:p>
        </w:tc>
        <w:tc>
          <w:tcPr>
            <w:tcW w:w="1006" w:type="dxa"/>
          </w:tcPr>
          <w:p w:rsidR="0062298C" w:rsidRPr="00C628C4" w:rsidRDefault="0062298C" w:rsidP="009A68B7">
            <w:pPr>
              <w:spacing w:before="120" w:after="120"/>
              <w:rPr>
                <w:rFonts w:asciiTheme="majorHAnsi" w:hAnsiTheme="majorHAnsi" w:cs="Arial"/>
              </w:rPr>
            </w:pPr>
            <w:r w:rsidRPr="00C628C4">
              <w:rPr>
                <w:rFonts w:asciiTheme="majorHAnsi" w:hAnsiTheme="majorHAnsi" w:cs="Arial"/>
              </w:rPr>
              <w:t>$6.19</w:t>
            </w:r>
          </w:p>
        </w:tc>
        <w:tc>
          <w:tcPr>
            <w:tcW w:w="1117" w:type="dxa"/>
          </w:tcPr>
          <w:p w:rsidR="0062298C" w:rsidRPr="00C628C4" w:rsidRDefault="0062298C" w:rsidP="009718D1">
            <w:pPr>
              <w:spacing w:before="120" w:after="120"/>
              <w:rPr>
                <w:rFonts w:asciiTheme="majorHAnsi" w:hAnsiTheme="majorHAnsi" w:cs="Arial"/>
              </w:rPr>
            </w:pPr>
            <w:r w:rsidRPr="00C628C4">
              <w:rPr>
                <w:rFonts w:asciiTheme="majorHAnsi" w:hAnsiTheme="majorHAnsi" w:cs="Arial"/>
              </w:rPr>
              <w:t>$616</w:t>
            </w:r>
          </w:p>
        </w:tc>
        <w:tc>
          <w:tcPr>
            <w:tcW w:w="891" w:type="dxa"/>
            <w:vMerge/>
          </w:tcPr>
          <w:p w:rsidR="0062298C" w:rsidRPr="00C628C4" w:rsidRDefault="0062298C" w:rsidP="009718D1">
            <w:pPr>
              <w:spacing w:before="120" w:after="120"/>
              <w:rPr>
                <w:rFonts w:asciiTheme="majorHAnsi" w:hAnsiTheme="majorHAnsi" w:cs="Arial"/>
              </w:rPr>
            </w:pPr>
          </w:p>
        </w:tc>
        <w:tc>
          <w:tcPr>
            <w:tcW w:w="835" w:type="dxa"/>
            <w:vMerge/>
          </w:tcPr>
          <w:p w:rsidR="0062298C" w:rsidRPr="00C628C4" w:rsidRDefault="0062298C" w:rsidP="009718D1">
            <w:pPr>
              <w:spacing w:before="120" w:after="120"/>
              <w:rPr>
                <w:rFonts w:asciiTheme="majorHAnsi" w:hAnsiTheme="majorHAnsi" w:cs="Arial"/>
              </w:rPr>
            </w:pPr>
          </w:p>
        </w:tc>
        <w:tc>
          <w:tcPr>
            <w:tcW w:w="1295" w:type="dxa"/>
            <w:vMerge/>
          </w:tcPr>
          <w:p w:rsidR="0062298C" w:rsidRPr="00C628C4" w:rsidRDefault="0062298C" w:rsidP="009718D1">
            <w:pPr>
              <w:spacing w:before="120" w:after="120"/>
              <w:rPr>
                <w:rFonts w:asciiTheme="majorHAnsi" w:hAnsiTheme="majorHAnsi" w:cs="Arial"/>
              </w:rPr>
            </w:pPr>
          </w:p>
        </w:tc>
      </w:tr>
    </w:tbl>
    <w:p w:rsidR="0062298C" w:rsidRDefault="0062298C" w:rsidP="00D14237">
      <w:pPr>
        <w:pStyle w:val="TableCaption"/>
        <w:rPr>
          <w:rFonts w:ascii="Arial" w:hAnsi="Arial" w:cs="Arial"/>
          <w:sz w:val="18"/>
          <w:szCs w:val="18"/>
        </w:rPr>
      </w:pPr>
      <w:bookmarkStart w:id="70" w:name="_Toc278480680"/>
    </w:p>
    <w:p w:rsidR="0062298C" w:rsidRDefault="0062298C">
      <w:pPr>
        <w:rPr>
          <w:rFonts w:ascii="Arial" w:eastAsia="Times New Roman" w:hAnsi="Arial" w:cs="Arial"/>
          <w:b/>
          <w:sz w:val="18"/>
          <w:szCs w:val="18"/>
          <w:lang w:val="en-AU"/>
        </w:rPr>
      </w:pPr>
      <w:r>
        <w:rPr>
          <w:rFonts w:ascii="Arial" w:hAnsi="Arial" w:cs="Arial"/>
          <w:sz w:val="18"/>
          <w:szCs w:val="18"/>
        </w:rPr>
        <w:br w:type="page"/>
      </w:r>
    </w:p>
    <w:p w:rsidR="005959A3" w:rsidRPr="005E6149" w:rsidRDefault="00D14237" w:rsidP="00D14237">
      <w:pPr>
        <w:pStyle w:val="TableCaption"/>
        <w:rPr>
          <w:rFonts w:ascii="Arial" w:hAnsi="Arial" w:cs="Arial"/>
          <w:sz w:val="18"/>
          <w:szCs w:val="18"/>
        </w:rPr>
      </w:pPr>
      <w:r w:rsidRPr="005E6149">
        <w:rPr>
          <w:rFonts w:ascii="Arial" w:hAnsi="Arial" w:cs="Arial"/>
          <w:sz w:val="18"/>
          <w:szCs w:val="18"/>
        </w:rPr>
        <w:lastRenderedPageBreak/>
        <w:t>Table 8.3: Paired T-test for Trimmed ED Dataset by Triage Category – Round 17(2102/13)</w:t>
      </w:r>
      <w:bookmarkEnd w:id="70"/>
    </w:p>
    <w:tbl>
      <w:tblPr>
        <w:tblStyle w:val="TableGrid"/>
        <w:tblW w:w="8143" w:type="dxa"/>
        <w:jc w:val="center"/>
        <w:tblLayout w:type="fixed"/>
        <w:tblLook w:val="04A0" w:firstRow="1" w:lastRow="0" w:firstColumn="1" w:lastColumn="0" w:noHBand="0" w:noVBand="1"/>
        <w:tblCaption w:val="Paired T-test for Trimmed ED Dataset by Triage Category Round 17"/>
      </w:tblPr>
      <w:tblGrid>
        <w:gridCol w:w="568"/>
        <w:gridCol w:w="1276"/>
        <w:gridCol w:w="1275"/>
        <w:gridCol w:w="1134"/>
        <w:gridCol w:w="1055"/>
        <w:gridCol w:w="709"/>
        <w:gridCol w:w="850"/>
        <w:gridCol w:w="1276"/>
      </w:tblGrid>
      <w:tr w:rsidR="0062298C" w:rsidRPr="002019C1" w:rsidTr="00867AF2">
        <w:trPr>
          <w:tblHeader/>
          <w:jc w:val="center"/>
        </w:trPr>
        <w:tc>
          <w:tcPr>
            <w:tcW w:w="568" w:type="dxa"/>
            <w:vMerge w:val="restart"/>
            <w:textDirection w:val="btLr"/>
            <w:vAlign w:val="center"/>
          </w:tcPr>
          <w:p w:rsidR="0062298C" w:rsidRPr="00C628C4" w:rsidRDefault="0062298C" w:rsidP="001D4FB2">
            <w:pPr>
              <w:spacing w:before="120" w:after="120"/>
              <w:ind w:left="113" w:right="113"/>
              <w:jc w:val="center"/>
              <w:rPr>
                <w:rFonts w:asciiTheme="majorHAnsi" w:hAnsiTheme="majorHAnsi" w:cs="Arial"/>
              </w:rPr>
            </w:pPr>
            <w:r w:rsidRPr="00C628C4">
              <w:rPr>
                <w:rFonts w:asciiTheme="majorHAnsi" w:hAnsiTheme="majorHAnsi" w:cs="Arial"/>
              </w:rPr>
              <w:t>Triage Category 1</w:t>
            </w:r>
          </w:p>
        </w:tc>
        <w:tc>
          <w:tcPr>
            <w:tcW w:w="1276"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Indigenous status</w:t>
            </w:r>
          </w:p>
        </w:tc>
        <w:tc>
          <w:tcPr>
            <w:tcW w:w="1275"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Number of Patients</w:t>
            </w:r>
          </w:p>
        </w:tc>
        <w:tc>
          <w:tcPr>
            <w:tcW w:w="1134"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Average Cost</w:t>
            </w:r>
          </w:p>
        </w:tc>
        <w:tc>
          <w:tcPr>
            <w:tcW w:w="1055"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Standard Deviation</w:t>
            </w:r>
          </w:p>
        </w:tc>
        <w:tc>
          <w:tcPr>
            <w:tcW w:w="709"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T value</w:t>
            </w:r>
          </w:p>
        </w:tc>
        <w:tc>
          <w:tcPr>
            <w:tcW w:w="850" w:type="dxa"/>
            <w:shd w:val="clear" w:color="auto" w:fill="CCCCCC"/>
          </w:tcPr>
          <w:p w:rsidR="0062298C" w:rsidRPr="00C628C4" w:rsidRDefault="0062298C" w:rsidP="00381F8E">
            <w:pPr>
              <w:spacing w:before="120" w:after="120"/>
              <w:rPr>
                <w:rFonts w:asciiTheme="majorHAnsi" w:hAnsiTheme="majorHAnsi" w:cs="Arial"/>
                <w:b/>
              </w:rPr>
            </w:pPr>
            <w:proofErr w:type="spellStart"/>
            <w:r w:rsidRPr="00C628C4">
              <w:rPr>
                <w:rFonts w:asciiTheme="majorHAnsi" w:hAnsiTheme="majorHAnsi" w:cs="Arial"/>
                <w:b/>
              </w:rPr>
              <w:t>Pr</w:t>
            </w:r>
            <w:proofErr w:type="spellEnd"/>
            <w:r w:rsidRPr="00C628C4">
              <w:rPr>
                <w:rFonts w:asciiTheme="majorHAnsi" w:hAnsiTheme="majorHAnsi" w:cs="Arial"/>
                <w:b/>
              </w:rPr>
              <w:t xml:space="preserve"> &gt; [t]</w:t>
            </w:r>
          </w:p>
        </w:tc>
        <w:tc>
          <w:tcPr>
            <w:tcW w:w="1276" w:type="dxa"/>
            <w:shd w:val="clear" w:color="auto" w:fill="CCCCCC"/>
          </w:tcPr>
          <w:p w:rsidR="0062298C" w:rsidRPr="00C628C4" w:rsidRDefault="0062298C" w:rsidP="00381F8E">
            <w:pPr>
              <w:spacing w:before="120" w:after="120"/>
              <w:rPr>
                <w:rFonts w:asciiTheme="majorHAnsi" w:hAnsiTheme="majorHAnsi" w:cs="Arial"/>
                <w:b/>
              </w:rPr>
            </w:pPr>
            <w:r w:rsidRPr="00C628C4">
              <w:rPr>
                <w:rFonts w:asciiTheme="majorHAnsi" w:hAnsiTheme="majorHAnsi" w:cs="Arial"/>
                <w:b/>
              </w:rPr>
              <w:t>Hypothesis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2,000</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$1,598.90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$1,413.40</w:t>
            </w:r>
          </w:p>
        </w:tc>
        <w:tc>
          <w:tcPr>
            <w:tcW w:w="709" w:type="dxa"/>
            <w:vMerge w:val="restart"/>
            <w:vAlign w:val="center"/>
          </w:tcPr>
          <w:p w:rsidR="0062298C" w:rsidRPr="00C628C4" w:rsidRDefault="0062298C" w:rsidP="001D4FB2">
            <w:pPr>
              <w:spacing w:before="120" w:after="120"/>
              <w:jc w:val="center"/>
              <w:rPr>
                <w:rFonts w:asciiTheme="majorHAnsi" w:hAnsiTheme="majorHAnsi" w:cs="Arial"/>
              </w:rPr>
            </w:pPr>
            <w:r w:rsidRPr="00C628C4">
              <w:rPr>
                <w:rFonts w:asciiTheme="majorHAnsi" w:hAnsiTheme="majorHAnsi" w:cs="Arial"/>
              </w:rPr>
              <w:t>-1.38</w:t>
            </w:r>
          </w:p>
        </w:tc>
        <w:tc>
          <w:tcPr>
            <w:tcW w:w="850" w:type="dxa"/>
            <w:vMerge w:val="restart"/>
            <w:vAlign w:val="center"/>
          </w:tcPr>
          <w:p w:rsidR="0062298C" w:rsidRPr="00C628C4" w:rsidRDefault="0062298C" w:rsidP="001D4FB2">
            <w:pPr>
              <w:spacing w:before="120" w:after="120"/>
              <w:jc w:val="center"/>
              <w:rPr>
                <w:rFonts w:asciiTheme="majorHAnsi" w:hAnsiTheme="majorHAnsi" w:cs="Arial"/>
              </w:rPr>
            </w:pPr>
            <w:r w:rsidRPr="00C628C4">
              <w:rPr>
                <w:rFonts w:asciiTheme="majorHAnsi" w:hAnsiTheme="majorHAnsi" w:cs="Arial"/>
              </w:rPr>
              <w:t>0.1685</w:t>
            </w:r>
          </w:p>
        </w:tc>
        <w:tc>
          <w:tcPr>
            <w:tcW w:w="1276" w:type="dxa"/>
            <w:vMerge w:val="restart"/>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Accept</w:t>
            </w:r>
            <w:r w:rsidRPr="00C628C4">
              <w:rPr>
                <w:rFonts w:asciiTheme="majorHAnsi" w:hAnsiTheme="majorHAnsi" w:cs="Arial"/>
              </w:rPr>
              <w:br/>
              <w:t>No differential in cost profiles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7A097D" w:rsidP="00381F8E">
            <w:pPr>
              <w:spacing w:before="120" w:after="120"/>
              <w:rPr>
                <w:rFonts w:asciiTheme="majorHAnsi" w:hAnsiTheme="majorHAnsi" w:cs="Arial"/>
              </w:rPr>
            </w:pPr>
            <w:r w:rsidRPr="00C628C4">
              <w:rPr>
                <w:rFonts w:asciiTheme="majorHAnsi" w:hAnsiTheme="majorHAnsi" w:cs="Arial"/>
              </w:rPr>
              <w:t>Non-Indigenous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34,180</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$1,644.20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$1,726.70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Diff (1-2)</w:t>
            </w:r>
          </w:p>
        </w:tc>
        <w:tc>
          <w:tcPr>
            <w:tcW w:w="1275" w:type="dxa"/>
          </w:tcPr>
          <w:p w:rsidR="0062298C" w:rsidRPr="00C628C4" w:rsidRDefault="0062298C" w:rsidP="00381F8E">
            <w:pPr>
              <w:spacing w:before="120" w:after="120"/>
              <w:rPr>
                <w:rFonts w:asciiTheme="majorHAnsi" w:hAnsiTheme="majorHAnsi" w:cs="Arial"/>
              </w:rPr>
            </w:pP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-$45.39</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$1,710.90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val="restart"/>
            <w:textDirection w:val="btLr"/>
            <w:vAlign w:val="center"/>
          </w:tcPr>
          <w:p w:rsidR="0062298C" w:rsidRPr="00C628C4" w:rsidRDefault="0062298C" w:rsidP="001D4FB2">
            <w:pPr>
              <w:spacing w:before="120" w:after="120"/>
              <w:ind w:left="113" w:right="113"/>
              <w:jc w:val="center"/>
              <w:rPr>
                <w:rFonts w:asciiTheme="majorHAnsi" w:hAnsiTheme="majorHAnsi" w:cs="Arial"/>
              </w:rPr>
            </w:pPr>
            <w:r w:rsidRPr="00C628C4">
              <w:rPr>
                <w:rFonts w:asciiTheme="majorHAnsi" w:hAnsiTheme="majorHAnsi" w:cs="Arial"/>
              </w:rPr>
              <w:t>Triage Category 2</w:t>
            </w: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27,331</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$1,011.70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$814.00</w:t>
            </w:r>
          </w:p>
        </w:tc>
        <w:tc>
          <w:tcPr>
            <w:tcW w:w="709" w:type="dxa"/>
            <w:vMerge w:val="restart"/>
            <w:vAlign w:val="center"/>
          </w:tcPr>
          <w:p w:rsidR="0062298C" w:rsidRPr="00C628C4" w:rsidRDefault="0062298C" w:rsidP="004C7C3F">
            <w:pPr>
              <w:spacing w:before="120" w:after="120"/>
              <w:jc w:val="center"/>
              <w:rPr>
                <w:rFonts w:asciiTheme="majorHAnsi" w:hAnsiTheme="majorHAnsi" w:cs="Arial"/>
              </w:rPr>
            </w:pPr>
            <w:r w:rsidRPr="00C628C4">
              <w:rPr>
                <w:rFonts w:asciiTheme="majorHAnsi" w:hAnsiTheme="majorHAnsi" w:cs="Arial"/>
              </w:rPr>
              <w:t>1.77</w:t>
            </w:r>
          </w:p>
        </w:tc>
        <w:tc>
          <w:tcPr>
            <w:tcW w:w="850" w:type="dxa"/>
            <w:vMerge w:val="restart"/>
            <w:vAlign w:val="center"/>
          </w:tcPr>
          <w:p w:rsidR="0062298C" w:rsidRPr="00C628C4" w:rsidRDefault="0062298C" w:rsidP="004C7C3F">
            <w:pPr>
              <w:spacing w:before="120" w:after="120"/>
              <w:jc w:val="center"/>
              <w:rPr>
                <w:rFonts w:asciiTheme="majorHAnsi" w:hAnsiTheme="majorHAnsi" w:cs="Arial"/>
              </w:rPr>
            </w:pPr>
            <w:r w:rsidRPr="00C628C4">
              <w:rPr>
                <w:rFonts w:asciiTheme="majorHAnsi" w:hAnsiTheme="majorHAnsi" w:cs="Arial"/>
              </w:rPr>
              <w:t>0.0761</w:t>
            </w:r>
          </w:p>
        </w:tc>
        <w:tc>
          <w:tcPr>
            <w:tcW w:w="1276" w:type="dxa"/>
            <w:vMerge w:val="restart"/>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Accept</w:t>
            </w:r>
            <w:r w:rsidRPr="00C628C4">
              <w:rPr>
                <w:rFonts w:asciiTheme="majorHAnsi" w:hAnsiTheme="majorHAnsi" w:cs="Arial"/>
              </w:rPr>
              <w:br/>
              <w:t>No differential in cost profiles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7A097D" w:rsidP="00381F8E">
            <w:pPr>
              <w:spacing w:before="120" w:after="120"/>
              <w:rPr>
                <w:rFonts w:asciiTheme="majorHAnsi" w:hAnsiTheme="majorHAnsi" w:cs="Arial"/>
              </w:rPr>
            </w:pPr>
            <w:r w:rsidRPr="00C628C4">
              <w:rPr>
                <w:rFonts w:asciiTheme="majorHAnsi" w:hAnsiTheme="majorHAnsi" w:cs="Arial"/>
              </w:rPr>
              <w:t>Non-Indigenous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581,973</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$1,002.70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$939.40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Diff (1-2)</w:t>
            </w:r>
          </w:p>
        </w:tc>
        <w:tc>
          <w:tcPr>
            <w:tcW w:w="1275" w:type="dxa"/>
          </w:tcPr>
          <w:p w:rsidR="0062298C" w:rsidRPr="00C628C4" w:rsidRDefault="0062298C" w:rsidP="00381F8E">
            <w:pPr>
              <w:spacing w:before="120" w:after="120"/>
              <w:rPr>
                <w:rFonts w:asciiTheme="majorHAnsi" w:hAnsiTheme="majorHAnsi" w:cs="Arial"/>
              </w:rPr>
            </w:pP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$9.00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$934.10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val="restart"/>
            <w:textDirection w:val="btLr"/>
            <w:vAlign w:val="center"/>
          </w:tcPr>
          <w:p w:rsidR="0062298C" w:rsidRPr="00C628C4" w:rsidRDefault="0062298C" w:rsidP="001D4FB2">
            <w:pPr>
              <w:spacing w:before="120" w:after="120"/>
              <w:ind w:left="113" w:right="113"/>
              <w:jc w:val="center"/>
              <w:rPr>
                <w:rFonts w:asciiTheme="majorHAnsi" w:hAnsiTheme="majorHAnsi" w:cs="Arial"/>
              </w:rPr>
            </w:pPr>
            <w:r w:rsidRPr="00C628C4">
              <w:rPr>
                <w:rFonts w:asciiTheme="majorHAnsi" w:hAnsiTheme="majorHAnsi" w:cs="Arial"/>
              </w:rPr>
              <w:t>Triage Category 3</w:t>
            </w: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105,072</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$701.90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$571.40</w:t>
            </w:r>
          </w:p>
        </w:tc>
        <w:tc>
          <w:tcPr>
            <w:tcW w:w="709" w:type="dxa"/>
            <w:vMerge w:val="restart"/>
            <w:vAlign w:val="center"/>
          </w:tcPr>
          <w:p w:rsidR="0062298C" w:rsidRPr="00C628C4" w:rsidRDefault="0062298C" w:rsidP="00AD0B1F">
            <w:pPr>
              <w:spacing w:before="120" w:after="120"/>
              <w:jc w:val="center"/>
              <w:rPr>
                <w:rFonts w:asciiTheme="majorHAnsi" w:hAnsiTheme="majorHAnsi" w:cs="Arial"/>
              </w:rPr>
            </w:pPr>
            <w:r w:rsidRPr="00C628C4">
              <w:rPr>
                <w:rFonts w:asciiTheme="majorHAnsi" w:hAnsiTheme="majorHAnsi" w:cs="Arial"/>
              </w:rPr>
              <w:t>-4.83</w:t>
            </w:r>
          </w:p>
        </w:tc>
        <w:tc>
          <w:tcPr>
            <w:tcW w:w="850" w:type="dxa"/>
            <w:vMerge w:val="restart"/>
            <w:vAlign w:val="center"/>
          </w:tcPr>
          <w:p w:rsidR="0062298C" w:rsidRPr="00C628C4" w:rsidRDefault="0062298C" w:rsidP="00AD0B1F">
            <w:pPr>
              <w:spacing w:before="120" w:after="120"/>
              <w:jc w:val="center"/>
              <w:rPr>
                <w:rFonts w:asciiTheme="majorHAnsi" w:hAnsiTheme="majorHAnsi" w:cs="Arial"/>
              </w:rPr>
            </w:pPr>
            <w:r w:rsidRPr="00C628C4">
              <w:rPr>
                <w:rFonts w:asciiTheme="majorHAnsi" w:hAnsiTheme="majorHAnsi" w:cs="Arial"/>
              </w:rPr>
              <w:t>&lt;.0001</w:t>
            </w:r>
          </w:p>
        </w:tc>
        <w:tc>
          <w:tcPr>
            <w:tcW w:w="1276" w:type="dxa"/>
            <w:vMerge w:val="restart"/>
          </w:tcPr>
          <w:p w:rsidR="0062298C" w:rsidRPr="00C628C4" w:rsidRDefault="0062298C" w:rsidP="00501642">
            <w:pPr>
              <w:spacing w:before="120" w:after="120"/>
              <w:rPr>
                <w:rFonts w:asciiTheme="majorHAnsi" w:hAnsiTheme="majorHAnsi" w:cs="Arial"/>
              </w:rPr>
            </w:pPr>
            <w:r w:rsidRPr="00C628C4">
              <w:rPr>
                <w:rFonts w:asciiTheme="majorHAnsi" w:hAnsiTheme="majorHAnsi" w:cs="Arial"/>
              </w:rPr>
              <w:t>Reject</w:t>
            </w:r>
            <w:r w:rsidRPr="00C628C4">
              <w:rPr>
                <w:rFonts w:asciiTheme="majorHAnsi" w:hAnsiTheme="majorHAnsi" w:cs="Arial"/>
              </w:rPr>
              <w:br/>
            </w:r>
            <w:r w:rsidR="007A097D" w:rsidRPr="00C628C4">
              <w:rPr>
                <w:rFonts w:asciiTheme="majorHAnsi" w:hAnsiTheme="majorHAnsi" w:cs="Arial"/>
              </w:rPr>
              <w:t>Non-Indigenous</w:t>
            </w:r>
            <w:r w:rsidRPr="00C628C4">
              <w:rPr>
                <w:rFonts w:asciiTheme="majorHAnsi" w:hAnsiTheme="majorHAnsi" w:cs="Arial"/>
              </w:rPr>
              <w:t xml:space="preserve"> costlier to treat than Indigenous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7A097D" w:rsidP="00381F8E">
            <w:pPr>
              <w:spacing w:before="120" w:after="120"/>
              <w:rPr>
                <w:rFonts w:asciiTheme="majorHAnsi" w:hAnsiTheme="majorHAnsi" w:cs="Arial"/>
              </w:rPr>
            </w:pPr>
            <w:r w:rsidRPr="00C628C4">
              <w:rPr>
                <w:rFonts w:asciiTheme="majorHAnsi" w:hAnsiTheme="majorHAnsi" w:cs="Arial"/>
              </w:rPr>
              <w:t>Non-Indigenous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1,947,899</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$710.60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$589.00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Diff (1-2)</w:t>
            </w:r>
          </w:p>
        </w:tc>
        <w:tc>
          <w:tcPr>
            <w:tcW w:w="1275" w:type="dxa"/>
          </w:tcPr>
          <w:p w:rsidR="0062298C" w:rsidRPr="00C628C4" w:rsidRDefault="0062298C" w:rsidP="00381F8E">
            <w:pPr>
              <w:spacing w:before="120" w:after="120"/>
              <w:rPr>
                <w:rFonts w:asciiTheme="majorHAnsi" w:hAnsiTheme="majorHAnsi" w:cs="Arial"/>
              </w:rPr>
            </w:pP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-$8.76</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$588.10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val="restart"/>
            <w:textDirection w:val="btLr"/>
            <w:vAlign w:val="center"/>
          </w:tcPr>
          <w:p w:rsidR="0062298C" w:rsidRPr="00C628C4" w:rsidRDefault="0062298C" w:rsidP="001D4FB2">
            <w:pPr>
              <w:spacing w:before="120" w:after="120"/>
              <w:ind w:left="113" w:right="113"/>
              <w:jc w:val="center"/>
              <w:rPr>
                <w:rFonts w:asciiTheme="majorHAnsi" w:hAnsiTheme="majorHAnsi" w:cs="Arial"/>
              </w:rPr>
            </w:pPr>
            <w:r w:rsidRPr="00C628C4">
              <w:rPr>
                <w:rFonts w:asciiTheme="majorHAnsi" w:hAnsiTheme="majorHAnsi" w:cs="Arial"/>
              </w:rPr>
              <w:t>Triage Category 4</w:t>
            </w: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158,091</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$466.80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$360.60</w:t>
            </w:r>
          </w:p>
        </w:tc>
        <w:tc>
          <w:tcPr>
            <w:tcW w:w="709" w:type="dxa"/>
            <w:vMerge w:val="restart"/>
            <w:vAlign w:val="center"/>
          </w:tcPr>
          <w:p w:rsidR="0062298C" w:rsidRPr="00C628C4" w:rsidRDefault="0062298C" w:rsidP="00501642">
            <w:pPr>
              <w:spacing w:before="120" w:after="120"/>
              <w:jc w:val="center"/>
              <w:rPr>
                <w:rFonts w:asciiTheme="majorHAnsi" w:hAnsiTheme="majorHAnsi" w:cs="Arial"/>
              </w:rPr>
            </w:pPr>
            <w:r w:rsidRPr="00C628C4">
              <w:rPr>
                <w:rFonts w:asciiTheme="majorHAnsi" w:hAnsiTheme="majorHAnsi" w:cs="Arial"/>
              </w:rPr>
              <w:t>45.48</w:t>
            </w:r>
          </w:p>
        </w:tc>
        <w:tc>
          <w:tcPr>
            <w:tcW w:w="850" w:type="dxa"/>
            <w:vMerge w:val="restart"/>
            <w:vAlign w:val="center"/>
          </w:tcPr>
          <w:p w:rsidR="0062298C" w:rsidRPr="00C628C4" w:rsidRDefault="0062298C" w:rsidP="00501642">
            <w:pPr>
              <w:spacing w:before="120" w:after="120"/>
              <w:jc w:val="center"/>
              <w:rPr>
                <w:rFonts w:asciiTheme="majorHAnsi" w:hAnsiTheme="majorHAnsi" w:cs="Arial"/>
              </w:rPr>
            </w:pPr>
            <w:r w:rsidRPr="00C628C4">
              <w:rPr>
                <w:rFonts w:asciiTheme="majorHAnsi" w:hAnsiTheme="majorHAnsi" w:cs="Arial"/>
              </w:rPr>
              <w:t>&lt;.0001</w:t>
            </w:r>
          </w:p>
        </w:tc>
        <w:tc>
          <w:tcPr>
            <w:tcW w:w="1276" w:type="dxa"/>
            <w:vMerge w:val="restart"/>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Reject</w:t>
            </w:r>
            <w:r w:rsidRPr="00C628C4">
              <w:rPr>
                <w:rFonts w:asciiTheme="majorHAnsi" w:hAnsiTheme="majorHAnsi" w:cs="Arial"/>
              </w:rPr>
              <w:br/>
              <w:t xml:space="preserve">Indigenous costlier to treat than </w:t>
            </w:r>
            <w:r w:rsidR="007A097D" w:rsidRPr="00C628C4">
              <w:rPr>
                <w:rFonts w:asciiTheme="majorHAnsi" w:hAnsiTheme="majorHAnsi" w:cs="Arial"/>
              </w:rPr>
              <w:t>Non-Indigenous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7A097D" w:rsidP="00381F8E">
            <w:pPr>
              <w:spacing w:before="120" w:after="120"/>
              <w:rPr>
                <w:rFonts w:asciiTheme="majorHAnsi" w:hAnsiTheme="majorHAnsi" w:cs="Arial"/>
              </w:rPr>
            </w:pPr>
            <w:r w:rsidRPr="00C628C4">
              <w:rPr>
                <w:rFonts w:asciiTheme="majorHAnsi" w:hAnsiTheme="majorHAnsi" w:cs="Arial"/>
              </w:rPr>
              <w:t>Non-Indigenous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2,520,300</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$423.30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$486.90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Diff (1-2)</w:t>
            </w:r>
          </w:p>
        </w:tc>
        <w:tc>
          <w:tcPr>
            <w:tcW w:w="1275" w:type="dxa"/>
          </w:tcPr>
          <w:p w:rsidR="0062298C" w:rsidRPr="00C628C4" w:rsidRDefault="0062298C" w:rsidP="00381F8E">
            <w:pPr>
              <w:spacing w:before="120" w:after="120"/>
              <w:rPr>
                <w:rFonts w:asciiTheme="majorHAnsi" w:hAnsiTheme="majorHAnsi" w:cs="Arial"/>
              </w:rPr>
            </w:pP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$43.53</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$480.3</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val="restart"/>
            <w:textDirection w:val="btLr"/>
            <w:vAlign w:val="center"/>
          </w:tcPr>
          <w:p w:rsidR="0062298C" w:rsidRPr="00C628C4" w:rsidRDefault="0062298C" w:rsidP="001D4FB2">
            <w:pPr>
              <w:spacing w:before="120" w:after="120"/>
              <w:ind w:left="113" w:right="113"/>
              <w:jc w:val="center"/>
              <w:rPr>
                <w:rFonts w:asciiTheme="majorHAnsi" w:hAnsiTheme="majorHAnsi" w:cs="Arial"/>
              </w:rPr>
            </w:pPr>
            <w:r w:rsidRPr="00C628C4">
              <w:rPr>
                <w:rFonts w:asciiTheme="majorHAnsi" w:hAnsiTheme="majorHAnsi" w:cs="Arial"/>
              </w:rPr>
              <w:t>Triage Category 5</w:t>
            </w: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46,280</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$307.80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$253.20</w:t>
            </w:r>
          </w:p>
        </w:tc>
        <w:tc>
          <w:tcPr>
            <w:tcW w:w="709" w:type="dxa"/>
            <w:vMerge w:val="restart"/>
            <w:vAlign w:val="center"/>
          </w:tcPr>
          <w:p w:rsidR="0062298C" w:rsidRPr="00C628C4" w:rsidRDefault="0062298C" w:rsidP="00180642">
            <w:pPr>
              <w:spacing w:before="120" w:after="120"/>
              <w:jc w:val="center"/>
              <w:rPr>
                <w:rFonts w:asciiTheme="majorHAnsi" w:hAnsiTheme="majorHAnsi" w:cs="Arial"/>
              </w:rPr>
            </w:pPr>
            <w:r w:rsidRPr="00C628C4">
              <w:rPr>
                <w:rFonts w:asciiTheme="majorHAnsi" w:hAnsiTheme="majorHAnsi" w:cs="Arial"/>
              </w:rPr>
              <w:t>35.80</w:t>
            </w:r>
          </w:p>
        </w:tc>
        <w:tc>
          <w:tcPr>
            <w:tcW w:w="850" w:type="dxa"/>
            <w:vMerge w:val="restart"/>
            <w:vAlign w:val="center"/>
          </w:tcPr>
          <w:p w:rsidR="0062298C" w:rsidRPr="00C628C4" w:rsidRDefault="0062298C" w:rsidP="00180642">
            <w:pPr>
              <w:spacing w:before="120" w:after="120"/>
              <w:jc w:val="center"/>
              <w:rPr>
                <w:rFonts w:asciiTheme="majorHAnsi" w:hAnsiTheme="majorHAnsi" w:cs="Arial"/>
              </w:rPr>
            </w:pPr>
            <w:r w:rsidRPr="00C628C4">
              <w:rPr>
                <w:rFonts w:asciiTheme="majorHAnsi" w:hAnsiTheme="majorHAnsi" w:cs="Arial"/>
              </w:rPr>
              <w:t>&lt;.0001</w:t>
            </w:r>
          </w:p>
        </w:tc>
        <w:tc>
          <w:tcPr>
            <w:tcW w:w="1276" w:type="dxa"/>
            <w:vMerge w:val="restart"/>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Reject</w:t>
            </w:r>
            <w:r w:rsidRPr="00C628C4">
              <w:rPr>
                <w:rFonts w:asciiTheme="majorHAnsi" w:hAnsiTheme="majorHAnsi" w:cs="Arial"/>
              </w:rPr>
              <w:br/>
              <w:t xml:space="preserve">Indigenous costlier to treat than </w:t>
            </w:r>
            <w:r w:rsidR="007A097D" w:rsidRPr="00C628C4">
              <w:rPr>
                <w:rFonts w:asciiTheme="majorHAnsi" w:hAnsiTheme="majorHAnsi" w:cs="Arial"/>
              </w:rPr>
              <w:t>Non-Indigenous</w:t>
            </w: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7A097D" w:rsidP="00381F8E">
            <w:pPr>
              <w:spacing w:before="120" w:after="120"/>
              <w:rPr>
                <w:rFonts w:asciiTheme="majorHAnsi" w:hAnsiTheme="majorHAnsi" w:cs="Arial"/>
              </w:rPr>
            </w:pPr>
            <w:r w:rsidRPr="00C628C4">
              <w:rPr>
                <w:rFonts w:asciiTheme="majorHAnsi" w:hAnsiTheme="majorHAnsi" w:cs="Arial"/>
              </w:rPr>
              <w:t>Non-Indigenous</w:t>
            </w:r>
          </w:p>
        </w:tc>
        <w:tc>
          <w:tcPr>
            <w:tcW w:w="127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55,3207</w:t>
            </w: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$264.00</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$253.10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r w:rsidR="0062298C" w:rsidRPr="002019C1" w:rsidTr="00C628C4">
        <w:trPr>
          <w:jc w:val="center"/>
        </w:trPr>
        <w:tc>
          <w:tcPr>
            <w:tcW w:w="568" w:type="dxa"/>
            <w:vMerge/>
          </w:tcPr>
          <w:p w:rsidR="0062298C" w:rsidRPr="00C628C4" w:rsidRDefault="0062298C" w:rsidP="00381F8E">
            <w:pPr>
              <w:spacing w:before="120" w:after="120"/>
              <w:rPr>
                <w:rFonts w:asciiTheme="majorHAnsi" w:hAnsiTheme="majorHAnsi" w:cs="Arial"/>
              </w:rPr>
            </w:pPr>
          </w:p>
        </w:tc>
        <w:tc>
          <w:tcPr>
            <w:tcW w:w="1276"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Diff (1-2)</w:t>
            </w:r>
          </w:p>
        </w:tc>
        <w:tc>
          <w:tcPr>
            <w:tcW w:w="1275" w:type="dxa"/>
          </w:tcPr>
          <w:p w:rsidR="0062298C" w:rsidRPr="00C628C4" w:rsidRDefault="0062298C" w:rsidP="00381F8E">
            <w:pPr>
              <w:spacing w:before="120" w:after="120"/>
              <w:rPr>
                <w:rFonts w:asciiTheme="majorHAnsi" w:hAnsiTheme="majorHAnsi" w:cs="Arial"/>
              </w:rPr>
            </w:pPr>
          </w:p>
        </w:tc>
        <w:tc>
          <w:tcPr>
            <w:tcW w:w="1134"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$43.86</w:t>
            </w:r>
          </w:p>
        </w:tc>
        <w:tc>
          <w:tcPr>
            <w:tcW w:w="1055" w:type="dxa"/>
          </w:tcPr>
          <w:p w:rsidR="0062298C" w:rsidRPr="00C628C4" w:rsidRDefault="0062298C" w:rsidP="00381F8E">
            <w:pPr>
              <w:spacing w:before="120" w:after="120"/>
              <w:rPr>
                <w:rFonts w:asciiTheme="majorHAnsi" w:hAnsiTheme="majorHAnsi" w:cs="Arial"/>
              </w:rPr>
            </w:pPr>
            <w:r w:rsidRPr="00C628C4">
              <w:rPr>
                <w:rFonts w:asciiTheme="majorHAnsi" w:hAnsiTheme="majorHAnsi" w:cs="Arial"/>
              </w:rPr>
              <w:t>$253.20</w:t>
            </w:r>
          </w:p>
        </w:tc>
        <w:tc>
          <w:tcPr>
            <w:tcW w:w="709" w:type="dxa"/>
            <w:vMerge/>
          </w:tcPr>
          <w:p w:rsidR="0062298C" w:rsidRPr="00C628C4" w:rsidRDefault="0062298C" w:rsidP="00381F8E">
            <w:pPr>
              <w:spacing w:before="120" w:after="120"/>
              <w:rPr>
                <w:rFonts w:asciiTheme="majorHAnsi" w:hAnsiTheme="majorHAnsi" w:cs="Arial"/>
              </w:rPr>
            </w:pPr>
          </w:p>
        </w:tc>
        <w:tc>
          <w:tcPr>
            <w:tcW w:w="850" w:type="dxa"/>
            <w:vMerge/>
          </w:tcPr>
          <w:p w:rsidR="0062298C" w:rsidRPr="00C628C4" w:rsidRDefault="0062298C" w:rsidP="00381F8E">
            <w:pPr>
              <w:spacing w:before="120" w:after="120"/>
              <w:rPr>
                <w:rFonts w:asciiTheme="majorHAnsi" w:hAnsiTheme="majorHAnsi" w:cs="Arial"/>
              </w:rPr>
            </w:pPr>
          </w:p>
        </w:tc>
        <w:tc>
          <w:tcPr>
            <w:tcW w:w="1276" w:type="dxa"/>
            <w:vMerge/>
          </w:tcPr>
          <w:p w:rsidR="0062298C" w:rsidRPr="00C628C4" w:rsidRDefault="0062298C" w:rsidP="00381F8E">
            <w:pPr>
              <w:spacing w:before="120" w:after="120"/>
              <w:rPr>
                <w:rFonts w:asciiTheme="majorHAnsi" w:hAnsiTheme="majorHAnsi" w:cs="Arial"/>
              </w:rPr>
            </w:pPr>
          </w:p>
        </w:tc>
      </w:tr>
    </w:tbl>
    <w:p w:rsidR="00594D3E" w:rsidRPr="005E6149" w:rsidRDefault="00594D3E" w:rsidP="00594D3E">
      <w:pPr>
        <w:spacing w:before="120" w:after="120"/>
        <w:rPr>
          <w:rFonts w:ascii="Arial" w:hAnsi="Arial" w:cs="Arial"/>
          <w:sz w:val="22"/>
          <w:szCs w:val="22"/>
        </w:rPr>
      </w:pPr>
      <w:r w:rsidRPr="005E6149">
        <w:rPr>
          <w:rFonts w:ascii="Arial" w:hAnsi="Arial" w:cs="Arial"/>
          <w:sz w:val="22"/>
          <w:szCs w:val="22"/>
        </w:rPr>
        <w:t>The high degree of consiste</w:t>
      </w:r>
      <w:r w:rsidR="00A90A1F">
        <w:rPr>
          <w:rFonts w:ascii="Arial" w:hAnsi="Arial" w:cs="Arial"/>
          <w:sz w:val="22"/>
          <w:szCs w:val="22"/>
        </w:rPr>
        <w:t>ncy in these results suggests ve</w:t>
      </w:r>
      <w:r w:rsidRPr="005E6149">
        <w:rPr>
          <w:rFonts w:ascii="Arial" w:hAnsi="Arial" w:cs="Arial"/>
          <w:sz w:val="22"/>
          <w:szCs w:val="22"/>
        </w:rPr>
        <w:t>ry little variation occurs in the data. A review of the cost allocation methods needed to be undertaken, in order to ensure that an appropriate conclusion is drawn regarding the cost differentials associated with treating the respective patient cohorts in the ED environment.</w:t>
      </w:r>
    </w:p>
    <w:p w:rsidR="00594D3E" w:rsidRPr="005E6149" w:rsidRDefault="00594D3E">
      <w:pPr>
        <w:rPr>
          <w:rFonts w:ascii="Arial" w:hAnsi="Arial" w:cs="Arial"/>
          <w:sz w:val="22"/>
          <w:szCs w:val="22"/>
        </w:rPr>
      </w:pPr>
      <w:r w:rsidRPr="005E6149">
        <w:rPr>
          <w:rFonts w:ascii="Arial" w:hAnsi="Arial" w:cs="Arial"/>
          <w:sz w:val="22"/>
          <w:szCs w:val="22"/>
        </w:rPr>
        <w:br w:type="page"/>
      </w:r>
    </w:p>
    <w:p w:rsidR="00982783" w:rsidRPr="005E6149" w:rsidRDefault="00982783" w:rsidP="00982783">
      <w:pPr>
        <w:pStyle w:val="Heading2"/>
        <w:rPr>
          <w:rFonts w:ascii="Arial" w:hAnsi="Arial" w:cs="Arial"/>
        </w:rPr>
      </w:pPr>
      <w:bookmarkStart w:id="71" w:name="_Toc278480632"/>
      <w:r w:rsidRPr="005E6149">
        <w:rPr>
          <w:rFonts w:ascii="Arial" w:hAnsi="Arial" w:cs="Arial"/>
        </w:rPr>
        <w:lastRenderedPageBreak/>
        <w:t>Cost Bucket Profile</w:t>
      </w:r>
      <w:bookmarkEnd w:id="71"/>
    </w:p>
    <w:p w:rsidR="00806D88" w:rsidRPr="005E6149" w:rsidRDefault="00295275" w:rsidP="009718D1">
      <w:pPr>
        <w:spacing w:before="120" w:after="120"/>
        <w:rPr>
          <w:rFonts w:ascii="Arial" w:hAnsi="Arial" w:cs="Arial"/>
          <w:sz w:val="22"/>
          <w:szCs w:val="22"/>
        </w:rPr>
      </w:pPr>
      <w:r>
        <w:rPr>
          <w:rFonts w:ascii="Arial" w:hAnsi="Arial" w:cs="Arial"/>
          <w:sz w:val="22"/>
          <w:szCs w:val="22"/>
        </w:rPr>
        <w:t>Based on the Round 17 NHCDC t</w:t>
      </w:r>
      <w:r w:rsidR="009718D1" w:rsidRPr="005E6149">
        <w:rPr>
          <w:rFonts w:ascii="Arial" w:hAnsi="Arial" w:cs="Arial"/>
          <w:sz w:val="22"/>
          <w:szCs w:val="22"/>
        </w:rPr>
        <w:t>he cost for emergency department services is predominantly made up of costs allocated to the:</w:t>
      </w:r>
    </w:p>
    <w:p w:rsidR="009718D1" w:rsidRPr="005E6149" w:rsidRDefault="009718D1" w:rsidP="00E86862">
      <w:pPr>
        <w:pStyle w:val="ListParagraph"/>
        <w:numPr>
          <w:ilvl w:val="0"/>
          <w:numId w:val="28"/>
        </w:numPr>
        <w:spacing w:before="120" w:after="120"/>
        <w:ind w:left="714" w:hanging="357"/>
        <w:rPr>
          <w:rFonts w:ascii="Arial" w:hAnsi="Arial" w:cs="Arial"/>
          <w:sz w:val="22"/>
          <w:szCs w:val="22"/>
        </w:rPr>
      </w:pPr>
      <w:r w:rsidRPr="005E6149">
        <w:rPr>
          <w:rFonts w:ascii="Arial" w:hAnsi="Arial" w:cs="Arial"/>
          <w:sz w:val="22"/>
          <w:szCs w:val="22"/>
        </w:rPr>
        <w:t>Emergency dire</w:t>
      </w:r>
      <w:r w:rsidR="00295275">
        <w:rPr>
          <w:rFonts w:ascii="Arial" w:hAnsi="Arial" w:cs="Arial"/>
          <w:sz w:val="22"/>
          <w:szCs w:val="22"/>
        </w:rPr>
        <w:t>ct and overhead cost buckets (69</w:t>
      </w:r>
      <w:r w:rsidRPr="005E6149">
        <w:rPr>
          <w:rFonts w:ascii="Arial" w:hAnsi="Arial" w:cs="Arial"/>
          <w:sz w:val="22"/>
          <w:szCs w:val="22"/>
        </w:rPr>
        <w:t>%)</w:t>
      </w:r>
      <w:r w:rsidR="00A26F19" w:rsidRPr="005E6149">
        <w:rPr>
          <w:rFonts w:ascii="Arial" w:hAnsi="Arial" w:cs="Arial"/>
          <w:sz w:val="22"/>
          <w:szCs w:val="22"/>
        </w:rPr>
        <w:t>;</w:t>
      </w:r>
    </w:p>
    <w:p w:rsidR="009718D1" w:rsidRPr="005E6149" w:rsidRDefault="009718D1" w:rsidP="00E86862">
      <w:pPr>
        <w:pStyle w:val="ListParagraph"/>
        <w:numPr>
          <w:ilvl w:val="0"/>
          <w:numId w:val="28"/>
        </w:numPr>
        <w:spacing w:before="120" w:after="120"/>
        <w:ind w:left="714" w:hanging="357"/>
        <w:rPr>
          <w:rFonts w:ascii="Arial" w:hAnsi="Arial" w:cs="Arial"/>
          <w:sz w:val="22"/>
          <w:szCs w:val="22"/>
        </w:rPr>
      </w:pPr>
      <w:r w:rsidRPr="005E6149">
        <w:rPr>
          <w:rFonts w:ascii="Arial" w:hAnsi="Arial" w:cs="Arial"/>
          <w:sz w:val="22"/>
          <w:szCs w:val="22"/>
        </w:rPr>
        <w:t>Imaging dir</w:t>
      </w:r>
      <w:r w:rsidR="00295275">
        <w:rPr>
          <w:rFonts w:ascii="Arial" w:hAnsi="Arial" w:cs="Arial"/>
          <w:sz w:val="22"/>
          <w:szCs w:val="22"/>
        </w:rPr>
        <w:t>ect and overhead cost buckets (9</w:t>
      </w:r>
      <w:r w:rsidRPr="005E6149">
        <w:rPr>
          <w:rFonts w:ascii="Arial" w:hAnsi="Arial" w:cs="Arial"/>
          <w:sz w:val="22"/>
          <w:szCs w:val="22"/>
        </w:rPr>
        <w:t>%)</w:t>
      </w:r>
      <w:r w:rsidR="00A26F19" w:rsidRPr="005E6149">
        <w:rPr>
          <w:rFonts w:ascii="Arial" w:hAnsi="Arial" w:cs="Arial"/>
          <w:sz w:val="22"/>
          <w:szCs w:val="22"/>
        </w:rPr>
        <w:t>;</w:t>
      </w:r>
    </w:p>
    <w:p w:rsidR="009718D1" w:rsidRPr="005E6149" w:rsidRDefault="009718D1" w:rsidP="00E86862">
      <w:pPr>
        <w:pStyle w:val="ListParagraph"/>
        <w:numPr>
          <w:ilvl w:val="0"/>
          <w:numId w:val="28"/>
        </w:numPr>
        <w:spacing w:before="120" w:after="120"/>
        <w:ind w:left="714" w:hanging="357"/>
        <w:rPr>
          <w:rFonts w:ascii="Arial" w:hAnsi="Arial" w:cs="Arial"/>
          <w:sz w:val="22"/>
          <w:szCs w:val="22"/>
        </w:rPr>
      </w:pPr>
      <w:proofErr w:type="spellStart"/>
      <w:r w:rsidRPr="005E6149">
        <w:rPr>
          <w:rFonts w:ascii="Arial" w:hAnsi="Arial" w:cs="Arial"/>
          <w:sz w:val="22"/>
          <w:szCs w:val="22"/>
        </w:rPr>
        <w:t>Oncosts</w:t>
      </w:r>
      <w:proofErr w:type="spellEnd"/>
      <w:r w:rsidRPr="005E6149">
        <w:rPr>
          <w:rFonts w:ascii="Arial" w:hAnsi="Arial" w:cs="Arial"/>
          <w:sz w:val="22"/>
          <w:szCs w:val="22"/>
        </w:rPr>
        <w:t xml:space="preserve"> dir</w:t>
      </w:r>
      <w:r w:rsidR="00295275">
        <w:rPr>
          <w:rFonts w:ascii="Arial" w:hAnsi="Arial" w:cs="Arial"/>
          <w:sz w:val="22"/>
          <w:szCs w:val="22"/>
        </w:rPr>
        <w:t>ect and overhead cost buckets (7</w:t>
      </w:r>
      <w:r w:rsidRPr="005E6149">
        <w:rPr>
          <w:rFonts w:ascii="Arial" w:hAnsi="Arial" w:cs="Arial"/>
          <w:sz w:val="22"/>
          <w:szCs w:val="22"/>
        </w:rPr>
        <w:t>%)</w:t>
      </w:r>
      <w:r w:rsidR="00A26F19" w:rsidRPr="005E6149">
        <w:rPr>
          <w:rFonts w:ascii="Arial" w:hAnsi="Arial" w:cs="Arial"/>
          <w:sz w:val="22"/>
          <w:szCs w:val="22"/>
        </w:rPr>
        <w:t>; and</w:t>
      </w:r>
    </w:p>
    <w:p w:rsidR="009718D1" w:rsidRPr="005E6149" w:rsidRDefault="009718D1" w:rsidP="00E86862">
      <w:pPr>
        <w:pStyle w:val="ListParagraph"/>
        <w:numPr>
          <w:ilvl w:val="0"/>
          <w:numId w:val="28"/>
        </w:numPr>
        <w:spacing w:before="120" w:after="120"/>
        <w:ind w:left="714" w:hanging="357"/>
        <w:rPr>
          <w:rFonts w:ascii="Arial" w:hAnsi="Arial" w:cs="Arial"/>
          <w:sz w:val="22"/>
          <w:szCs w:val="22"/>
        </w:rPr>
      </w:pPr>
      <w:r w:rsidRPr="005E6149">
        <w:rPr>
          <w:rFonts w:ascii="Arial" w:hAnsi="Arial" w:cs="Arial"/>
          <w:sz w:val="22"/>
          <w:szCs w:val="22"/>
        </w:rPr>
        <w:t>Pathology direct and overhead cost buckets (</w:t>
      </w:r>
      <w:r w:rsidR="00295275">
        <w:rPr>
          <w:rFonts w:ascii="Arial" w:hAnsi="Arial" w:cs="Arial"/>
          <w:sz w:val="22"/>
          <w:szCs w:val="22"/>
        </w:rPr>
        <w:t>6</w:t>
      </w:r>
      <w:r w:rsidRPr="005E6149">
        <w:rPr>
          <w:rFonts w:ascii="Arial" w:hAnsi="Arial" w:cs="Arial"/>
          <w:sz w:val="22"/>
          <w:szCs w:val="22"/>
        </w:rPr>
        <w:t>%)</w:t>
      </w:r>
      <w:r w:rsidR="00A26F19" w:rsidRPr="005E6149">
        <w:rPr>
          <w:rFonts w:ascii="Arial" w:hAnsi="Arial" w:cs="Arial"/>
          <w:sz w:val="22"/>
          <w:szCs w:val="22"/>
        </w:rPr>
        <w:t>.</w:t>
      </w:r>
    </w:p>
    <w:p w:rsidR="00117F85" w:rsidRDefault="0003339E" w:rsidP="00806D88">
      <w:pPr>
        <w:spacing w:before="120" w:after="120"/>
        <w:rPr>
          <w:rFonts w:ascii="Arial" w:hAnsi="Arial" w:cs="Arial"/>
          <w:sz w:val="22"/>
          <w:szCs w:val="22"/>
        </w:rPr>
      </w:pPr>
      <w:r w:rsidRPr="005E6149">
        <w:rPr>
          <w:rFonts w:ascii="Arial" w:hAnsi="Arial" w:cs="Arial"/>
          <w:sz w:val="22"/>
          <w:szCs w:val="22"/>
        </w:rPr>
        <w:t>Similar figures were noted for the Round 16 dataset</w:t>
      </w:r>
      <w:r w:rsidR="00D873D2">
        <w:rPr>
          <w:rFonts w:ascii="Arial" w:hAnsi="Arial" w:cs="Arial"/>
          <w:sz w:val="22"/>
          <w:szCs w:val="22"/>
        </w:rPr>
        <w:t xml:space="preserve">. </w:t>
      </w:r>
      <w:r w:rsidR="00982783" w:rsidRPr="005E6149">
        <w:rPr>
          <w:rFonts w:ascii="Arial" w:hAnsi="Arial" w:cs="Arial"/>
          <w:sz w:val="22"/>
          <w:szCs w:val="22"/>
        </w:rPr>
        <w:t>A</w:t>
      </w:r>
      <w:r w:rsidR="004E275F" w:rsidRPr="005E6149">
        <w:rPr>
          <w:rFonts w:ascii="Arial" w:hAnsi="Arial" w:cs="Arial"/>
          <w:sz w:val="22"/>
          <w:szCs w:val="22"/>
        </w:rPr>
        <w:t xml:space="preserve"> review </w:t>
      </w:r>
      <w:r w:rsidR="004672DC" w:rsidRPr="005E6149">
        <w:rPr>
          <w:rFonts w:ascii="Arial" w:hAnsi="Arial" w:cs="Arial"/>
          <w:sz w:val="22"/>
          <w:szCs w:val="22"/>
        </w:rPr>
        <w:t xml:space="preserve">was undertaken </w:t>
      </w:r>
      <w:r w:rsidR="004E275F" w:rsidRPr="005E6149">
        <w:rPr>
          <w:rFonts w:ascii="Arial" w:hAnsi="Arial" w:cs="Arial"/>
          <w:sz w:val="22"/>
          <w:szCs w:val="22"/>
        </w:rPr>
        <w:t xml:space="preserve">of the </w:t>
      </w:r>
      <w:r w:rsidR="00944960" w:rsidRPr="005E6149">
        <w:rPr>
          <w:rFonts w:ascii="Arial" w:hAnsi="Arial" w:cs="Arial"/>
          <w:sz w:val="22"/>
          <w:szCs w:val="22"/>
        </w:rPr>
        <w:t xml:space="preserve">cost allocations made within the </w:t>
      </w:r>
      <w:r w:rsidR="004672DC" w:rsidRPr="005E6149">
        <w:rPr>
          <w:rFonts w:ascii="Arial" w:hAnsi="Arial" w:cs="Arial"/>
          <w:sz w:val="22"/>
          <w:szCs w:val="22"/>
        </w:rPr>
        <w:t xml:space="preserve">major </w:t>
      </w:r>
      <w:r w:rsidR="00944960" w:rsidRPr="005E6149">
        <w:rPr>
          <w:rFonts w:ascii="Arial" w:hAnsi="Arial" w:cs="Arial"/>
          <w:sz w:val="22"/>
          <w:szCs w:val="22"/>
        </w:rPr>
        <w:t>cost bucket</w:t>
      </w:r>
      <w:r w:rsidR="00594D3E" w:rsidRPr="005E6149">
        <w:rPr>
          <w:rFonts w:ascii="Arial" w:hAnsi="Arial" w:cs="Arial"/>
          <w:sz w:val="22"/>
          <w:szCs w:val="22"/>
        </w:rPr>
        <w:t xml:space="preserve"> (Emergency direct and overhead)</w:t>
      </w:r>
      <w:r w:rsidR="004672DC" w:rsidRPr="005E6149">
        <w:rPr>
          <w:rFonts w:ascii="Arial" w:hAnsi="Arial" w:cs="Arial"/>
          <w:sz w:val="22"/>
          <w:szCs w:val="22"/>
        </w:rPr>
        <w:t xml:space="preserve"> contributing to the overall cost profile.</w:t>
      </w:r>
    </w:p>
    <w:p w:rsidR="00117F85" w:rsidRPr="00117F85" w:rsidRDefault="00117F85" w:rsidP="00117F85">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Pr>
          <w:rFonts w:ascii="Arial" w:hAnsi="Arial" w:cs="Arial"/>
          <w:b/>
          <w:sz w:val="22"/>
          <w:szCs w:val="22"/>
        </w:rPr>
        <w:t xml:space="preserve">Recommendation 4: </w:t>
      </w:r>
      <w:r w:rsidRPr="00117F85">
        <w:rPr>
          <w:rFonts w:ascii="Arial" w:hAnsi="Arial" w:cs="Arial"/>
          <w:b/>
          <w:sz w:val="22"/>
          <w:szCs w:val="22"/>
        </w:rPr>
        <w:t>Cost allocation processes for emergency department services should include weightings for the time spent in the emergency department rather than being solely based on patient volumes.</w:t>
      </w:r>
    </w:p>
    <w:p w:rsidR="002F69E1" w:rsidRPr="005E6149" w:rsidRDefault="00186B70" w:rsidP="00186B70">
      <w:pPr>
        <w:pStyle w:val="Heading2"/>
        <w:rPr>
          <w:rFonts w:ascii="Arial" w:hAnsi="Arial" w:cs="Arial"/>
        </w:rPr>
      </w:pPr>
      <w:bookmarkStart w:id="72" w:name="_Toc278480635"/>
      <w:r w:rsidRPr="005E6149">
        <w:rPr>
          <w:rFonts w:ascii="Arial" w:hAnsi="Arial" w:cs="Arial"/>
        </w:rPr>
        <w:t>Conclusion</w:t>
      </w:r>
      <w:bookmarkEnd w:id="72"/>
    </w:p>
    <w:p w:rsidR="00CA39EC" w:rsidRPr="005E6149" w:rsidRDefault="00CF517A" w:rsidP="00CA39EC">
      <w:pPr>
        <w:spacing w:before="120" w:after="120"/>
        <w:rPr>
          <w:rFonts w:ascii="Arial" w:hAnsi="Arial" w:cs="Arial"/>
          <w:sz w:val="22"/>
          <w:szCs w:val="22"/>
        </w:rPr>
      </w:pPr>
      <w:r w:rsidRPr="005E6149">
        <w:rPr>
          <w:rFonts w:ascii="Arial" w:hAnsi="Arial" w:cs="Arial"/>
          <w:sz w:val="22"/>
          <w:szCs w:val="22"/>
        </w:rPr>
        <w:t xml:space="preserve">The current datasets for emergency department services reflect large volumes of patient activity with similar cost profiles </w:t>
      </w:r>
      <w:r w:rsidR="00CA39EC" w:rsidRPr="005E6149">
        <w:rPr>
          <w:rFonts w:ascii="Arial" w:hAnsi="Arial" w:cs="Arial"/>
          <w:sz w:val="22"/>
          <w:szCs w:val="22"/>
        </w:rPr>
        <w:t>within the same triage categories</w:t>
      </w:r>
      <w:r w:rsidR="00D873D2">
        <w:rPr>
          <w:rFonts w:ascii="Arial" w:hAnsi="Arial" w:cs="Arial"/>
          <w:sz w:val="22"/>
          <w:szCs w:val="22"/>
        </w:rPr>
        <w:t xml:space="preserve">. </w:t>
      </w:r>
      <w:r w:rsidR="00CA39EC" w:rsidRPr="005E6149">
        <w:rPr>
          <w:rFonts w:ascii="Arial" w:hAnsi="Arial" w:cs="Arial"/>
          <w:sz w:val="22"/>
          <w:szCs w:val="22"/>
        </w:rPr>
        <w:t>This is due to block allocation methods being adopted by most hospitals, using triage score as a weighting factor and then applying it to the patient volumes</w:t>
      </w:r>
      <w:r w:rsidR="00D873D2">
        <w:rPr>
          <w:rFonts w:ascii="Arial" w:hAnsi="Arial" w:cs="Arial"/>
          <w:sz w:val="22"/>
          <w:szCs w:val="22"/>
        </w:rPr>
        <w:t xml:space="preserve">. </w:t>
      </w:r>
    </w:p>
    <w:p w:rsidR="00CA39EC" w:rsidRPr="005E6149" w:rsidRDefault="00CA39EC" w:rsidP="00CA39EC">
      <w:pPr>
        <w:spacing w:before="120" w:after="120"/>
        <w:rPr>
          <w:rFonts w:ascii="Arial" w:hAnsi="Arial" w:cs="Arial"/>
          <w:sz w:val="22"/>
          <w:szCs w:val="22"/>
        </w:rPr>
      </w:pPr>
      <w:r w:rsidRPr="005E6149">
        <w:rPr>
          <w:rFonts w:ascii="Arial" w:hAnsi="Arial" w:cs="Arial"/>
          <w:sz w:val="22"/>
          <w:szCs w:val="22"/>
        </w:rPr>
        <w:t xml:space="preserve">The data also indicates that for the majority of hospitals submitting emergency department </w:t>
      </w:r>
      <w:proofErr w:type="spellStart"/>
      <w:r w:rsidRPr="005E6149">
        <w:rPr>
          <w:rFonts w:ascii="Arial" w:hAnsi="Arial" w:cs="Arial"/>
          <w:sz w:val="22"/>
          <w:szCs w:val="22"/>
        </w:rPr>
        <w:t>costed</w:t>
      </w:r>
      <w:proofErr w:type="spellEnd"/>
      <w:r w:rsidRPr="005E6149">
        <w:rPr>
          <w:rFonts w:ascii="Arial" w:hAnsi="Arial" w:cs="Arial"/>
          <w:sz w:val="22"/>
          <w:szCs w:val="22"/>
        </w:rPr>
        <w:t xml:space="preserve"> data,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data is not used to allocate diagnostic services costs (i.e. for pathology, imaging and pharmacy services).</w:t>
      </w:r>
    </w:p>
    <w:p w:rsidR="00CA39EC" w:rsidRPr="005E6149" w:rsidRDefault="00CA39EC" w:rsidP="0062298C">
      <w:pPr>
        <w:spacing w:before="120" w:after="120"/>
        <w:rPr>
          <w:rFonts w:ascii="Arial" w:hAnsi="Arial" w:cs="Arial"/>
          <w:sz w:val="22"/>
          <w:szCs w:val="22"/>
        </w:rPr>
      </w:pPr>
      <w:r w:rsidRPr="005E6149">
        <w:rPr>
          <w:rFonts w:ascii="Arial" w:hAnsi="Arial" w:cs="Arial"/>
          <w:sz w:val="22"/>
          <w:szCs w:val="22"/>
        </w:rPr>
        <w:t xml:space="preserve">Combined, these findings indicate that the current state of emergency department </w:t>
      </w:r>
      <w:proofErr w:type="spellStart"/>
      <w:r w:rsidRPr="005E6149">
        <w:rPr>
          <w:rFonts w:ascii="Arial" w:hAnsi="Arial" w:cs="Arial"/>
          <w:sz w:val="22"/>
          <w:szCs w:val="22"/>
        </w:rPr>
        <w:t>costed</w:t>
      </w:r>
      <w:proofErr w:type="spellEnd"/>
      <w:r w:rsidRPr="005E6149">
        <w:rPr>
          <w:rFonts w:ascii="Arial" w:hAnsi="Arial" w:cs="Arial"/>
          <w:sz w:val="22"/>
          <w:szCs w:val="22"/>
        </w:rPr>
        <w:t xml:space="preserve"> datasets is insufficiently detailed to be able to address whether a cost differential exists between Indigenous patients and </w:t>
      </w:r>
      <w:r w:rsidR="007A097D">
        <w:rPr>
          <w:rFonts w:ascii="Arial" w:hAnsi="Arial" w:cs="Arial"/>
          <w:sz w:val="22"/>
          <w:szCs w:val="22"/>
        </w:rPr>
        <w:t>Non-Indigenous</w:t>
      </w:r>
      <w:r w:rsidRPr="005E6149">
        <w:rPr>
          <w:rFonts w:ascii="Arial" w:hAnsi="Arial" w:cs="Arial"/>
          <w:sz w:val="22"/>
          <w:szCs w:val="22"/>
        </w:rPr>
        <w:t xml:space="preserve"> patients being treated in emergency departments</w:t>
      </w:r>
      <w:r w:rsidR="00D873D2">
        <w:rPr>
          <w:rFonts w:ascii="Arial" w:hAnsi="Arial" w:cs="Arial"/>
          <w:sz w:val="22"/>
          <w:szCs w:val="22"/>
        </w:rPr>
        <w:t xml:space="preserve">. </w:t>
      </w:r>
    </w:p>
    <w:p w:rsidR="009B508C" w:rsidRPr="005E6149" w:rsidRDefault="009B508C" w:rsidP="0062298C">
      <w:pPr>
        <w:spacing w:before="120" w:after="120"/>
        <w:rPr>
          <w:rFonts w:ascii="Arial" w:hAnsi="Arial" w:cs="Arial"/>
          <w:sz w:val="22"/>
          <w:szCs w:val="22"/>
        </w:rPr>
      </w:pPr>
      <w:r w:rsidRPr="005E6149">
        <w:rPr>
          <w:rFonts w:ascii="Arial" w:hAnsi="Arial" w:cs="Arial"/>
          <w:sz w:val="22"/>
          <w:szCs w:val="22"/>
        </w:rPr>
        <w:t>The emergency cost dataset</w:t>
      </w:r>
      <w:r w:rsidR="007E23C0" w:rsidRPr="005E6149">
        <w:rPr>
          <w:rFonts w:ascii="Arial" w:hAnsi="Arial" w:cs="Arial"/>
          <w:sz w:val="22"/>
          <w:szCs w:val="22"/>
        </w:rPr>
        <w:t>, as it currently stands, is un</w:t>
      </w:r>
      <w:r w:rsidRPr="005E6149">
        <w:rPr>
          <w:rFonts w:ascii="Arial" w:hAnsi="Arial" w:cs="Arial"/>
          <w:sz w:val="22"/>
          <w:szCs w:val="22"/>
        </w:rPr>
        <w:t>able to address the principle question underpinning this study</w:t>
      </w:r>
      <w:r w:rsidR="00D873D2">
        <w:rPr>
          <w:rFonts w:ascii="Arial" w:hAnsi="Arial" w:cs="Arial"/>
          <w:sz w:val="22"/>
          <w:szCs w:val="22"/>
        </w:rPr>
        <w:t xml:space="preserve">. </w:t>
      </w:r>
      <w:r w:rsidR="00BB03E6" w:rsidRPr="005E6149">
        <w:rPr>
          <w:rFonts w:ascii="Arial" w:hAnsi="Arial" w:cs="Arial"/>
          <w:sz w:val="22"/>
          <w:szCs w:val="22"/>
        </w:rPr>
        <w:t>F</w:t>
      </w:r>
      <w:r w:rsidRPr="005E6149">
        <w:rPr>
          <w:rFonts w:ascii="Arial" w:hAnsi="Arial" w:cs="Arial"/>
          <w:sz w:val="22"/>
          <w:szCs w:val="22"/>
        </w:rPr>
        <w:t xml:space="preserve">urther work </w:t>
      </w:r>
      <w:r w:rsidR="00BB03E6" w:rsidRPr="005E6149">
        <w:rPr>
          <w:rFonts w:ascii="Arial" w:hAnsi="Arial" w:cs="Arial"/>
          <w:sz w:val="22"/>
          <w:szCs w:val="22"/>
        </w:rPr>
        <w:t>is</w:t>
      </w:r>
      <w:r w:rsidRPr="005E6149">
        <w:rPr>
          <w:rFonts w:ascii="Arial" w:hAnsi="Arial" w:cs="Arial"/>
          <w:sz w:val="22"/>
          <w:szCs w:val="22"/>
        </w:rPr>
        <w:t xml:space="preserve"> needed on the allocation methods used </w:t>
      </w:r>
      <w:r w:rsidR="00BB03E6" w:rsidRPr="005E6149">
        <w:rPr>
          <w:rFonts w:ascii="Arial" w:hAnsi="Arial" w:cs="Arial"/>
          <w:sz w:val="22"/>
          <w:szCs w:val="22"/>
        </w:rPr>
        <w:t xml:space="preserve">by the majority of hospitals contributing to this dataset to ensure </w:t>
      </w:r>
      <w:r w:rsidRPr="005E6149">
        <w:rPr>
          <w:rFonts w:ascii="Arial" w:hAnsi="Arial" w:cs="Arial"/>
          <w:sz w:val="22"/>
          <w:szCs w:val="22"/>
        </w:rPr>
        <w:t>that the resultant cost profiles relate</w:t>
      </w:r>
      <w:r w:rsidR="00BB03E6" w:rsidRPr="005E6149">
        <w:rPr>
          <w:rFonts w:ascii="Arial" w:hAnsi="Arial" w:cs="Arial"/>
          <w:sz w:val="22"/>
          <w:szCs w:val="22"/>
        </w:rPr>
        <w:t xml:space="preserve"> directly</w:t>
      </w:r>
      <w:r w:rsidRPr="005E6149">
        <w:rPr>
          <w:rFonts w:ascii="Arial" w:hAnsi="Arial" w:cs="Arial"/>
          <w:sz w:val="22"/>
          <w:szCs w:val="22"/>
        </w:rPr>
        <w:t xml:space="preserve"> to patient complexity and service use</w:t>
      </w:r>
      <w:r w:rsidR="00207847" w:rsidRPr="005E6149">
        <w:rPr>
          <w:rFonts w:ascii="Arial" w:hAnsi="Arial" w:cs="Arial"/>
          <w:sz w:val="22"/>
          <w:szCs w:val="22"/>
        </w:rPr>
        <w:t>.</w:t>
      </w:r>
    </w:p>
    <w:p w:rsidR="004B516C" w:rsidRPr="005E6149" w:rsidRDefault="004B516C" w:rsidP="001618CA">
      <w:pPr>
        <w:pStyle w:val="Heading2"/>
        <w:keepLines w:val="0"/>
        <w:tabs>
          <w:tab w:val="left" w:pos="851"/>
        </w:tabs>
        <w:spacing w:before="360" w:after="240"/>
        <w:ind w:left="851" w:hanging="851"/>
        <w:rPr>
          <w:rFonts w:ascii="Arial" w:hAnsi="Arial" w:cs="Arial"/>
          <w:color w:val="548DD4" w:themeColor="text2" w:themeTint="99"/>
        </w:rPr>
        <w:sectPr w:rsidR="004B516C" w:rsidRPr="005E6149" w:rsidSect="00BE30AC">
          <w:pgSz w:w="12240" w:h="15840"/>
          <w:pgMar w:top="1440" w:right="1467" w:bottom="1440" w:left="1800" w:header="720" w:footer="720" w:gutter="0"/>
          <w:cols w:space="720"/>
          <w:docGrid w:linePitch="360"/>
        </w:sectPr>
      </w:pPr>
    </w:p>
    <w:p w:rsidR="00C42A6A" w:rsidRPr="00FD775F" w:rsidRDefault="00C42A6A" w:rsidP="00287791">
      <w:pPr>
        <w:pStyle w:val="Heading1"/>
        <w:ind w:left="0"/>
      </w:pPr>
      <w:bookmarkStart w:id="73" w:name="_Toc278480636"/>
      <w:bookmarkStart w:id="74" w:name="_Toc426117644"/>
      <w:r w:rsidRPr="00FD775F">
        <w:lastRenderedPageBreak/>
        <w:t xml:space="preserve">Identifying a Cost Differential – </w:t>
      </w:r>
      <w:r w:rsidR="00F618BE">
        <w:t>Non</w:t>
      </w:r>
      <w:r w:rsidRPr="00FD775F">
        <w:t>-Admitted Services</w:t>
      </w:r>
      <w:bookmarkEnd w:id="73"/>
      <w:bookmarkEnd w:id="74"/>
    </w:p>
    <w:p w:rsidR="00C42A6A" w:rsidRPr="005E6149" w:rsidRDefault="00780FF1" w:rsidP="00836916">
      <w:pPr>
        <w:spacing w:before="120" w:after="120"/>
        <w:rPr>
          <w:rFonts w:ascii="Arial" w:hAnsi="Arial" w:cs="Arial"/>
          <w:sz w:val="22"/>
          <w:szCs w:val="22"/>
        </w:rPr>
      </w:pPr>
      <w:r w:rsidRPr="005E6149">
        <w:rPr>
          <w:rFonts w:ascii="Arial" w:hAnsi="Arial" w:cs="Arial"/>
          <w:sz w:val="22"/>
          <w:szCs w:val="22"/>
        </w:rPr>
        <w:t xml:space="preserve">Round 16 and round 17 NHCDC data contained </w:t>
      </w:r>
      <w:r w:rsidR="00D76A89" w:rsidRPr="005E6149">
        <w:rPr>
          <w:rFonts w:ascii="Arial" w:hAnsi="Arial" w:cs="Arial"/>
          <w:sz w:val="22"/>
          <w:szCs w:val="22"/>
        </w:rPr>
        <w:t>10,061,102</w:t>
      </w:r>
      <w:r w:rsidRPr="005E6149">
        <w:rPr>
          <w:rFonts w:ascii="Arial" w:hAnsi="Arial" w:cs="Arial"/>
          <w:sz w:val="22"/>
          <w:szCs w:val="22"/>
        </w:rPr>
        <w:t xml:space="preserve"> and 13,390,639 </w:t>
      </w:r>
      <w:r w:rsidR="00F618BE">
        <w:rPr>
          <w:rFonts w:ascii="Arial" w:hAnsi="Arial" w:cs="Arial"/>
          <w:sz w:val="22"/>
          <w:szCs w:val="22"/>
        </w:rPr>
        <w:t>non</w:t>
      </w:r>
      <w:r w:rsidRPr="005E6149">
        <w:rPr>
          <w:rFonts w:ascii="Arial" w:hAnsi="Arial" w:cs="Arial"/>
          <w:sz w:val="22"/>
          <w:szCs w:val="22"/>
        </w:rPr>
        <w:t xml:space="preserve">-admitted </w:t>
      </w:r>
      <w:proofErr w:type="spellStart"/>
      <w:r w:rsidRPr="005E6149">
        <w:rPr>
          <w:rFonts w:ascii="Arial" w:hAnsi="Arial" w:cs="Arial"/>
          <w:sz w:val="22"/>
          <w:szCs w:val="22"/>
        </w:rPr>
        <w:t>costed</w:t>
      </w:r>
      <w:proofErr w:type="spellEnd"/>
      <w:r w:rsidRPr="005E6149">
        <w:rPr>
          <w:rFonts w:ascii="Arial" w:hAnsi="Arial" w:cs="Arial"/>
          <w:sz w:val="22"/>
          <w:szCs w:val="22"/>
        </w:rPr>
        <w:t xml:space="preserve"> records respectively</w:t>
      </w:r>
      <w:r w:rsidR="00D873D2">
        <w:rPr>
          <w:rFonts w:ascii="Arial" w:hAnsi="Arial" w:cs="Arial"/>
          <w:sz w:val="22"/>
          <w:szCs w:val="22"/>
        </w:rPr>
        <w:t xml:space="preserve">. </w:t>
      </w:r>
      <w:r w:rsidRPr="005E6149">
        <w:rPr>
          <w:rFonts w:ascii="Arial" w:hAnsi="Arial" w:cs="Arial"/>
          <w:sz w:val="22"/>
          <w:szCs w:val="22"/>
        </w:rPr>
        <w:t xml:space="preserve">Applying similar trimming criteria to that described in earlier chapters resulted in trimmed datasets of </w:t>
      </w:r>
      <w:r w:rsidR="00014206" w:rsidRPr="005E6149">
        <w:rPr>
          <w:rFonts w:ascii="Arial" w:hAnsi="Arial" w:cs="Arial"/>
          <w:sz w:val="22"/>
          <w:szCs w:val="22"/>
        </w:rPr>
        <w:t>4,701,704</w:t>
      </w:r>
      <w:r w:rsidRPr="005E6149">
        <w:rPr>
          <w:rFonts w:ascii="Arial" w:hAnsi="Arial" w:cs="Arial"/>
          <w:sz w:val="22"/>
          <w:szCs w:val="22"/>
        </w:rPr>
        <w:t xml:space="preserve"> and 9,412,579 records respectively.</w:t>
      </w:r>
      <w:r w:rsidR="00014206" w:rsidRPr="005E6149">
        <w:rPr>
          <w:rFonts w:ascii="Arial" w:hAnsi="Arial" w:cs="Arial"/>
          <w:sz w:val="22"/>
          <w:szCs w:val="22"/>
        </w:rPr>
        <w:t xml:space="preserve"> Th</w:t>
      </w:r>
      <w:r w:rsidR="00224105" w:rsidRPr="005E6149">
        <w:rPr>
          <w:rFonts w:ascii="Arial" w:hAnsi="Arial" w:cs="Arial"/>
          <w:sz w:val="22"/>
          <w:szCs w:val="22"/>
        </w:rPr>
        <w:t xml:space="preserve">e number of records where Indigenous status has not been recorded is significant for both years, and as such some consideration should be given to making Indigenous Status a mandatory data item to be completed within the </w:t>
      </w:r>
      <w:r w:rsidR="00F618BE">
        <w:rPr>
          <w:rFonts w:ascii="Arial" w:hAnsi="Arial" w:cs="Arial"/>
          <w:sz w:val="22"/>
          <w:szCs w:val="22"/>
        </w:rPr>
        <w:t>non</w:t>
      </w:r>
      <w:r w:rsidR="00224105" w:rsidRPr="005E6149">
        <w:rPr>
          <w:rFonts w:ascii="Arial" w:hAnsi="Arial" w:cs="Arial"/>
          <w:sz w:val="22"/>
          <w:szCs w:val="22"/>
        </w:rPr>
        <w:t>-admitted data collection.</w:t>
      </w:r>
    </w:p>
    <w:p w:rsidR="00CE13DC" w:rsidRPr="005E6149" w:rsidRDefault="00C316EE" w:rsidP="00CE13DC">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Pr>
          <w:rFonts w:ascii="Arial" w:hAnsi="Arial" w:cs="Arial"/>
          <w:b/>
          <w:sz w:val="22"/>
          <w:szCs w:val="22"/>
        </w:rPr>
        <w:t xml:space="preserve">Recommendation </w:t>
      </w:r>
      <w:r w:rsidR="00117F85">
        <w:rPr>
          <w:rFonts w:ascii="Arial" w:hAnsi="Arial" w:cs="Arial"/>
          <w:b/>
          <w:sz w:val="22"/>
          <w:szCs w:val="22"/>
        </w:rPr>
        <w:t>5</w:t>
      </w:r>
      <w:r w:rsidR="00CE13DC" w:rsidRPr="005E6149">
        <w:rPr>
          <w:rFonts w:ascii="Arial" w:hAnsi="Arial" w:cs="Arial"/>
          <w:b/>
          <w:sz w:val="22"/>
          <w:szCs w:val="22"/>
        </w:rPr>
        <w:t>:</w:t>
      </w:r>
      <w:r w:rsidR="00117F85">
        <w:rPr>
          <w:rFonts w:ascii="Arial" w:hAnsi="Arial" w:cs="Arial"/>
          <w:b/>
          <w:sz w:val="22"/>
          <w:szCs w:val="22"/>
        </w:rPr>
        <w:t xml:space="preserve"> </w:t>
      </w:r>
      <w:r w:rsidR="00CE13DC" w:rsidRPr="00CE13DC">
        <w:rPr>
          <w:rFonts w:ascii="Arial" w:hAnsi="Arial" w:cs="Arial"/>
          <w:b/>
          <w:sz w:val="22"/>
          <w:szCs w:val="22"/>
        </w:rPr>
        <w:t xml:space="preserve">The data item relating to Indigenous status </w:t>
      </w:r>
      <w:proofErr w:type="gramStart"/>
      <w:r w:rsidR="00CE13DC" w:rsidRPr="00CE13DC">
        <w:rPr>
          <w:rFonts w:ascii="Arial" w:hAnsi="Arial" w:cs="Arial"/>
          <w:b/>
          <w:sz w:val="22"/>
          <w:szCs w:val="22"/>
        </w:rPr>
        <w:t>be</w:t>
      </w:r>
      <w:proofErr w:type="gramEnd"/>
      <w:r w:rsidR="00CE13DC" w:rsidRPr="00CE13DC">
        <w:rPr>
          <w:rFonts w:ascii="Arial" w:hAnsi="Arial" w:cs="Arial"/>
          <w:b/>
          <w:sz w:val="22"/>
          <w:szCs w:val="22"/>
        </w:rPr>
        <w:t xml:space="preserve"> a mandatory data item included in the minimum dataset associated with the reporting of non-admitted hospital activity.</w:t>
      </w:r>
    </w:p>
    <w:p w:rsidR="00224105" w:rsidRPr="005E6149" w:rsidRDefault="00224105" w:rsidP="00CE13DC">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sidRPr="005E6149">
        <w:rPr>
          <w:rFonts w:ascii="Arial" w:hAnsi="Arial" w:cs="Arial"/>
          <w:b/>
          <w:sz w:val="22"/>
          <w:szCs w:val="22"/>
        </w:rPr>
        <w:t xml:space="preserve">Recommendation </w:t>
      </w:r>
      <w:r w:rsidR="00117F85">
        <w:rPr>
          <w:rFonts w:ascii="Arial" w:hAnsi="Arial" w:cs="Arial"/>
          <w:b/>
          <w:sz w:val="22"/>
          <w:szCs w:val="22"/>
        </w:rPr>
        <w:t>6</w:t>
      </w:r>
      <w:r w:rsidRPr="005E6149">
        <w:rPr>
          <w:rFonts w:ascii="Arial" w:hAnsi="Arial" w:cs="Arial"/>
          <w:b/>
          <w:sz w:val="22"/>
          <w:szCs w:val="22"/>
        </w:rPr>
        <w:t xml:space="preserve">: </w:t>
      </w:r>
      <w:r w:rsidR="00CE13DC" w:rsidRPr="00CE13DC">
        <w:rPr>
          <w:rFonts w:ascii="Arial" w:hAnsi="Arial" w:cs="Arial"/>
          <w:b/>
          <w:sz w:val="22"/>
          <w:szCs w:val="22"/>
        </w:rPr>
        <w:t xml:space="preserve">Consideration </w:t>
      </w:r>
      <w:proofErr w:type="gramStart"/>
      <w:r w:rsidR="00CE13DC" w:rsidRPr="00CE13DC">
        <w:rPr>
          <w:rFonts w:ascii="Arial" w:hAnsi="Arial" w:cs="Arial"/>
          <w:b/>
          <w:sz w:val="22"/>
          <w:szCs w:val="22"/>
        </w:rPr>
        <w:t>be</w:t>
      </w:r>
      <w:proofErr w:type="gramEnd"/>
      <w:r w:rsidR="00CE13DC" w:rsidRPr="00CE13DC">
        <w:rPr>
          <w:rFonts w:ascii="Arial" w:hAnsi="Arial" w:cs="Arial"/>
          <w:b/>
          <w:sz w:val="22"/>
          <w:szCs w:val="22"/>
        </w:rPr>
        <w:t xml:space="preserve"> given to the reporting of time based data in non-admitted patient activity.</w:t>
      </w:r>
    </w:p>
    <w:p w:rsidR="00780FF1" w:rsidRPr="005E6149" w:rsidRDefault="00780FF1" w:rsidP="00836916">
      <w:pPr>
        <w:spacing w:before="120" w:after="120"/>
        <w:rPr>
          <w:rFonts w:ascii="Arial" w:hAnsi="Arial" w:cs="Arial"/>
          <w:sz w:val="22"/>
          <w:szCs w:val="22"/>
        </w:rPr>
      </w:pPr>
      <w:r w:rsidRPr="005E6149">
        <w:rPr>
          <w:rFonts w:ascii="Arial" w:hAnsi="Arial" w:cs="Arial"/>
          <w:sz w:val="22"/>
          <w:szCs w:val="22"/>
        </w:rPr>
        <w:t>The paired t-test</w:t>
      </w:r>
      <w:r w:rsidR="00224105" w:rsidRPr="005E6149">
        <w:rPr>
          <w:rFonts w:ascii="Arial" w:hAnsi="Arial" w:cs="Arial"/>
          <w:sz w:val="22"/>
          <w:szCs w:val="22"/>
        </w:rPr>
        <w:t>s for the two years yield quite different results</w:t>
      </w:r>
      <w:r w:rsidR="00D873D2">
        <w:rPr>
          <w:rFonts w:ascii="Arial" w:hAnsi="Arial" w:cs="Arial"/>
          <w:sz w:val="22"/>
          <w:szCs w:val="22"/>
        </w:rPr>
        <w:t xml:space="preserve">. </w:t>
      </w:r>
      <w:r w:rsidR="00224105" w:rsidRPr="005E6149">
        <w:rPr>
          <w:rFonts w:ascii="Arial" w:hAnsi="Arial" w:cs="Arial"/>
          <w:sz w:val="22"/>
          <w:szCs w:val="22"/>
        </w:rPr>
        <w:t>Fo</w:t>
      </w:r>
      <w:r w:rsidRPr="005E6149">
        <w:rPr>
          <w:rFonts w:ascii="Arial" w:hAnsi="Arial" w:cs="Arial"/>
          <w:sz w:val="22"/>
          <w:szCs w:val="22"/>
        </w:rPr>
        <w:t xml:space="preserve">r the trimmed Round 17 dataset </w:t>
      </w:r>
      <w:r w:rsidR="00224105" w:rsidRPr="005E6149">
        <w:rPr>
          <w:rFonts w:ascii="Arial" w:hAnsi="Arial" w:cs="Arial"/>
          <w:sz w:val="22"/>
          <w:szCs w:val="22"/>
        </w:rPr>
        <w:t>the statistical inference is one where</w:t>
      </w:r>
      <w:r w:rsidRPr="005E6149">
        <w:rPr>
          <w:rFonts w:ascii="Arial" w:hAnsi="Arial" w:cs="Arial"/>
          <w:sz w:val="22"/>
          <w:szCs w:val="22"/>
        </w:rPr>
        <w:t xml:space="preserve"> a cost differential exists, with Indigenous patients being costlier than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 (</w:t>
      </w:r>
      <w:r w:rsidR="0062298C">
        <w:rPr>
          <w:rFonts w:ascii="Arial" w:hAnsi="Arial" w:cs="Arial"/>
          <w:sz w:val="22"/>
          <w:szCs w:val="22"/>
        </w:rPr>
        <w:t>Table</w:t>
      </w:r>
      <w:r w:rsidRPr="005E6149">
        <w:rPr>
          <w:rFonts w:ascii="Arial" w:hAnsi="Arial" w:cs="Arial"/>
          <w:sz w:val="22"/>
          <w:szCs w:val="22"/>
        </w:rPr>
        <w:t xml:space="preserve"> 9.1)</w:t>
      </w:r>
      <w:r w:rsidR="00D873D2">
        <w:rPr>
          <w:rFonts w:ascii="Arial" w:hAnsi="Arial" w:cs="Arial"/>
          <w:sz w:val="22"/>
          <w:szCs w:val="22"/>
        </w:rPr>
        <w:t xml:space="preserve">. </w:t>
      </w:r>
      <w:r w:rsidR="00224105" w:rsidRPr="005E6149">
        <w:rPr>
          <w:rFonts w:ascii="Arial" w:hAnsi="Arial" w:cs="Arial"/>
          <w:sz w:val="22"/>
          <w:szCs w:val="22"/>
        </w:rPr>
        <w:t>For the trimmed Round 16 dataset there appears to be no difference in the cost profiles of the two patient cohorts.</w:t>
      </w:r>
    </w:p>
    <w:p w:rsidR="00780FF1" w:rsidRPr="005E6149" w:rsidRDefault="00780FF1" w:rsidP="00780FF1">
      <w:pPr>
        <w:pStyle w:val="TableCaption"/>
        <w:rPr>
          <w:rFonts w:ascii="Arial" w:hAnsi="Arial" w:cs="Arial"/>
          <w:sz w:val="18"/>
          <w:szCs w:val="18"/>
        </w:rPr>
      </w:pPr>
      <w:bookmarkStart w:id="75" w:name="_Toc278480686"/>
      <w:r w:rsidRPr="005E6149">
        <w:rPr>
          <w:rFonts w:ascii="Arial" w:hAnsi="Arial" w:cs="Arial"/>
          <w:sz w:val="18"/>
          <w:szCs w:val="18"/>
        </w:rPr>
        <w:t xml:space="preserve">Table 9.1: </w:t>
      </w:r>
      <w:r w:rsidR="003955DE">
        <w:rPr>
          <w:rFonts w:ascii="Arial" w:hAnsi="Arial" w:cs="Arial"/>
          <w:sz w:val="18"/>
          <w:szCs w:val="18"/>
        </w:rPr>
        <w:t xml:space="preserve">T </w:t>
      </w:r>
      <w:r w:rsidRPr="005E6149">
        <w:rPr>
          <w:rFonts w:ascii="Arial" w:hAnsi="Arial" w:cs="Arial"/>
          <w:sz w:val="18"/>
          <w:szCs w:val="18"/>
        </w:rPr>
        <w:t xml:space="preserve">statistics for the aggregate </w:t>
      </w:r>
      <w:r w:rsidR="00F618BE">
        <w:rPr>
          <w:rFonts w:ascii="Arial" w:hAnsi="Arial" w:cs="Arial"/>
          <w:sz w:val="18"/>
          <w:szCs w:val="18"/>
        </w:rPr>
        <w:t>non</w:t>
      </w:r>
      <w:r w:rsidRPr="005E6149">
        <w:rPr>
          <w:rFonts w:ascii="Arial" w:hAnsi="Arial" w:cs="Arial"/>
          <w:sz w:val="18"/>
          <w:szCs w:val="18"/>
        </w:rPr>
        <w:t>-admitted patient cohorts – trimmed datasets for Round 16 (2011/12) and Round 17 (2012/13) NHCDC</w:t>
      </w:r>
      <w:bookmarkEnd w:id="75"/>
    </w:p>
    <w:tbl>
      <w:tblPr>
        <w:tblW w:w="8868"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Table 9.1: T statistics for the aggregate non-admitted patient cohorts "/>
      </w:tblPr>
      <w:tblGrid>
        <w:gridCol w:w="768"/>
        <w:gridCol w:w="1202"/>
        <w:gridCol w:w="642"/>
        <w:gridCol w:w="1251"/>
        <w:gridCol w:w="694"/>
        <w:gridCol w:w="695"/>
        <w:gridCol w:w="852"/>
        <w:gridCol w:w="1325"/>
        <w:gridCol w:w="1439"/>
      </w:tblGrid>
      <w:tr w:rsidR="00CE13DC" w:rsidRPr="002019C1" w:rsidTr="00DC14D9">
        <w:trPr>
          <w:gridAfter w:val="1"/>
          <w:wAfter w:w="1439" w:type="dxa"/>
          <w:trHeight w:val="896"/>
          <w:tblHeader/>
          <w:jc w:val="center"/>
        </w:trPr>
        <w:tc>
          <w:tcPr>
            <w:tcW w:w="768" w:type="dxa"/>
            <w:shd w:val="clear" w:color="auto" w:fill="CCCCCC"/>
            <w:noWrap/>
            <w:vAlign w:val="bottom"/>
          </w:tcPr>
          <w:p w:rsidR="00CE13DC" w:rsidRPr="00C628C4" w:rsidRDefault="00CE13DC" w:rsidP="00BE30AC">
            <w:pPr>
              <w:rPr>
                <w:rFonts w:asciiTheme="majorHAnsi" w:eastAsia="Times New Roman" w:hAnsiTheme="majorHAnsi" w:cs="Arial"/>
                <w:b/>
                <w:color w:val="000000"/>
                <w:sz w:val="20"/>
                <w:szCs w:val="20"/>
                <w:lang w:val="en-AU"/>
              </w:rPr>
            </w:pPr>
          </w:p>
        </w:tc>
        <w:tc>
          <w:tcPr>
            <w:tcW w:w="1202" w:type="dxa"/>
            <w:shd w:val="clear" w:color="auto" w:fill="CCCCCC"/>
            <w:noWrap/>
            <w:vAlign w:val="bottom"/>
          </w:tcPr>
          <w:p w:rsidR="00CE13DC" w:rsidRPr="00C628C4" w:rsidRDefault="00CE13DC" w:rsidP="00BE30A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Indigenous</w:t>
            </w:r>
          </w:p>
        </w:tc>
        <w:tc>
          <w:tcPr>
            <w:tcW w:w="642" w:type="dxa"/>
            <w:shd w:val="clear" w:color="auto" w:fill="CCCCCC"/>
            <w:noWrap/>
            <w:vAlign w:val="bottom"/>
          </w:tcPr>
          <w:p w:rsidR="00CE13DC" w:rsidRPr="00C628C4" w:rsidRDefault="00CE13DC" w:rsidP="00BE30AC">
            <w:pPr>
              <w:rPr>
                <w:rFonts w:asciiTheme="majorHAnsi" w:eastAsia="Times New Roman" w:hAnsiTheme="majorHAnsi" w:cs="Arial"/>
                <w:b/>
                <w:color w:val="000000"/>
                <w:sz w:val="20"/>
                <w:szCs w:val="20"/>
                <w:lang w:val="en-AU"/>
              </w:rPr>
            </w:pPr>
          </w:p>
        </w:tc>
        <w:tc>
          <w:tcPr>
            <w:tcW w:w="1945" w:type="dxa"/>
            <w:gridSpan w:val="2"/>
            <w:shd w:val="clear" w:color="auto" w:fill="CCCCCC"/>
            <w:noWrap/>
            <w:vAlign w:val="bottom"/>
          </w:tcPr>
          <w:p w:rsidR="00CE13DC" w:rsidRPr="00C628C4" w:rsidRDefault="00CE13DC" w:rsidP="00BE30A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Non-Indigenous</w:t>
            </w:r>
          </w:p>
        </w:tc>
        <w:tc>
          <w:tcPr>
            <w:tcW w:w="2872" w:type="dxa"/>
            <w:gridSpan w:val="3"/>
            <w:shd w:val="clear" w:color="auto" w:fill="CCCCCC"/>
            <w:noWrap/>
            <w:vAlign w:val="bottom"/>
          </w:tcPr>
          <w:p w:rsidR="00CE13DC" w:rsidRPr="00C628C4" w:rsidRDefault="00CE13DC" w:rsidP="00BE30AC">
            <w:pP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lang w:val="en-AU"/>
              </w:rPr>
              <w:t>Statistics</w:t>
            </w:r>
          </w:p>
        </w:tc>
      </w:tr>
      <w:tr w:rsidR="00CE13DC" w:rsidRPr="002019C1" w:rsidTr="00DC14D9">
        <w:trPr>
          <w:gridAfter w:val="1"/>
          <w:wAfter w:w="1439" w:type="dxa"/>
          <w:trHeight w:val="896"/>
          <w:tblHeader/>
          <w:jc w:val="center"/>
        </w:trPr>
        <w:tc>
          <w:tcPr>
            <w:tcW w:w="768" w:type="dxa"/>
            <w:shd w:val="clear" w:color="auto" w:fill="CCCCCC"/>
            <w:noWrap/>
            <w:vAlign w:val="bottom"/>
            <w:hideMark/>
          </w:tcPr>
          <w:p w:rsidR="00CE13DC" w:rsidRPr="00C628C4" w:rsidRDefault="00CE13DC" w:rsidP="00BE30AC">
            <w:pPr>
              <w:rPr>
                <w:rFonts w:asciiTheme="majorHAnsi" w:eastAsia="Times New Roman" w:hAnsiTheme="majorHAnsi" w:cs="Arial"/>
                <w:b/>
                <w:color w:val="000000"/>
                <w:sz w:val="20"/>
                <w:szCs w:val="20"/>
                <w:lang w:val="en-AU"/>
              </w:rPr>
            </w:pPr>
          </w:p>
        </w:tc>
        <w:tc>
          <w:tcPr>
            <w:tcW w:w="1202" w:type="dxa"/>
            <w:shd w:val="clear" w:color="auto" w:fill="CCCCCC"/>
            <w:noWrap/>
            <w:vAlign w:val="bottom"/>
            <w:hideMark/>
          </w:tcPr>
          <w:p w:rsidR="00270691" w:rsidRDefault="00CE13DC" w:rsidP="00CE13DC">
            <w:pPr>
              <w:rPr>
                <w:rFonts w:asciiTheme="majorHAnsi" w:eastAsia="Times New Roman" w:hAnsiTheme="majorHAnsi" w:cs="Arial"/>
                <w:b/>
                <w:color w:val="000000"/>
                <w:sz w:val="20"/>
                <w:szCs w:val="20"/>
                <w:lang w:val="en-AU"/>
              </w:rPr>
            </w:pPr>
            <w:r>
              <w:rPr>
                <w:rFonts w:asciiTheme="majorHAnsi" w:eastAsia="Times New Roman" w:hAnsiTheme="majorHAnsi" w:cs="Arial"/>
                <w:b/>
                <w:color w:val="000000"/>
                <w:sz w:val="20"/>
                <w:szCs w:val="20"/>
                <w:lang w:val="en-AU"/>
              </w:rPr>
              <w:t>No.</w:t>
            </w:r>
          </w:p>
          <w:p w:rsidR="00CE13DC" w:rsidRPr="00C628C4" w:rsidRDefault="00CE13DC" w:rsidP="00CE13D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Patients</w:t>
            </w:r>
          </w:p>
        </w:tc>
        <w:tc>
          <w:tcPr>
            <w:tcW w:w="642" w:type="dxa"/>
            <w:shd w:val="clear" w:color="auto" w:fill="CCCCCC"/>
            <w:noWrap/>
            <w:vAlign w:val="bottom"/>
            <w:hideMark/>
          </w:tcPr>
          <w:p w:rsidR="00CE13DC" w:rsidRPr="00C628C4" w:rsidRDefault="00CE13DC" w:rsidP="00CE13DC">
            <w:pP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Avg</w:t>
            </w:r>
            <w:proofErr w:type="spellEnd"/>
            <w:r w:rsidRPr="00C628C4">
              <w:rPr>
                <w:rFonts w:asciiTheme="majorHAnsi" w:eastAsia="Times New Roman" w:hAnsiTheme="majorHAnsi" w:cs="Arial"/>
                <w:b/>
                <w:color w:val="000000"/>
                <w:sz w:val="20"/>
                <w:szCs w:val="20"/>
                <w:lang w:val="en-AU"/>
              </w:rPr>
              <w:t xml:space="preserve"> Cost</w:t>
            </w:r>
          </w:p>
        </w:tc>
        <w:tc>
          <w:tcPr>
            <w:tcW w:w="1251" w:type="dxa"/>
            <w:shd w:val="clear" w:color="auto" w:fill="CCCCCC"/>
            <w:noWrap/>
            <w:vAlign w:val="bottom"/>
            <w:hideMark/>
          </w:tcPr>
          <w:p w:rsidR="00270691" w:rsidRDefault="00CE13DC" w:rsidP="00BE30AC">
            <w:pPr>
              <w:rPr>
                <w:rFonts w:asciiTheme="majorHAnsi" w:eastAsia="Times New Roman" w:hAnsiTheme="majorHAnsi" w:cs="Arial"/>
                <w:b/>
                <w:color w:val="000000"/>
                <w:sz w:val="20"/>
                <w:szCs w:val="20"/>
                <w:lang w:val="en-AU"/>
              </w:rPr>
            </w:pPr>
            <w:r>
              <w:rPr>
                <w:rFonts w:asciiTheme="majorHAnsi" w:eastAsia="Times New Roman" w:hAnsiTheme="majorHAnsi" w:cs="Arial"/>
                <w:b/>
                <w:color w:val="000000"/>
                <w:sz w:val="20"/>
                <w:szCs w:val="20"/>
                <w:lang w:val="en-AU"/>
              </w:rPr>
              <w:t>No.</w:t>
            </w:r>
          </w:p>
          <w:p w:rsidR="00CE13DC" w:rsidRPr="00C628C4" w:rsidRDefault="00CE13DC" w:rsidP="00BE30A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Patients</w:t>
            </w:r>
          </w:p>
        </w:tc>
        <w:tc>
          <w:tcPr>
            <w:tcW w:w="694" w:type="dxa"/>
            <w:shd w:val="clear" w:color="auto" w:fill="CCCCCC"/>
            <w:noWrap/>
            <w:vAlign w:val="bottom"/>
            <w:hideMark/>
          </w:tcPr>
          <w:p w:rsidR="00CE13DC" w:rsidRPr="00C628C4" w:rsidRDefault="00CE13DC" w:rsidP="00CE13DC">
            <w:pP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Avg</w:t>
            </w:r>
            <w:proofErr w:type="spellEnd"/>
            <w:r w:rsidRPr="00C628C4">
              <w:rPr>
                <w:rFonts w:asciiTheme="majorHAnsi" w:eastAsia="Times New Roman" w:hAnsiTheme="majorHAnsi" w:cs="Arial"/>
                <w:b/>
                <w:color w:val="000000"/>
                <w:sz w:val="20"/>
                <w:szCs w:val="20"/>
                <w:lang w:val="en-AU"/>
              </w:rPr>
              <w:t xml:space="preserve"> Cost</w:t>
            </w:r>
          </w:p>
        </w:tc>
        <w:tc>
          <w:tcPr>
            <w:tcW w:w="695" w:type="dxa"/>
            <w:shd w:val="clear" w:color="auto" w:fill="CCCCCC"/>
            <w:noWrap/>
            <w:vAlign w:val="bottom"/>
            <w:hideMark/>
          </w:tcPr>
          <w:p w:rsidR="00CE13DC" w:rsidRPr="00C628C4" w:rsidRDefault="00CE13DC" w:rsidP="00BE30A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 Value</w:t>
            </w:r>
          </w:p>
        </w:tc>
        <w:tc>
          <w:tcPr>
            <w:tcW w:w="852" w:type="dxa"/>
            <w:shd w:val="clear" w:color="auto" w:fill="CCCCCC"/>
            <w:noWrap/>
            <w:vAlign w:val="bottom"/>
            <w:hideMark/>
          </w:tcPr>
          <w:p w:rsidR="00215EFE" w:rsidRDefault="00CE13DC" w:rsidP="00BE30AC">
            <w:pPr>
              <w:rPr>
                <w:rFonts w:asciiTheme="majorHAnsi" w:eastAsia="Times New Roman" w:hAnsiTheme="majorHAnsi" w:cs="Arial"/>
                <w:b/>
                <w:color w:val="000000"/>
                <w:sz w:val="20"/>
                <w:szCs w:val="20"/>
                <w:lang w:val="en-AU"/>
              </w:rPr>
            </w:pPr>
            <w:proofErr w:type="spellStart"/>
            <w:r w:rsidRPr="00C628C4">
              <w:rPr>
                <w:rFonts w:asciiTheme="majorHAnsi" w:eastAsia="Times New Roman" w:hAnsiTheme="majorHAnsi" w:cs="Arial"/>
                <w:b/>
                <w:color w:val="000000"/>
                <w:sz w:val="20"/>
                <w:szCs w:val="20"/>
                <w:lang w:val="en-AU"/>
              </w:rPr>
              <w:t>Pr</w:t>
            </w:r>
            <w:proofErr w:type="spellEnd"/>
            <w:r w:rsidRPr="00C628C4">
              <w:rPr>
                <w:rFonts w:asciiTheme="majorHAnsi" w:eastAsia="Times New Roman" w:hAnsiTheme="majorHAnsi" w:cs="Arial"/>
                <w:b/>
                <w:color w:val="000000"/>
                <w:sz w:val="20"/>
                <w:szCs w:val="20"/>
                <w:lang w:val="en-AU"/>
              </w:rPr>
              <w:t xml:space="preserve"> &gt;</w:t>
            </w:r>
          </w:p>
          <w:p w:rsidR="00CE13DC" w:rsidRPr="00C628C4" w:rsidRDefault="00CE13DC" w:rsidP="00BE30AC">
            <w:pPr>
              <w:rPr>
                <w:rFonts w:asciiTheme="majorHAnsi" w:eastAsia="Times New Roman" w:hAnsiTheme="majorHAnsi" w:cs="Arial"/>
                <w:b/>
                <w:color w:val="000000"/>
                <w:sz w:val="20"/>
                <w:szCs w:val="20"/>
                <w:lang w:val="en-AU"/>
              </w:rPr>
            </w:pPr>
            <w:r w:rsidRPr="00C628C4">
              <w:rPr>
                <w:rFonts w:asciiTheme="majorHAnsi" w:eastAsia="Times New Roman" w:hAnsiTheme="majorHAnsi" w:cs="Arial"/>
                <w:b/>
                <w:color w:val="000000"/>
                <w:sz w:val="20"/>
                <w:szCs w:val="20"/>
                <w:lang w:val="en-AU"/>
              </w:rPr>
              <w:t>|t|</w:t>
            </w:r>
          </w:p>
        </w:tc>
        <w:tc>
          <w:tcPr>
            <w:tcW w:w="1325" w:type="dxa"/>
            <w:shd w:val="clear" w:color="auto" w:fill="CCCCCC"/>
            <w:noWrap/>
            <w:vAlign w:val="bottom"/>
            <w:hideMark/>
          </w:tcPr>
          <w:p w:rsidR="00CE13DC" w:rsidRPr="00C628C4" w:rsidRDefault="00CE13DC" w:rsidP="00BE30AC">
            <w:pPr>
              <w:rPr>
                <w:rFonts w:asciiTheme="majorHAnsi" w:eastAsia="Times New Roman" w:hAnsiTheme="majorHAnsi" w:cs="Arial"/>
                <w:b/>
                <w:color w:val="000000"/>
                <w:sz w:val="20"/>
                <w:szCs w:val="20"/>
              </w:rPr>
            </w:pPr>
            <w:r w:rsidRPr="00C628C4">
              <w:rPr>
                <w:rFonts w:asciiTheme="majorHAnsi" w:eastAsia="Times New Roman" w:hAnsiTheme="majorHAnsi" w:cs="Arial"/>
                <w:b/>
                <w:color w:val="000000"/>
                <w:sz w:val="20"/>
                <w:szCs w:val="20"/>
              </w:rPr>
              <w:t>Hypothesis (</w:t>
            </w:r>
            <w:r w:rsidRPr="00C628C4">
              <w:rPr>
                <w:rFonts w:asciiTheme="majorHAnsi" w:hAnsiTheme="majorHAnsi" w:cs="Arial"/>
                <w:b/>
                <w:sz w:val="20"/>
                <w:szCs w:val="20"/>
              </w:rPr>
              <w:t>H</w:t>
            </w:r>
            <w:r w:rsidRPr="00C628C4">
              <w:rPr>
                <w:rFonts w:asciiTheme="majorHAnsi" w:hAnsiTheme="majorHAnsi" w:cs="Arial"/>
                <w:b/>
                <w:sz w:val="20"/>
                <w:szCs w:val="20"/>
                <w:vertAlign w:val="subscript"/>
              </w:rPr>
              <w:t>0</w:t>
            </w:r>
            <w:r w:rsidRPr="00C628C4">
              <w:rPr>
                <w:rFonts w:asciiTheme="majorHAnsi" w:hAnsiTheme="majorHAnsi" w:cs="Arial"/>
                <w:b/>
                <w:sz w:val="20"/>
                <w:szCs w:val="20"/>
              </w:rPr>
              <w:t xml:space="preserve">: </w:t>
            </w:r>
            <w:r w:rsidR="00C434EC" w:rsidRPr="009D7F6D">
              <w:rPr>
                <w:rStyle w:val="IntenseReference"/>
                <w:rFonts w:asciiTheme="majorHAnsi" w:hAnsiTheme="majorHAnsi" w:cs="Times New Roman"/>
                <w:b w:val="0"/>
                <w:bCs w:val="0"/>
                <w:smallCaps w:val="0"/>
                <w:color w:val="000000" w:themeColor="text1"/>
                <w:sz w:val="22"/>
                <w:szCs w:val="22"/>
              </w:rPr>
              <w:t>µ</w:t>
            </w:r>
            <w:r w:rsidR="00C434EC" w:rsidRPr="009D7F6D">
              <w:rPr>
                <w:rStyle w:val="IntenseReference"/>
                <w:rFonts w:asciiTheme="majorHAnsi" w:hAnsiTheme="majorHAnsi" w:cs="Times New Roman"/>
                <w:b w:val="0"/>
                <w:bCs w:val="0"/>
                <w:smallCaps w:val="0"/>
                <w:color w:val="000000" w:themeColor="text1"/>
                <w:sz w:val="22"/>
                <w:szCs w:val="22"/>
                <w:vertAlign w:val="subscript"/>
              </w:rPr>
              <w:t>1</w:t>
            </w:r>
            <w:r w:rsidR="00C434EC">
              <w:rPr>
                <w:rStyle w:val="IntenseReference"/>
                <w:rFonts w:asciiTheme="majorHAnsi" w:hAnsiTheme="majorHAnsi" w:cs="Times New Roman"/>
                <w:b w:val="0"/>
                <w:bCs w:val="0"/>
                <w:smallCaps w:val="0"/>
                <w:color w:val="000000" w:themeColor="text1"/>
                <w:sz w:val="22"/>
                <w:szCs w:val="22"/>
                <w:vertAlign w:val="subscript"/>
              </w:rPr>
              <w:t xml:space="preserve"> </w:t>
            </w:r>
            <w:r w:rsidR="00C434EC" w:rsidRPr="009D7F6D">
              <w:rPr>
                <w:rStyle w:val="IntenseReference"/>
                <w:rFonts w:asciiTheme="majorHAnsi" w:hAnsiTheme="majorHAnsi" w:cs="Times New Roman"/>
                <w:b w:val="0"/>
                <w:bCs w:val="0"/>
                <w:smallCaps w:val="0"/>
                <w:color w:val="000000" w:themeColor="text1"/>
                <w:sz w:val="20"/>
                <w:szCs w:val="20"/>
              </w:rPr>
              <w:t>=</w:t>
            </w:r>
            <w:r w:rsidR="00C434EC">
              <w:rPr>
                <w:rStyle w:val="IntenseReference"/>
                <w:rFonts w:asciiTheme="majorHAnsi" w:hAnsiTheme="majorHAnsi" w:cs="Times New Roman"/>
                <w:b w:val="0"/>
                <w:bCs w:val="0"/>
                <w:smallCaps w:val="0"/>
                <w:color w:val="000000" w:themeColor="text1"/>
                <w:sz w:val="20"/>
                <w:szCs w:val="20"/>
              </w:rPr>
              <w:t xml:space="preserve"> </w:t>
            </w:r>
            <w:r w:rsidR="00C434EC" w:rsidRPr="009D7F6D">
              <w:rPr>
                <w:rStyle w:val="IntenseReference"/>
                <w:rFonts w:asciiTheme="majorHAnsi" w:hAnsiTheme="majorHAnsi" w:cs="Times New Roman"/>
                <w:b w:val="0"/>
                <w:bCs w:val="0"/>
                <w:smallCaps w:val="0"/>
                <w:color w:val="000000" w:themeColor="text1"/>
                <w:sz w:val="22"/>
                <w:szCs w:val="22"/>
              </w:rPr>
              <w:t>µ</w:t>
            </w:r>
            <w:r w:rsidR="00C434EC"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hAnsiTheme="majorHAnsi" w:cs="Arial"/>
                <w:b/>
                <w:sz w:val="20"/>
                <w:szCs w:val="20"/>
              </w:rPr>
              <w:t>)</w:t>
            </w:r>
          </w:p>
        </w:tc>
      </w:tr>
      <w:tr w:rsidR="008022B0" w:rsidRPr="002019C1" w:rsidTr="00DC14D9">
        <w:trPr>
          <w:trHeight w:val="511"/>
          <w:jc w:val="center"/>
        </w:trPr>
        <w:tc>
          <w:tcPr>
            <w:tcW w:w="768" w:type="dxa"/>
            <w:shd w:val="clear" w:color="auto" w:fill="auto"/>
            <w:vAlign w:val="bottom"/>
            <w:hideMark/>
          </w:tcPr>
          <w:p w:rsidR="00CE13DC" w:rsidRPr="00C628C4" w:rsidRDefault="00CE13DC" w:rsidP="00224105">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Round 16</w:t>
            </w:r>
          </w:p>
        </w:tc>
        <w:tc>
          <w:tcPr>
            <w:tcW w:w="1202" w:type="dxa"/>
            <w:shd w:val="clear" w:color="auto" w:fill="auto"/>
            <w:noWrap/>
            <w:vAlign w:val="bottom"/>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283,179</w:t>
            </w:r>
          </w:p>
        </w:tc>
        <w:tc>
          <w:tcPr>
            <w:tcW w:w="642" w:type="dxa"/>
            <w:shd w:val="clear" w:color="auto" w:fill="auto"/>
            <w:noWrap/>
            <w:vAlign w:val="bottom"/>
          </w:tcPr>
          <w:p w:rsidR="00CE13DC" w:rsidRPr="00C628C4" w:rsidRDefault="00CE13DC" w:rsidP="00725B2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$352</w:t>
            </w:r>
          </w:p>
        </w:tc>
        <w:tc>
          <w:tcPr>
            <w:tcW w:w="1251" w:type="dxa"/>
            <w:shd w:val="clear" w:color="auto" w:fill="auto"/>
            <w:noWrap/>
            <w:vAlign w:val="bottom"/>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4,418,525</w:t>
            </w:r>
          </w:p>
        </w:tc>
        <w:tc>
          <w:tcPr>
            <w:tcW w:w="694" w:type="dxa"/>
            <w:shd w:val="clear" w:color="auto" w:fill="auto"/>
            <w:noWrap/>
            <w:vAlign w:val="bottom"/>
          </w:tcPr>
          <w:p w:rsidR="00CE13DC" w:rsidRPr="00C628C4" w:rsidRDefault="00CE13DC" w:rsidP="00725B2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$354</w:t>
            </w:r>
          </w:p>
        </w:tc>
        <w:tc>
          <w:tcPr>
            <w:tcW w:w="695" w:type="dxa"/>
            <w:shd w:val="clear" w:color="auto" w:fill="auto"/>
            <w:noWrap/>
            <w:vAlign w:val="bottom"/>
          </w:tcPr>
          <w:p w:rsidR="00CE13DC" w:rsidRPr="00C628C4" w:rsidRDefault="00CE13DC" w:rsidP="00224105">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-0.99</w:t>
            </w:r>
          </w:p>
        </w:tc>
        <w:tc>
          <w:tcPr>
            <w:tcW w:w="852" w:type="dxa"/>
            <w:shd w:val="clear" w:color="auto" w:fill="auto"/>
            <w:noWrap/>
            <w:vAlign w:val="bottom"/>
            <w:hideMark/>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0.3213</w:t>
            </w:r>
          </w:p>
        </w:tc>
        <w:tc>
          <w:tcPr>
            <w:tcW w:w="1325" w:type="dxa"/>
            <w:shd w:val="clear" w:color="auto" w:fill="auto"/>
            <w:noWrap/>
            <w:vAlign w:val="bottom"/>
            <w:hideMark/>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accept</w:t>
            </w:r>
          </w:p>
        </w:tc>
        <w:tc>
          <w:tcPr>
            <w:tcW w:w="1439" w:type="dxa"/>
            <w:vAlign w:val="bottom"/>
          </w:tcPr>
          <w:p w:rsidR="00CE13DC" w:rsidRPr="00C628C4" w:rsidRDefault="00CE13DC" w:rsidP="00BE30AC">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No differential</w:t>
            </w:r>
          </w:p>
        </w:tc>
      </w:tr>
      <w:tr w:rsidR="008022B0" w:rsidRPr="002019C1" w:rsidTr="00DC14D9">
        <w:trPr>
          <w:trHeight w:val="511"/>
          <w:jc w:val="center"/>
        </w:trPr>
        <w:tc>
          <w:tcPr>
            <w:tcW w:w="768" w:type="dxa"/>
            <w:shd w:val="clear" w:color="auto" w:fill="auto"/>
            <w:vAlign w:val="bottom"/>
            <w:hideMark/>
          </w:tcPr>
          <w:p w:rsidR="00CE13DC" w:rsidRPr="00C628C4" w:rsidRDefault="00CE13DC" w:rsidP="00BE30AC">
            <w:pPr>
              <w:jc w:val="center"/>
              <w:rPr>
                <w:rFonts w:asciiTheme="majorHAnsi" w:eastAsia="Times New Roman" w:hAnsiTheme="majorHAnsi" w:cs="Arial"/>
                <w:sz w:val="20"/>
                <w:szCs w:val="20"/>
                <w:lang w:val="en-AU"/>
              </w:rPr>
            </w:pPr>
            <w:r w:rsidRPr="00C628C4">
              <w:rPr>
                <w:rFonts w:asciiTheme="majorHAnsi" w:eastAsia="Times New Roman" w:hAnsiTheme="majorHAnsi" w:cs="Arial"/>
                <w:sz w:val="20"/>
                <w:szCs w:val="20"/>
                <w:lang w:val="en-AU"/>
              </w:rPr>
              <w:t>Round 17</w:t>
            </w:r>
          </w:p>
        </w:tc>
        <w:tc>
          <w:tcPr>
            <w:tcW w:w="1202" w:type="dxa"/>
            <w:shd w:val="clear" w:color="auto" w:fill="auto"/>
            <w:noWrap/>
            <w:vAlign w:val="bottom"/>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486,963</w:t>
            </w:r>
          </w:p>
        </w:tc>
        <w:tc>
          <w:tcPr>
            <w:tcW w:w="642" w:type="dxa"/>
            <w:shd w:val="clear" w:color="auto" w:fill="auto"/>
            <w:noWrap/>
            <w:vAlign w:val="bottom"/>
          </w:tcPr>
          <w:p w:rsidR="00CE13DC" w:rsidRPr="00C628C4" w:rsidRDefault="00CE13DC" w:rsidP="00725B2E">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$329</w:t>
            </w:r>
          </w:p>
        </w:tc>
        <w:tc>
          <w:tcPr>
            <w:tcW w:w="1251" w:type="dxa"/>
            <w:shd w:val="clear" w:color="auto" w:fill="auto"/>
            <w:noWrap/>
            <w:vAlign w:val="bottom"/>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8,925,616</w:t>
            </w:r>
          </w:p>
        </w:tc>
        <w:tc>
          <w:tcPr>
            <w:tcW w:w="694" w:type="dxa"/>
            <w:shd w:val="clear" w:color="auto" w:fill="auto"/>
            <w:noWrap/>
            <w:vAlign w:val="bottom"/>
          </w:tcPr>
          <w:p w:rsidR="00CE13DC" w:rsidRPr="00C628C4" w:rsidRDefault="00CE13DC" w:rsidP="00780FF1">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$304</w:t>
            </w:r>
          </w:p>
        </w:tc>
        <w:tc>
          <w:tcPr>
            <w:tcW w:w="695" w:type="dxa"/>
            <w:shd w:val="clear" w:color="auto" w:fill="auto"/>
            <w:noWrap/>
            <w:vAlign w:val="bottom"/>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16.08</w:t>
            </w:r>
          </w:p>
        </w:tc>
        <w:tc>
          <w:tcPr>
            <w:tcW w:w="852" w:type="dxa"/>
            <w:shd w:val="clear" w:color="auto" w:fill="auto"/>
            <w:noWrap/>
            <w:vAlign w:val="bottom"/>
            <w:hideMark/>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&lt;.0001</w:t>
            </w:r>
          </w:p>
        </w:tc>
        <w:tc>
          <w:tcPr>
            <w:tcW w:w="1325" w:type="dxa"/>
            <w:shd w:val="clear" w:color="auto" w:fill="auto"/>
            <w:noWrap/>
            <w:vAlign w:val="bottom"/>
            <w:hideMark/>
          </w:tcPr>
          <w:p w:rsidR="00CE13DC" w:rsidRPr="00C628C4" w:rsidRDefault="00CE13DC" w:rsidP="00BE30AC">
            <w:pPr>
              <w:jc w:val="center"/>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rPr>
              <w:t>reject</w:t>
            </w:r>
          </w:p>
        </w:tc>
        <w:tc>
          <w:tcPr>
            <w:tcW w:w="1439" w:type="dxa"/>
            <w:vAlign w:val="bottom"/>
          </w:tcPr>
          <w:p w:rsidR="00CE13DC" w:rsidRPr="00C628C4" w:rsidRDefault="00CE13DC" w:rsidP="00270691">
            <w:pPr>
              <w:jc w:val="center"/>
              <w:rPr>
                <w:rFonts w:asciiTheme="majorHAnsi" w:eastAsia="Times New Roman" w:hAnsiTheme="majorHAnsi" w:cs="Arial"/>
                <w:color w:val="000000"/>
                <w:sz w:val="20"/>
                <w:szCs w:val="20"/>
              </w:rPr>
            </w:pPr>
            <w:r w:rsidRPr="00C628C4">
              <w:rPr>
                <w:rFonts w:asciiTheme="majorHAnsi" w:eastAsia="Times New Roman" w:hAnsiTheme="majorHAnsi" w:cs="Arial"/>
                <w:color w:val="000000"/>
                <w:sz w:val="20"/>
                <w:szCs w:val="20"/>
              </w:rPr>
              <w:t>Higher (</w:t>
            </w:r>
            <w:r w:rsidR="00270691" w:rsidRPr="009D7F6D">
              <w:rPr>
                <w:rStyle w:val="IntenseReference"/>
                <w:rFonts w:asciiTheme="majorHAnsi" w:hAnsiTheme="majorHAnsi" w:cs="Times New Roman"/>
                <w:b w:val="0"/>
                <w:bCs w:val="0"/>
                <w:smallCaps w:val="0"/>
                <w:color w:val="000000" w:themeColor="text1"/>
                <w:sz w:val="22"/>
                <w:szCs w:val="22"/>
              </w:rPr>
              <w:t>µ</w:t>
            </w:r>
            <w:r w:rsidR="00270691" w:rsidRPr="009D7F6D">
              <w:rPr>
                <w:rStyle w:val="IntenseReference"/>
                <w:rFonts w:asciiTheme="majorHAnsi" w:hAnsiTheme="majorHAnsi" w:cs="Times New Roman"/>
                <w:b w:val="0"/>
                <w:bCs w:val="0"/>
                <w:smallCaps w:val="0"/>
                <w:color w:val="000000" w:themeColor="text1"/>
                <w:sz w:val="22"/>
                <w:szCs w:val="22"/>
                <w:vertAlign w:val="subscript"/>
              </w:rPr>
              <w:t>1</w:t>
            </w:r>
            <w:r w:rsidR="00270691">
              <w:rPr>
                <w:rStyle w:val="IntenseReference"/>
                <w:rFonts w:asciiTheme="majorHAnsi" w:hAnsiTheme="majorHAnsi" w:cs="Times New Roman"/>
                <w:b w:val="0"/>
                <w:bCs w:val="0"/>
                <w:smallCaps w:val="0"/>
                <w:color w:val="000000" w:themeColor="text1"/>
                <w:sz w:val="22"/>
                <w:szCs w:val="22"/>
                <w:vertAlign w:val="subscript"/>
              </w:rPr>
              <w:t xml:space="preserve"> </w:t>
            </w:r>
            <w:r w:rsidR="00270691">
              <w:rPr>
                <w:rStyle w:val="IntenseReference"/>
                <w:rFonts w:asciiTheme="majorHAnsi" w:hAnsiTheme="majorHAnsi" w:cs="Times New Roman"/>
                <w:b w:val="0"/>
                <w:bCs w:val="0"/>
                <w:smallCaps w:val="0"/>
                <w:color w:val="000000" w:themeColor="text1"/>
                <w:sz w:val="20"/>
                <w:szCs w:val="20"/>
              </w:rPr>
              <w:t xml:space="preserve">˃ </w:t>
            </w:r>
            <w:r w:rsidR="00270691" w:rsidRPr="009D7F6D">
              <w:rPr>
                <w:rStyle w:val="IntenseReference"/>
                <w:rFonts w:asciiTheme="majorHAnsi" w:hAnsiTheme="majorHAnsi" w:cs="Times New Roman"/>
                <w:b w:val="0"/>
                <w:bCs w:val="0"/>
                <w:smallCaps w:val="0"/>
                <w:color w:val="000000" w:themeColor="text1"/>
                <w:sz w:val="22"/>
                <w:szCs w:val="22"/>
              </w:rPr>
              <w:t>µ</w:t>
            </w:r>
            <w:r w:rsidR="00270691" w:rsidRPr="009D7F6D">
              <w:rPr>
                <w:rStyle w:val="IntenseReference"/>
                <w:rFonts w:asciiTheme="majorHAnsi" w:hAnsiTheme="majorHAnsi" w:cs="Times New Roman"/>
                <w:b w:val="0"/>
                <w:bCs w:val="0"/>
                <w:smallCaps w:val="0"/>
                <w:color w:val="000000" w:themeColor="text1"/>
                <w:sz w:val="22"/>
                <w:szCs w:val="22"/>
                <w:vertAlign w:val="subscript"/>
              </w:rPr>
              <w:t>2</w:t>
            </w:r>
            <w:r w:rsidRPr="00C628C4">
              <w:rPr>
                <w:rFonts w:asciiTheme="majorHAnsi" w:eastAsia="Times New Roman" w:hAnsiTheme="majorHAnsi" w:cs="Arial"/>
                <w:color w:val="000000"/>
                <w:sz w:val="18"/>
                <w:szCs w:val="18"/>
              </w:rPr>
              <w:t>)</w:t>
            </w:r>
          </w:p>
        </w:tc>
      </w:tr>
    </w:tbl>
    <w:p w:rsidR="0062298C" w:rsidRPr="00A46AE7" w:rsidRDefault="0062298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Conclusion</w:t>
      </w:r>
    </w:p>
    <w:p w:rsidR="00CE13DC" w:rsidRDefault="0062298C" w:rsidP="0062298C">
      <w:pPr>
        <w:spacing w:before="120" w:after="120"/>
        <w:rPr>
          <w:rFonts w:ascii="Arial" w:hAnsi="Arial" w:cs="Arial"/>
          <w:sz w:val="22"/>
          <w:szCs w:val="22"/>
        </w:rPr>
      </w:pPr>
      <w:r w:rsidRPr="005E6149">
        <w:rPr>
          <w:rFonts w:ascii="Arial" w:hAnsi="Arial" w:cs="Arial"/>
          <w:sz w:val="22"/>
          <w:szCs w:val="22"/>
        </w:rPr>
        <w:t xml:space="preserve">The current </w:t>
      </w:r>
      <w:r w:rsidR="00F618BE">
        <w:rPr>
          <w:rFonts w:ascii="Arial" w:hAnsi="Arial" w:cs="Arial"/>
          <w:sz w:val="22"/>
          <w:szCs w:val="22"/>
        </w:rPr>
        <w:t>non</w:t>
      </w:r>
      <w:r>
        <w:rPr>
          <w:rFonts w:ascii="Arial" w:hAnsi="Arial" w:cs="Arial"/>
          <w:sz w:val="22"/>
          <w:szCs w:val="22"/>
        </w:rPr>
        <w:t>-admitted cost dataset</w:t>
      </w:r>
      <w:r w:rsidRPr="005E6149">
        <w:rPr>
          <w:rFonts w:ascii="Arial" w:hAnsi="Arial" w:cs="Arial"/>
          <w:sz w:val="22"/>
          <w:szCs w:val="22"/>
        </w:rPr>
        <w:t xml:space="preserve"> is unable to address the principle question underpinning this study</w:t>
      </w:r>
      <w:r>
        <w:rPr>
          <w:rFonts w:ascii="Arial" w:hAnsi="Arial" w:cs="Arial"/>
          <w:sz w:val="22"/>
          <w:szCs w:val="22"/>
        </w:rPr>
        <w:t xml:space="preserve">. </w:t>
      </w:r>
      <w:r w:rsidRPr="005E6149">
        <w:rPr>
          <w:rFonts w:ascii="Arial" w:hAnsi="Arial" w:cs="Arial"/>
          <w:sz w:val="22"/>
          <w:szCs w:val="22"/>
        </w:rPr>
        <w:t xml:space="preserve">The inclusion of per diem or time based data is needed in the </w:t>
      </w:r>
      <w:r w:rsidR="00F618BE">
        <w:rPr>
          <w:rFonts w:ascii="Arial" w:hAnsi="Arial" w:cs="Arial"/>
          <w:sz w:val="22"/>
          <w:szCs w:val="22"/>
        </w:rPr>
        <w:t>non</w:t>
      </w:r>
      <w:r w:rsidRPr="005E6149">
        <w:rPr>
          <w:rFonts w:ascii="Arial" w:hAnsi="Arial" w:cs="Arial"/>
          <w:sz w:val="22"/>
          <w:szCs w:val="22"/>
        </w:rPr>
        <w:t xml:space="preserve">-admitted dataset to improve upon the allocation methods and the overall utility of the outputs of the </w:t>
      </w:r>
      <w:r w:rsidR="00F618BE">
        <w:rPr>
          <w:rFonts w:ascii="Arial" w:hAnsi="Arial" w:cs="Arial"/>
          <w:sz w:val="22"/>
          <w:szCs w:val="22"/>
        </w:rPr>
        <w:t>non</w:t>
      </w:r>
      <w:r w:rsidRPr="005E6149">
        <w:rPr>
          <w:rFonts w:ascii="Arial" w:hAnsi="Arial" w:cs="Arial"/>
          <w:sz w:val="22"/>
          <w:szCs w:val="22"/>
        </w:rPr>
        <w:t>-admitted costing process.</w:t>
      </w:r>
    </w:p>
    <w:p w:rsidR="00CE13DC" w:rsidRDefault="00CE13DC">
      <w:pPr>
        <w:rPr>
          <w:rFonts w:ascii="Arial" w:hAnsi="Arial" w:cs="Arial"/>
          <w:sz w:val="22"/>
          <w:szCs w:val="22"/>
        </w:rPr>
      </w:pPr>
      <w:r>
        <w:rPr>
          <w:rFonts w:ascii="Arial" w:hAnsi="Arial" w:cs="Arial"/>
          <w:sz w:val="22"/>
          <w:szCs w:val="22"/>
        </w:rPr>
        <w:br w:type="page"/>
      </w:r>
    </w:p>
    <w:p w:rsidR="00C42A6A" w:rsidRPr="00FD775F" w:rsidRDefault="00C42A6A" w:rsidP="00287791">
      <w:pPr>
        <w:pStyle w:val="Heading1"/>
        <w:ind w:left="0"/>
      </w:pPr>
      <w:bookmarkStart w:id="76" w:name="_Toc278480640"/>
      <w:bookmarkStart w:id="77" w:name="_Toc426117645"/>
      <w:r w:rsidRPr="00FD775F">
        <w:lastRenderedPageBreak/>
        <w:t>Contributors to Cost Differentials</w:t>
      </w:r>
      <w:bookmarkEnd w:id="76"/>
      <w:bookmarkEnd w:id="77"/>
    </w:p>
    <w:p w:rsidR="003F5FCC" w:rsidRPr="005E6149" w:rsidRDefault="003F5FCC" w:rsidP="00836916">
      <w:pPr>
        <w:spacing w:before="120" w:after="120"/>
        <w:rPr>
          <w:rFonts w:ascii="Arial" w:hAnsi="Arial" w:cs="Arial"/>
          <w:sz w:val="22"/>
          <w:szCs w:val="22"/>
        </w:rPr>
      </w:pPr>
      <w:r w:rsidRPr="005E6149">
        <w:rPr>
          <w:rFonts w:ascii="Arial" w:hAnsi="Arial" w:cs="Arial"/>
          <w:sz w:val="22"/>
          <w:szCs w:val="22"/>
        </w:rPr>
        <w:t xml:space="preserve">This chapter seeks to </w:t>
      </w:r>
      <w:r w:rsidR="00C42A6A" w:rsidRPr="005E6149">
        <w:rPr>
          <w:rFonts w:ascii="Arial" w:hAnsi="Arial" w:cs="Arial"/>
          <w:sz w:val="22"/>
          <w:szCs w:val="22"/>
        </w:rPr>
        <w:t>test some of the findings from the literature review and feedback obtained from clinicians</w:t>
      </w:r>
      <w:r w:rsidR="00D873D2">
        <w:rPr>
          <w:rFonts w:ascii="Arial" w:hAnsi="Arial" w:cs="Arial"/>
          <w:sz w:val="22"/>
          <w:szCs w:val="22"/>
        </w:rPr>
        <w:t xml:space="preserve">. </w:t>
      </w:r>
      <w:r w:rsidR="00C42A6A" w:rsidRPr="005E6149">
        <w:rPr>
          <w:rFonts w:ascii="Arial" w:hAnsi="Arial" w:cs="Arial"/>
          <w:sz w:val="22"/>
          <w:szCs w:val="22"/>
        </w:rPr>
        <w:t xml:space="preserve">Specifically, we do this through an analysis of existing and derived variables within the dataset and attempt to </w:t>
      </w:r>
      <w:r w:rsidRPr="005E6149">
        <w:rPr>
          <w:rFonts w:ascii="Arial" w:hAnsi="Arial" w:cs="Arial"/>
          <w:sz w:val="22"/>
          <w:szCs w:val="22"/>
        </w:rPr>
        <w:t>identify a linear relationship between the total cost of an episode of care (</w:t>
      </w:r>
      <w:proofErr w:type="spellStart"/>
      <w:r w:rsidRPr="005E6149">
        <w:rPr>
          <w:rFonts w:ascii="Arial" w:hAnsi="Arial" w:cs="Arial"/>
          <w:sz w:val="22"/>
          <w:szCs w:val="22"/>
        </w:rPr>
        <w:t>TC</w:t>
      </w:r>
      <w:r w:rsidRPr="005E6149">
        <w:rPr>
          <w:rFonts w:ascii="Arial" w:hAnsi="Arial" w:cs="Arial"/>
          <w:sz w:val="22"/>
          <w:szCs w:val="22"/>
          <w:vertAlign w:val="subscript"/>
        </w:rPr>
        <w:t>i</w:t>
      </w:r>
      <w:proofErr w:type="spellEnd"/>
      <w:r w:rsidR="00C42A6A" w:rsidRPr="005E6149">
        <w:rPr>
          <w:rFonts w:ascii="Arial" w:hAnsi="Arial" w:cs="Arial"/>
          <w:sz w:val="22"/>
          <w:szCs w:val="22"/>
        </w:rPr>
        <w:t>)</w:t>
      </w:r>
      <w:r w:rsidRPr="005E6149">
        <w:rPr>
          <w:rFonts w:ascii="Arial" w:hAnsi="Arial" w:cs="Arial"/>
          <w:sz w:val="22"/>
          <w:szCs w:val="22"/>
        </w:rPr>
        <w:t xml:space="preserve"> with a range of potential cost drivers (CD</w:t>
      </w:r>
      <w:r w:rsidRPr="005E6149">
        <w:rPr>
          <w:rFonts w:ascii="Arial" w:hAnsi="Arial" w:cs="Arial"/>
          <w:sz w:val="22"/>
          <w:szCs w:val="22"/>
          <w:vertAlign w:val="subscript"/>
        </w:rPr>
        <w:t>1</w:t>
      </w:r>
      <w:r w:rsidRPr="005E6149">
        <w:rPr>
          <w:rFonts w:ascii="Arial" w:hAnsi="Arial" w:cs="Arial"/>
          <w:sz w:val="22"/>
          <w:szCs w:val="22"/>
        </w:rPr>
        <w:t>, CD</w:t>
      </w:r>
      <w:r w:rsidRPr="005E6149">
        <w:rPr>
          <w:rFonts w:ascii="Arial" w:hAnsi="Arial" w:cs="Arial"/>
          <w:sz w:val="22"/>
          <w:szCs w:val="22"/>
          <w:vertAlign w:val="subscript"/>
        </w:rPr>
        <w:t>2</w:t>
      </w:r>
      <w:r w:rsidRPr="005E6149">
        <w:rPr>
          <w:rFonts w:ascii="Arial" w:hAnsi="Arial" w:cs="Arial"/>
          <w:sz w:val="22"/>
          <w:szCs w:val="22"/>
        </w:rPr>
        <w:t>, CD</w:t>
      </w:r>
      <w:r w:rsidRPr="005E6149">
        <w:rPr>
          <w:rFonts w:ascii="Arial" w:hAnsi="Arial" w:cs="Arial"/>
          <w:sz w:val="22"/>
          <w:szCs w:val="22"/>
          <w:vertAlign w:val="subscript"/>
        </w:rPr>
        <w:t>3</w:t>
      </w:r>
      <w:r w:rsidRPr="005E6149">
        <w:rPr>
          <w:rFonts w:ascii="Arial" w:hAnsi="Arial" w:cs="Arial"/>
          <w:sz w:val="22"/>
          <w:szCs w:val="22"/>
        </w:rPr>
        <w:t xml:space="preserve">….. </w:t>
      </w:r>
      <w:proofErr w:type="spellStart"/>
      <w:proofErr w:type="gramStart"/>
      <w:r w:rsidRPr="005E6149">
        <w:rPr>
          <w:rFonts w:ascii="Arial" w:hAnsi="Arial" w:cs="Arial"/>
          <w:sz w:val="22"/>
          <w:szCs w:val="22"/>
        </w:rPr>
        <w:t>CD</w:t>
      </w:r>
      <w:r w:rsidRPr="005E6149">
        <w:rPr>
          <w:rFonts w:ascii="Arial" w:hAnsi="Arial" w:cs="Arial"/>
          <w:sz w:val="22"/>
          <w:szCs w:val="22"/>
          <w:vertAlign w:val="subscript"/>
        </w:rPr>
        <w:t>n</w:t>
      </w:r>
      <w:proofErr w:type="spellEnd"/>
      <w:r w:rsidRPr="005E6149">
        <w:rPr>
          <w:rFonts w:ascii="Arial" w:hAnsi="Arial" w:cs="Arial"/>
          <w:sz w:val="22"/>
          <w:szCs w:val="22"/>
          <w:vertAlign w:val="subscript"/>
        </w:rPr>
        <w:t>)</w:t>
      </w:r>
      <w:r w:rsidR="00D873D2">
        <w:rPr>
          <w:rFonts w:ascii="Arial" w:hAnsi="Arial" w:cs="Arial"/>
          <w:sz w:val="22"/>
          <w:szCs w:val="22"/>
        </w:rPr>
        <w:t>.</w:t>
      </w:r>
      <w:proofErr w:type="gramEnd"/>
      <w:r w:rsidR="00D873D2">
        <w:rPr>
          <w:rFonts w:ascii="Arial" w:hAnsi="Arial" w:cs="Arial"/>
          <w:sz w:val="22"/>
          <w:szCs w:val="22"/>
        </w:rPr>
        <w:t xml:space="preserve"> </w:t>
      </w:r>
      <w:r w:rsidRPr="005E6149">
        <w:rPr>
          <w:rFonts w:ascii="Arial" w:hAnsi="Arial" w:cs="Arial"/>
          <w:sz w:val="22"/>
          <w:szCs w:val="22"/>
        </w:rPr>
        <w:t>Namely, we seek to build the relationship:</w:t>
      </w:r>
    </w:p>
    <w:p w:rsidR="003F5FCC" w:rsidRPr="005E6149" w:rsidRDefault="003F5FCC" w:rsidP="003F5FCC">
      <w:pPr>
        <w:spacing w:before="120" w:after="120"/>
        <w:jc w:val="center"/>
        <w:rPr>
          <w:rFonts w:ascii="Arial" w:hAnsi="Arial" w:cs="Arial"/>
          <w:sz w:val="22"/>
          <w:szCs w:val="22"/>
        </w:rPr>
      </w:pPr>
      <w:proofErr w:type="spellStart"/>
      <w:r w:rsidRPr="005E6149">
        <w:rPr>
          <w:rFonts w:ascii="Arial" w:hAnsi="Arial" w:cs="Arial"/>
          <w:sz w:val="22"/>
          <w:szCs w:val="22"/>
        </w:rPr>
        <w:t>TC</w:t>
      </w:r>
      <w:r w:rsidRPr="005E6149">
        <w:rPr>
          <w:rFonts w:ascii="Arial" w:hAnsi="Arial" w:cs="Arial"/>
          <w:sz w:val="22"/>
          <w:szCs w:val="22"/>
          <w:vertAlign w:val="subscript"/>
        </w:rPr>
        <w:t>i</w:t>
      </w:r>
      <w:proofErr w:type="spellEnd"/>
      <w:r w:rsidRPr="005E6149">
        <w:rPr>
          <w:rFonts w:ascii="Arial" w:hAnsi="Arial" w:cs="Arial"/>
          <w:sz w:val="22"/>
          <w:szCs w:val="22"/>
        </w:rPr>
        <w:t xml:space="preserve"> = </w:t>
      </w:r>
      <w:r w:rsidRPr="005E6149">
        <w:rPr>
          <w:rFonts w:ascii="Arial" w:hAnsi="Arial" w:cs="Arial"/>
          <w:sz w:val="22"/>
          <w:szCs w:val="22"/>
        </w:rPr>
        <w:sym w:font="Symbol" w:char="F061"/>
      </w:r>
      <w:r w:rsidRPr="005E6149">
        <w:rPr>
          <w:rFonts w:ascii="Arial" w:hAnsi="Arial" w:cs="Arial"/>
          <w:sz w:val="22"/>
          <w:szCs w:val="22"/>
        </w:rPr>
        <w:t xml:space="preserve"> + </w:t>
      </w:r>
      <w:r w:rsidRPr="005E6149">
        <w:rPr>
          <w:rFonts w:ascii="Arial" w:hAnsi="Arial" w:cs="Arial"/>
          <w:sz w:val="22"/>
          <w:szCs w:val="22"/>
        </w:rPr>
        <w:sym w:font="Symbol" w:char="F062"/>
      </w:r>
      <w:r w:rsidRPr="005E6149">
        <w:rPr>
          <w:rFonts w:ascii="Arial" w:hAnsi="Arial" w:cs="Arial"/>
          <w:sz w:val="22"/>
          <w:szCs w:val="22"/>
        </w:rPr>
        <w:t>CD</w:t>
      </w:r>
      <w:r w:rsidRPr="005E6149">
        <w:rPr>
          <w:rFonts w:ascii="Arial" w:hAnsi="Arial" w:cs="Arial"/>
          <w:sz w:val="22"/>
          <w:szCs w:val="22"/>
          <w:vertAlign w:val="subscript"/>
        </w:rPr>
        <w:t>1</w:t>
      </w:r>
      <w:r w:rsidRPr="005E6149">
        <w:rPr>
          <w:rFonts w:ascii="Arial" w:hAnsi="Arial" w:cs="Arial"/>
          <w:sz w:val="22"/>
          <w:szCs w:val="22"/>
        </w:rPr>
        <w:t xml:space="preserve"> + </w:t>
      </w:r>
      <w:r w:rsidRPr="005E6149">
        <w:rPr>
          <w:rFonts w:ascii="Arial" w:hAnsi="Arial" w:cs="Arial"/>
          <w:sz w:val="22"/>
          <w:szCs w:val="22"/>
        </w:rPr>
        <w:sym w:font="Symbol" w:char="F068"/>
      </w:r>
      <w:r w:rsidRPr="005E6149">
        <w:rPr>
          <w:rFonts w:ascii="Arial" w:hAnsi="Arial" w:cs="Arial"/>
          <w:sz w:val="22"/>
          <w:szCs w:val="22"/>
        </w:rPr>
        <w:t>CDY</w:t>
      </w:r>
      <w:r w:rsidRPr="005E6149">
        <w:rPr>
          <w:rFonts w:ascii="Arial" w:hAnsi="Arial" w:cs="Arial"/>
          <w:sz w:val="22"/>
          <w:szCs w:val="22"/>
          <w:vertAlign w:val="subscript"/>
        </w:rPr>
        <w:t>2</w:t>
      </w:r>
      <w:r w:rsidRPr="005E6149">
        <w:rPr>
          <w:rFonts w:ascii="Arial" w:hAnsi="Arial" w:cs="Arial"/>
          <w:sz w:val="22"/>
          <w:szCs w:val="22"/>
        </w:rPr>
        <w:t xml:space="preserve"> + ….. + </w:t>
      </w:r>
      <w:r w:rsidRPr="005E6149">
        <w:rPr>
          <w:rFonts w:ascii="Arial" w:hAnsi="Arial" w:cs="Arial"/>
          <w:sz w:val="22"/>
          <w:szCs w:val="22"/>
        </w:rPr>
        <w:sym w:font="Symbol" w:char="F06C"/>
      </w:r>
      <w:proofErr w:type="spellStart"/>
      <w:r w:rsidRPr="005E6149">
        <w:rPr>
          <w:rFonts w:ascii="Arial" w:hAnsi="Arial" w:cs="Arial"/>
          <w:sz w:val="22"/>
          <w:szCs w:val="22"/>
        </w:rPr>
        <w:t>CD</w:t>
      </w:r>
      <w:r w:rsidRPr="005E6149">
        <w:rPr>
          <w:rFonts w:ascii="Arial" w:hAnsi="Arial" w:cs="Arial"/>
          <w:sz w:val="22"/>
          <w:szCs w:val="22"/>
          <w:vertAlign w:val="subscript"/>
        </w:rPr>
        <w:t>n</w:t>
      </w:r>
      <w:proofErr w:type="spellEnd"/>
    </w:p>
    <w:p w:rsidR="00BA48FA" w:rsidRPr="005E6149" w:rsidRDefault="00BA48FA" w:rsidP="00836916">
      <w:pPr>
        <w:spacing w:before="120" w:after="120"/>
        <w:rPr>
          <w:rFonts w:ascii="Arial" w:hAnsi="Arial" w:cs="Arial"/>
          <w:sz w:val="22"/>
          <w:szCs w:val="22"/>
        </w:rPr>
      </w:pPr>
      <w:r w:rsidRPr="005E6149">
        <w:rPr>
          <w:rFonts w:ascii="Arial" w:hAnsi="Arial" w:cs="Arial"/>
          <w:sz w:val="22"/>
          <w:szCs w:val="22"/>
        </w:rPr>
        <w:t xml:space="preserve">Potential cost drivers thought to influence the cost differential incurred in the treatment of Indigenous patients compared to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 are documented in Chapter </w:t>
      </w:r>
      <w:r w:rsidR="002F1EA3">
        <w:rPr>
          <w:rFonts w:ascii="Arial" w:hAnsi="Arial" w:cs="Arial"/>
          <w:sz w:val="22"/>
          <w:szCs w:val="22"/>
        </w:rPr>
        <w:t>2</w:t>
      </w:r>
      <w:r w:rsidR="00D873D2">
        <w:rPr>
          <w:rFonts w:ascii="Arial" w:hAnsi="Arial" w:cs="Arial"/>
          <w:sz w:val="22"/>
          <w:szCs w:val="22"/>
        </w:rPr>
        <w:t xml:space="preserve">. </w:t>
      </w:r>
      <w:r w:rsidR="006648DB" w:rsidRPr="005E6149">
        <w:rPr>
          <w:rFonts w:ascii="Arial" w:hAnsi="Arial" w:cs="Arial"/>
          <w:sz w:val="22"/>
          <w:szCs w:val="22"/>
        </w:rPr>
        <w:t>Analysis was restricted to the Round 17 NHCDC acute admitted dataset, where the following data items (</w:t>
      </w:r>
      <w:r w:rsidR="0062298C">
        <w:rPr>
          <w:rFonts w:ascii="Arial" w:hAnsi="Arial" w:cs="Arial"/>
          <w:sz w:val="22"/>
          <w:szCs w:val="22"/>
        </w:rPr>
        <w:t>Table</w:t>
      </w:r>
      <w:r w:rsidR="006648DB" w:rsidRPr="005E6149">
        <w:rPr>
          <w:rFonts w:ascii="Arial" w:hAnsi="Arial" w:cs="Arial"/>
          <w:sz w:val="22"/>
          <w:szCs w:val="22"/>
        </w:rPr>
        <w:t xml:space="preserve"> </w:t>
      </w:r>
      <w:r w:rsidR="00455678" w:rsidRPr="005E6149">
        <w:rPr>
          <w:rFonts w:ascii="Arial" w:hAnsi="Arial" w:cs="Arial"/>
          <w:sz w:val="22"/>
          <w:szCs w:val="22"/>
        </w:rPr>
        <w:t>10</w:t>
      </w:r>
      <w:r w:rsidR="006648DB" w:rsidRPr="005E6149">
        <w:rPr>
          <w:rFonts w:ascii="Arial" w:hAnsi="Arial" w:cs="Arial"/>
          <w:sz w:val="22"/>
          <w:szCs w:val="22"/>
        </w:rPr>
        <w:t>.1) were used either as direct measures of the nominated cost drivers or as surrogates for these factors.</w:t>
      </w:r>
    </w:p>
    <w:p w:rsidR="00455678" w:rsidRPr="005E6149" w:rsidRDefault="00455678" w:rsidP="00455678">
      <w:pPr>
        <w:pStyle w:val="TableCaption"/>
        <w:spacing w:before="120" w:after="120"/>
        <w:rPr>
          <w:rFonts w:ascii="Arial" w:hAnsi="Arial" w:cs="Arial"/>
          <w:sz w:val="18"/>
          <w:szCs w:val="18"/>
        </w:rPr>
      </w:pPr>
      <w:bookmarkStart w:id="78" w:name="_Toc278480690"/>
      <w:r w:rsidRPr="005E6149">
        <w:rPr>
          <w:rFonts w:ascii="Arial" w:hAnsi="Arial" w:cs="Arial"/>
          <w:sz w:val="18"/>
          <w:szCs w:val="18"/>
        </w:rPr>
        <w:t xml:space="preserve">Table 10.1: Data items used in the testing of the impact of cost drivers upon the cost differential between Indigenous and </w:t>
      </w:r>
      <w:r w:rsidR="0018326F">
        <w:rPr>
          <w:rFonts w:ascii="Arial" w:hAnsi="Arial" w:cs="Arial"/>
          <w:sz w:val="18"/>
          <w:szCs w:val="18"/>
        </w:rPr>
        <w:t>n</w:t>
      </w:r>
      <w:r w:rsidR="007A097D">
        <w:rPr>
          <w:rFonts w:ascii="Arial" w:hAnsi="Arial" w:cs="Arial"/>
          <w:sz w:val="18"/>
          <w:szCs w:val="18"/>
        </w:rPr>
        <w:t>on-Indigenous</w:t>
      </w:r>
      <w:r w:rsidRPr="005E6149">
        <w:rPr>
          <w:rFonts w:ascii="Arial" w:hAnsi="Arial" w:cs="Arial"/>
          <w:sz w:val="18"/>
          <w:szCs w:val="18"/>
        </w:rPr>
        <w:t xml:space="preserve"> patients</w:t>
      </w:r>
      <w:bookmarkEnd w:id="78"/>
    </w:p>
    <w:tbl>
      <w:tblPr>
        <w:tblStyle w:val="TableGrid"/>
        <w:tblW w:w="0" w:type="auto"/>
        <w:tblLayout w:type="fixed"/>
        <w:tblLook w:val="04A0" w:firstRow="1" w:lastRow="0" w:firstColumn="1" w:lastColumn="0" w:noHBand="0" w:noVBand="1"/>
        <w:tblCaption w:val="Table 10.1: Data items used in the testing of the impact of cost drivers "/>
      </w:tblPr>
      <w:tblGrid>
        <w:gridCol w:w="4377"/>
        <w:gridCol w:w="4378"/>
      </w:tblGrid>
      <w:tr w:rsidR="00B12191" w:rsidRPr="002019C1" w:rsidTr="006161B9">
        <w:trPr>
          <w:tblHeader/>
        </w:trPr>
        <w:tc>
          <w:tcPr>
            <w:tcW w:w="8755" w:type="dxa"/>
            <w:gridSpan w:val="2"/>
            <w:tcBorders>
              <w:bottom w:val="single" w:sz="4" w:space="0" w:color="auto"/>
            </w:tcBorders>
            <w:shd w:val="clear" w:color="auto" w:fill="CCCCCC"/>
          </w:tcPr>
          <w:p w:rsidR="00B12191" w:rsidRPr="00C628C4" w:rsidRDefault="00B12191" w:rsidP="00836916">
            <w:pPr>
              <w:spacing w:before="120" w:after="120"/>
              <w:rPr>
                <w:rFonts w:asciiTheme="majorHAnsi" w:hAnsiTheme="majorHAnsi" w:cs="Arial"/>
                <w:b/>
              </w:rPr>
            </w:pPr>
            <w:r w:rsidRPr="00C628C4">
              <w:rPr>
                <w:rFonts w:asciiTheme="majorHAnsi" w:hAnsiTheme="majorHAnsi" w:cs="Arial"/>
                <w:b/>
              </w:rPr>
              <w:t>Cost driver</w:t>
            </w:r>
          </w:p>
        </w:tc>
      </w:tr>
      <w:tr w:rsidR="00B12191" w:rsidRPr="002019C1" w:rsidTr="006161B9">
        <w:trPr>
          <w:trHeight w:val="275"/>
        </w:trPr>
        <w:tc>
          <w:tcPr>
            <w:tcW w:w="8755" w:type="dxa"/>
            <w:gridSpan w:val="2"/>
            <w:tcBorders>
              <w:bottom w:val="single" w:sz="4" w:space="0" w:color="auto"/>
            </w:tcBorders>
            <w:shd w:val="clear" w:color="auto" w:fill="E0E0E0"/>
          </w:tcPr>
          <w:p w:rsidR="00B12191" w:rsidRPr="00C628C4" w:rsidRDefault="00B12191" w:rsidP="00B12191">
            <w:pPr>
              <w:widowControl w:val="0"/>
              <w:autoSpaceDE w:val="0"/>
              <w:autoSpaceDN w:val="0"/>
              <w:adjustRightInd w:val="0"/>
              <w:spacing w:after="240"/>
              <w:rPr>
                <w:rFonts w:asciiTheme="majorHAnsi" w:hAnsiTheme="majorHAnsi" w:cs="Arial"/>
                <w:b/>
              </w:rPr>
            </w:pPr>
            <w:r w:rsidRPr="00C628C4">
              <w:rPr>
                <w:rFonts w:asciiTheme="majorHAnsi" w:hAnsiTheme="majorHAnsi" w:cs="Arial"/>
                <w:b/>
              </w:rPr>
              <w:t>Contained within the dataset</w:t>
            </w:r>
          </w:p>
        </w:tc>
      </w:tr>
      <w:tr w:rsidR="006161B9" w:rsidRPr="002019C1" w:rsidTr="006161B9">
        <w:trPr>
          <w:trHeight w:val="275"/>
        </w:trPr>
        <w:tc>
          <w:tcPr>
            <w:tcW w:w="4377" w:type="dxa"/>
            <w:tcBorders>
              <w:bottom w:val="single" w:sz="4" w:space="0" w:color="auto"/>
              <w:right w:val="nil"/>
            </w:tcBorders>
          </w:tcPr>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Admission mode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Gender</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Hours of mechanical ventilation (HMV)</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Age (in years)</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Age (in days)</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Place of residence (i.e. inner regional, remote, very remote, urban etc.)</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proofErr w:type="spellStart"/>
            <w:r w:rsidRPr="00C628C4">
              <w:rPr>
                <w:rFonts w:asciiTheme="majorHAnsi" w:hAnsiTheme="majorHAnsi" w:cs="Arial"/>
              </w:rPr>
              <w:t>Rurality</w:t>
            </w:r>
            <w:proofErr w:type="spellEnd"/>
            <w:r w:rsidRPr="00C628C4">
              <w:rPr>
                <w:rFonts w:asciiTheme="majorHAnsi" w:hAnsiTheme="majorHAnsi" w:cs="Arial"/>
              </w:rPr>
              <w:t xml:space="preserve"> of service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Admission mode</w:t>
            </w:r>
          </w:p>
        </w:tc>
        <w:tc>
          <w:tcPr>
            <w:tcW w:w="4378" w:type="dxa"/>
            <w:tcBorders>
              <w:left w:val="nil"/>
              <w:bottom w:val="single" w:sz="4" w:space="0" w:color="auto"/>
            </w:tcBorders>
          </w:tcPr>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Separation mode</w:t>
            </w:r>
          </w:p>
          <w:p w:rsidR="006161B9" w:rsidRPr="00C628C4" w:rsidRDefault="006161B9" w:rsidP="00E86862">
            <w:pPr>
              <w:pStyle w:val="ListParagraph"/>
              <w:widowControl w:val="0"/>
              <w:numPr>
                <w:ilvl w:val="0"/>
                <w:numId w:val="21"/>
              </w:numPr>
              <w:autoSpaceDE w:val="0"/>
              <w:autoSpaceDN w:val="0"/>
              <w:adjustRightInd w:val="0"/>
              <w:spacing w:before="120" w:after="120"/>
              <w:rPr>
                <w:rFonts w:asciiTheme="majorHAnsi" w:hAnsiTheme="majorHAnsi" w:cs="Arial"/>
                <w:color w:val="454545"/>
              </w:rPr>
            </w:pPr>
            <w:r w:rsidRPr="00C628C4">
              <w:rPr>
                <w:rFonts w:asciiTheme="majorHAnsi" w:hAnsiTheme="majorHAnsi" w:cs="Arial"/>
              </w:rPr>
              <w:t>Time in emergency department /treatment area</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Triage or urgency </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Indigenous status</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Care type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Gender</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Hospital peer group</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Time of day/ week (of presentation in ED)</w:t>
            </w:r>
          </w:p>
        </w:tc>
      </w:tr>
      <w:tr w:rsidR="00B12191" w:rsidRPr="002019C1" w:rsidTr="006161B9">
        <w:trPr>
          <w:trHeight w:val="267"/>
        </w:trPr>
        <w:tc>
          <w:tcPr>
            <w:tcW w:w="8755" w:type="dxa"/>
            <w:gridSpan w:val="2"/>
            <w:shd w:val="clear" w:color="auto" w:fill="E0E0E0"/>
          </w:tcPr>
          <w:p w:rsidR="00B12191" w:rsidRPr="00C628C4" w:rsidRDefault="006161B9" w:rsidP="006161B9">
            <w:pPr>
              <w:widowControl w:val="0"/>
              <w:autoSpaceDE w:val="0"/>
              <w:autoSpaceDN w:val="0"/>
              <w:adjustRightInd w:val="0"/>
              <w:spacing w:after="240"/>
              <w:rPr>
                <w:rFonts w:asciiTheme="majorHAnsi" w:hAnsiTheme="majorHAnsi" w:cs="Arial"/>
                <w:b/>
              </w:rPr>
            </w:pPr>
            <w:r w:rsidRPr="00C628C4">
              <w:rPr>
                <w:rFonts w:asciiTheme="majorHAnsi" w:hAnsiTheme="majorHAnsi" w:cs="Arial"/>
                <w:b/>
              </w:rPr>
              <w:t>Derived</w:t>
            </w:r>
          </w:p>
        </w:tc>
      </w:tr>
      <w:tr w:rsidR="00B12191" w:rsidRPr="002019C1" w:rsidTr="006161B9">
        <w:trPr>
          <w:trHeight w:val="267"/>
        </w:trPr>
        <w:tc>
          <w:tcPr>
            <w:tcW w:w="8755" w:type="dxa"/>
            <w:gridSpan w:val="2"/>
            <w:tcBorders>
              <w:bottom w:val="single" w:sz="4" w:space="0" w:color="auto"/>
            </w:tcBorders>
          </w:tcPr>
          <w:p w:rsidR="00B12191" w:rsidRPr="00C628C4" w:rsidRDefault="00B12191" w:rsidP="00E86862">
            <w:pPr>
              <w:pStyle w:val="ListParagraph"/>
              <w:widowControl w:val="0"/>
              <w:numPr>
                <w:ilvl w:val="0"/>
                <w:numId w:val="21"/>
              </w:numPr>
              <w:autoSpaceDE w:val="0"/>
              <w:autoSpaceDN w:val="0"/>
              <w:adjustRightInd w:val="0"/>
              <w:spacing w:after="240"/>
              <w:rPr>
                <w:rFonts w:asciiTheme="majorHAnsi" w:hAnsiTheme="majorHAnsi" w:cs="Arial"/>
              </w:rPr>
            </w:pPr>
            <w:proofErr w:type="spellStart"/>
            <w:r w:rsidRPr="00C628C4">
              <w:rPr>
                <w:rFonts w:asciiTheme="majorHAnsi" w:hAnsiTheme="majorHAnsi" w:cs="Arial"/>
              </w:rPr>
              <w:t>Charlson</w:t>
            </w:r>
            <w:proofErr w:type="spellEnd"/>
            <w:r w:rsidRPr="00C628C4">
              <w:rPr>
                <w:rFonts w:asciiTheme="majorHAnsi" w:hAnsiTheme="majorHAnsi" w:cs="Arial"/>
              </w:rPr>
              <w:t xml:space="preserve"> score as a metric identifying the number of presenting comorbidities</w:t>
            </w:r>
          </w:p>
          <w:p w:rsidR="00B12191" w:rsidRPr="00C628C4" w:rsidRDefault="00B12191" w:rsidP="00E86862">
            <w:pPr>
              <w:pStyle w:val="ListParagraph"/>
              <w:widowControl w:val="0"/>
              <w:numPr>
                <w:ilvl w:val="0"/>
                <w:numId w:val="21"/>
              </w:numPr>
              <w:autoSpaceDE w:val="0"/>
              <w:autoSpaceDN w:val="0"/>
              <w:adjustRightInd w:val="0"/>
              <w:spacing w:after="240"/>
              <w:rPr>
                <w:rFonts w:asciiTheme="majorHAnsi" w:hAnsiTheme="majorHAnsi" w:cs="Arial"/>
              </w:rPr>
            </w:pPr>
            <w:proofErr w:type="spellStart"/>
            <w:r w:rsidRPr="00C628C4">
              <w:rPr>
                <w:rFonts w:asciiTheme="majorHAnsi" w:hAnsiTheme="majorHAnsi" w:cs="Arial"/>
              </w:rPr>
              <w:t>DRG_index</w:t>
            </w:r>
            <w:proofErr w:type="spellEnd"/>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proofErr w:type="spellStart"/>
            <w:r w:rsidRPr="00C628C4">
              <w:rPr>
                <w:rFonts w:asciiTheme="majorHAnsi" w:hAnsiTheme="majorHAnsi" w:cs="Arial"/>
              </w:rPr>
              <w:t>Specialisation</w:t>
            </w:r>
            <w:proofErr w:type="spellEnd"/>
          </w:p>
        </w:tc>
      </w:tr>
      <w:tr w:rsidR="00B12191" w:rsidRPr="002019C1" w:rsidTr="006161B9">
        <w:trPr>
          <w:trHeight w:val="267"/>
        </w:trPr>
        <w:tc>
          <w:tcPr>
            <w:tcW w:w="8755" w:type="dxa"/>
            <w:gridSpan w:val="2"/>
            <w:tcBorders>
              <w:bottom w:val="single" w:sz="4" w:space="0" w:color="auto"/>
            </w:tcBorders>
            <w:shd w:val="clear" w:color="auto" w:fill="E0E0E0"/>
          </w:tcPr>
          <w:p w:rsidR="00B12191" w:rsidRPr="00C628C4" w:rsidRDefault="006161B9" w:rsidP="006161B9">
            <w:pPr>
              <w:widowControl w:val="0"/>
              <w:autoSpaceDE w:val="0"/>
              <w:autoSpaceDN w:val="0"/>
              <w:adjustRightInd w:val="0"/>
              <w:spacing w:after="240"/>
              <w:rPr>
                <w:rFonts w:asciiTheme="majorHAnsi" w:hAnsiTheme="majorHAnsi" w:cs="Arial"/>
                <w:b/>
              </w:rPr>
            </w:pPr>
            <w:r w:rsidRPr="00C628C4">
              <w:rPr>
                <w:rFonts w:asciiTheme="majorHAnsi" w:hAnsiTheme="majorHAnsi" w:cs="Arial"/>
                <w:b/>
              </w:rPr>
              <w:t>Not tested</w:t>
            </w:r>
          </w:p>
        </w:tc>
      </w:tr>
      <w:tr w:rsidR="006161B9" w:rsidRPr="002019C1" w:rsidTr="006161B9">
        <w:trPr>
          <w:trHeight w:val="267"/>
        </w:trPr>
        <w:tc>
          <w:tcPr>
            <w:tcW w:w="4377" w:type="dxa"/>
            <w:tcBorders>
              <w:right w:val="nil"/>
            </w:tcBorders>
          </w:tcPr>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Clinical professional attending and/or staff time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Consultation time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Number of clinicians attending</w:t>
            </w:r>
          </w:p>
          <w:p w:rsidR="006161B9" w:rsidRPr="00C628C4" w:rsidRDefault="006161B9" w:rsidP="00E86862">
            <w:pPr>
              <w:pStyle w:val="ListParagraph"/>
              <w:widowControl w:val="0"/>
              <w:numPr>
                <w:ilvl w:val="0"/>
                <w:numId w:val="21"/>
              </w:numPr>
              <w:autoSpaceDE w:val="0"/>
              <w:autoSpaceDN w:val="0"/>
              <w:adjustRightInd w:val="0"/>
              <w:spacing w:before="120" w:after="120"/>
              <w:rPr>
                <w:rFonts w:asciiTheme="majorHAnsi" w:hAnsiTheme="majorHAnsi" w:cs="Arial"/>
                <w:color w:val="454545"/>
              </w:rPr>
            </w:pPr>
            <w:r w:rsidRPr="00C628C4">
              <w:rPr>
                <w:rFonts w:asciiTheme="majorHAnsi" w:hAnsiTheme="majorHAnsi" w:cs="Arial"/>
              </w:rPr>
              <w:t>Use of diagnostic services (number of pathology tests ordered, imaging tests ordered, pharmaceuticals/medications issued)</w:t>
            </w:r>
          </w:p>
          <w:p w:rsidR="006161B9" w:rsidRPr="00C628C4" w:rsidRDefault="006161B9" w:rsidP="00E86862">
            <w:pPr>
              <w:pStyle w:val="ListParagraph"/>
              <w:widowControl w:val="0"/>
              <w:numPr>
                <w:ilvl w:val="0"/>
                <w:numId w:val="21"/>
              </w:numPr>
              <w:autoSpaceDE w:val="0"/>
              <w:autoSpaceDN w:val="0"/>
              <w:adjustRightInd w:val="0"/>
              <w:spacing w:before="120" w:after="120"/>
              <w:rPr>
                <w:rFonts w:asciiTheme="majorHAnsi" w:hAnsiTheme="majorHAnsi" w:cs="Arial"/>
                <w:color w:val="454545"/>
              </w:rPr>
            </w:pPr>
            <w:r w:rsidRPr="00C628C4">
              <w:rPr>
                <w:rFonts w:asciiTheme="majorHAnsi" w:hAnsiTheme="majorHAnsi" w:cs="Arial"/>
              </w:rPr>
              <w:t>Transport costs</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Accommodation costs</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Access to primary care </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lastRenderedPageBreak/>
              <w:t>Access to transport</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Alcohol over-use rate </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 xml:space="preserve">Availability of </w:t>
            </w:r>
            <w:proofErr w:type="spellStart"/>
            <w:r w:rsidRPr="00C628C4">
              <w:rPr>
                <w:rFonts w:asciiTheme="majorHAnsi" w:hAnsiTheme="majorHAnsi" w:cs="Arial"/>
              </w:rPr>
              <w:t>carer</w:t>
            </w:r>
            <w:proofErr w:type="spellEnd"/>
            <w:r w:rsidRPr="00C628C4">
              <w:rPr>
                <w:rFonts w:asciiTheme="majorHAnsi" w:hAnsiTheme="majorHAnsi" w:cs="Arial"/>
              </w:rPr>
              <w:t>/support</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Compliance to medication</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Compliance to treatment regime</w:t>
            </w:r>
          </w:p>
        </w:tc>
        <w:tc>
          <w:tcPr>
            <w:tcW w:w="4378" w:type="dxa"/>
            <w:tcBorders>
              <w:left w:val="nil"/>
            </w:tcBorders>
          </w:tcPr>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lastRenderedPageBreak/>
              <w:t>Cultural security of the service</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Flight risk</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Housing status</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Index of relative advantage/disadvantage</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Level of functioning</w:t>
            </w:r>
          </w:p>
          <w:p w:rsidR="006161B9" w:rsidRPr="00C628C4" w:rsidRDefault="006161B9" w:rsidP="00E86862">
            <w:pPr>
              <w:pStyle w:val="ListParagraph"/>
              <w:numPr>
                <w:ilvl w:val="0"/>
                <w:numId w:val="21"/>
              </w:numPr>
              <w:spacing w:before="120" w:after="120"/>
              <w:rPr>
                <w:rFonts w:asciiTheme="majorHAnsi" w:hAnsiTheme="majorHAnsi" w:cs="Arial"/>
              </w:rPr>
            </w:pPr>
            <w:r w:rsidRPr="00C628C4">
              <w:rPr>
                <w:rFonts w:asciiTheme="majorHAnsi" w:hAnsiTheme="majorHAnsi" w:cs="Arial"/>
              </w:rPr>
              <w:t>Level of impairment</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Patient dependency </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Physical inactivity rate </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Frailty</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t xml:space="preserve">Smoking rate </w:t>
            </w:r>
          </w:p>
          <w:p w:rsidR="006161B9" w:rsidRPr="00C628C4" w:rsidRDefault="006161B9" w:rsidP="00E86862">
            <w:pPr>
              <w:pStyle w:val="ListParagraph"/>
              <w:widowControl w:val="0"/>
              <w:numPr>
                <w:ilvl w:val="0"/>
                <w:numId w:val="21"/>
              </w:numPr>
              <w:autoSpaceDE w:val="0"/>
              <w:autoSpaceDN w:val="0"/>
              <w:adjustRightInd w:val="0"/>
              <w:spacing w:after="240"/>
              <w:rPr>
                <w:rFonts w:asciiTheme="majorHAnsi" w:hAnsiTheme="majorHAnsi" w:cs="Arial"/>
              </w:rPr>
            </w:pPr>
            <w:r w:rsidRPr="00C628C4">
              <w:rPr>
                <w:rFonts w:asciiTheme="majorHAnsi" w:hAnsiTheme="majorHAnsi" w:cs="Arial"/>
              </w:rPr>
              <w:lastRenderedPageBreak/>
              <w:t>Social/home support</w:t>
            </w:r>
          </w:p>
        </w:tc>
      </w:tr>
    </w:tbl>
    <w:p w:rsidR="00BA6061" w:rsidRPr="005E6149" w:rsidRDefault="00BA6061" w:rsidP="00455678">
      <w:pPr>
        <w:spacing w:before="120" w:after="120"/>
        <w:rPr>
          <w:rFonts w:ascii="Arial" w:hAnsi="Arial" w:cs="Arial"/>
          <w:sz w:val="22"/>
          <w:szCs w:val="22"/>
        </w:rPr>
      </w:pPr>
      <w:r w:rsidRPr="005E6149">
        <w:rPr>
          <w:rFonts w:ascii="Arial" w:hAnsi="Arial" w:cs="Arial"/>
          <w:sz w:val="22"/>
          <w:szCs w:val="22"/>
        </w:rPr>
        <w:lastRenderedPageBreak/>
        <w:t xml:space="preserve">The following chapter presents the findings of the analysis that considered the relationship within and between these variables and </w:t>
      </w:r>
      <w:r w:rsidR="00D4233B" w:rsidRPr="005E6149">
        <w:rPr>
          <w:rFonts w:ascii="Arial" w:hAnsi="Arial" w:cs="Arial"/>
          <w:sz w:val="22"/>
          <w:szCs w:val="22"/>
        </w:rPr>
        <w:t xml:space="preserve">their impact upon the </w:t>
      </w:r>
      <w:r w:rsidRPr="005E6149">
        <w:rPr>
          <w:rFonts w:ascii="Arial" w:hAnsi="Arial" w:cs="Arial"/>
          <w:sz w:val="22"/>
          <w:szCs w:val="22"/>
        </w:rPr>
        <w:t>total costs of service delivery.</w:t>
      </w:r>
    </w:p>
    <w:p w:rsidR="00BA6061" w:rsidRPr="005E6149" w:rsidRDefault="00BA6061" w:rsidP="00B12191">
      <w:pPr>
        <w:pStyle w:val="Heading2"/>
        <w:keepLines w:val="0"/>
        <w:tabs>
          <w:tab w:val="left" w:pos="851"/>
        </w:tabs>
        <w:spacing w:before="240" w:after="240"/>
        <w:ind w:left="851" w:hanging="851"/>
        <w:rPr>
          <w:rFonts w:ascii="Arial" w:hAnsi="Arial" w:cs="Arial"/>
          <w:color w:val="548DD4" w:themeColor="text2" w:themeTint="99"/>
        </w:rPr>
      </w:pPr>
      <w:bookmarkStart w:id="79" w:name="_Toc278480641"/>
      <w:r w:rsidRPr="005E6149">
        <w:rPr>
          <w:rFonts w:ascii="Arial" w:hAnsi="Arial" w:cs="Arial"/>
          <w:color w:val="548DD4" w:themeColor="text2" w:themeTint="99"/>
        </w:rPr>
        <w:t>Over-representation of the Indigenous population</w:t>
      </w:r>
      <w:bookmarkEnd w:id="79"/>
    </w:p>
    <w:p w:rsidR="006C6097" w:rsidRPr="005E6149" w:rsidRDefault="00BA6061" w:rsidP="00836916">
      <w:pPr>
        <w:spacing w:before="120" w:after="120"/>
        <w:rPr>
          <w:rFonts w:ascii="Arial" w:hAnsi="Arial" w:cs="Arial"/>
          <w:sz w:val="22"/>
          <w:szCs w:val="22"/>
        </w:rPr>
      </w:pPr>
      <w:r w:rsidRPr="005E6149">
        <w:rPr>
          <w:rFonts w:ascii="Arial" w:hAnsi="Arial" w:cs="Arial"/>
          <w:sz w:val="22"/>
          <w:szCs w:val="22"/>
        </w:rPr>
        <w:t>T</w:t>
      </w:r>
      <w:r w:rsidR="00836916" w:rsidRPr="005E6149">
        <w:rPr>
          <w:rFonts w:ascii="Arial" w:hAnsi="Arial" w:cs="Arial"/>
          <w:sz w:val="22"/>
          <w:szCs w:val="22"/>
        </w:rPr>
        <w:t xml:space="preserve">he data from both rounds of the NHCDC </w:t>
      </w:r>
      <w:r w:rsidRPr="005E6149">
        <w:rPr>
          <w:rFonts w:ascii="Arial" w:hAnsi="Arial" w:cs="Arial"/>
          <w:sz w:val="22"/>
          <w:szCs w:val="22"/>
        </w:rPr>
        <w:t xml:space="preserve">presented in Chapter </w:t>
      </w:r>
      <w:r w:rsidR="002F1EA3">
        <w:rPr>
          <w:rFonts w:ascii="Arial" w:hAnsi="Arial" w:cs="Arial"/>
          <w:sz w:val="22"/>
          <w:szCs w:val="22"/>
        </w:rPr>
        <w:t>4</w:t>
      </w:r>
      <w:r w:rsidRPr="005E6149">
        <w:rPr>
          <w:rFonts w:ascii="Arial" w:hAnsi="Arial" w:cs="Arial"/>
          <w:sz w:val="22"/>
          <w:szCs w:val="22"/>
        </w:rPr>
        <w:t xml:space="preserve"> </w:t>
      </w:r>
      <w:r w:rsidR="00836916" w:rsidRPr="005E6149">
        <w:rPr>
          <w:rFonts w:ascii="Arial" w:hAnsi="Arial" w:cs="Arial"/>
          <w:sz w:val="22"/>
          <w:szCs w:val="22"/>
        </w:rPr>
        <w:t xml:space="preserve">clearly show that the use of hospital services is over-represented </w:t>
      </w:r>
      <w:r w:rsidR="003B5993" w:rsidRPr="005E6149">
        <w:rPr>
          <w:rFonts w:ascii="Arial" w:hAnsi="Arial" w:cs="Arial"/>
          <w:sz w:val="22"/>
          <w:szCs w:val="22"/>
        </w:rPr>
        <w:t>for the Indigenous population</w:t>
      </w:r>
      <w:r w:rsidRPr="005E6149">
        <w:rPr>
          <w:rFonts w:ascii="Arial" w:hAnsi="Arial" w:cs="Arial"/>
          <w:sz w:val="22"/>
          <w:szCs w:val="22"/>
        </w:rPr>
        <w:t xml:space="preserve">, confirming the </w:t>
      </w:r>
      <w:r w:rsidR="009026F1" w:rsidRPr="005E6149">
        <w:rPr>
          <w:rFonts w:ascii="Arial" w:hAnsi="Arial" w:cs="Arial"/>
          <w:sz w:val="22"/>
          <w:szCs w:val="22"/>
        </w:rPr>
        <w:t>views expressed in the consultations and survey</w:t>
      </w:r>
      <w:r w:rsidRPr="005E6149">
        <w:rPr>
          <w:rFonts w:ascii="Arial" w:hAnsi="Arial" w:cs="Arial"/>
          <w:sz w:val="22"/>
          <w:szCs w:val="22"/>
        </w:rPr>
        <w:t>,</w:t>
      </w:r>
      <w:r w:rsidR="009026F1" w:rsidRPr="005E6149">
        <w:rPr>
          <w:rFonts w:ascii="Arial" w:hAnsi="Arial" w:cs="Arial"/>
          <w:sz w:val="22"/>
          <w:szCs w:val="22"/>
        </w:rPr>
        <w:t xml:space="preserve"> as well as the findings of the literature review</w:t>
      </w:r>
      <w:r w:rsidR="00D873D2">
        <w:rPr>
          <w:rFonts w:ascii="Arial" w:hAnsi="Arial" w:cs="Arial"/>
          <w:sz w:val="22"/>
          <w:szCs w:val="22"/>
        </w:rPr>
        <w:t xml:space="preserve">. </w:t>
      </w:r>
      <w:r w:rsidR="006C6097" w:rsidRPr="005E6149">
        <w:rPr>
          <w:rFonts w:ascii="Arial" w:hAnsi="Arial" w:cs="Arial"/>
          <w:sz w:val="22"/>
          <w:szCs w:val="22"/>
        </w:rPr>
        <w:t>R</w:t>
      </w:r>
      <w:r w:rsidR="003B5993" w:rsidRPr="005E6149">
        <w:rPr>
          <w:rFonts w:ascii="Arial" w:hAnsi="Arial" w:cs="Arial"/>
          <w:sz w:val="22"/>
          <w:szCs w:val="22"/>
        </w:rPr>
        <w:t xml:space="preserve">ecent ABS figures estimate the Indigenous population of Australia to be in the vicinity of </w:t>
      </w:r>
      <w:r w:rsidR="00C20817" w:rsidRPr="005E6149">
        <w:rPr>
          <w:rFonts w:ascii="Arial" w:hAnsi="Arial" w:cs="Arial"/>
          <w:sz w:val="22"/>
          <w:szCs w:val="22"/>
        </w:rPr>
        <w:t>669,900</w:t>
      </w:r>
      <w:r w:rsidR="006C6097" w:rsidRPr="005E6149">
        <w:rPr>
          <w:rFonts w:ascii="Arial" w:hAnsi="Arial" w:cs="Arial"/>
          <w:sz w:val="22"/>
          <w:szCs w:val="22"/>
        </w:rPr>
        <w:t>.</w:t>
      </w:r>
      <w:r w:rsidR="00C20817" w:rsidRPr="005E6149">
        <w:rPr>
          <w:rStyle w:val="FootnoteReference"/>
          <w:rFonts w:ascii="Arial" w:hAnsi="Arial" w:cs="Arial"/>
          <w:sz w:val="22"/>
          <w:szCs w:val="22"/>
        </w:rPr>
        <w:footnoteReference w:id="4"/>
      </w:r>
      <w:r w:rsidR="006C6097" w:rsidRPr="005E6149">
        <w:rPr>
          <w:rFonts w:ascii="Arial" w:hAnsi="Arial" w:cs="Arial"/>
          <w:sz w:val="22"/>
          <w:szCs w:val="22"/>
        </w:rPr>
        <w:t xml:space="preserve"> The respective </w:t>
      </w:r>
      <w:r w:rsidR="003923F4" w:rsidRPr="005E6149">
        <w:rPr>
          <w:rFonts w:ascii="Arial" w:hAnsi="Arial" w:cs="Arial"/>
          <w:sz w:val="22"/>
          <w:szCs w:val="22"/>
        </w:rPr>
        <w:t xml:space="preserve">untrimmed </w:t>
      </w:r>
      <w:r w:rsidR="006C6097" w:rsidRPr="005E6149">
        <w:rPr>
          <w:rFonts w:ascii="Arial" w:hAnsi="Arial" w:cs="Arial"/>
          <w:sz w:val="22"/>
          <w:szCs w:val="22"/>
        </w:rPr>
        <w:t>acu</w:t>
      </w:r>
      <w:r w:rsidR="00650E8E" w:rsidRPr="005E6149">
        <w:rPr>
          <w:rFonts w:ascii="Arial" w:hAnsi="Arial" w:cs="Arial"/>
          <w:sz w:val="22"/>
          <w:szCs w:val="22"/>
        </w:rPr>
        <w:t>t</w:t>
      </w:r>
      <w:r w:rsidR="006C6097" w:rsidRPr="005E6149">
        <w:rPr>
          <w:rFonts w:ascii="Arial" w:hAnsi="Arial" w:cs="Arial"/>
          <w:sz w:val="22"/>
          <w:szCs w:val="22"/>
        </w:rPr>
        <w:t>e admitted</w:t>
      </w:r>
      <w:r w:rsidR="00650E8E" w:rsidRPr="005E6149">
        <w:rPr>
          <w:rFonts w:ascii="Arial" w:hAnsi="Arial" w:cs="Arial"/>
          <w:sz w:val="22"/>
          <w:szCs w:val="22"/>
        </w:rPr>
        <w:t xml:space="preserve"> inpatient datasets</w:t>
      </w:r>
      <w:r w:rsidR="006C6097" w:rsidRPr="005E6149">
        <w:rPr>
          <w:rFonts w:ascii="Arial" w:hAnsi="Arial" w:cs="Arial"/>
          <w:sz w:val="22"/>
          <w:szCs w:val="22"/>
        </w:rPr>
        <w:t xml:space="preserve"> </w:t>
      </w:r>
      <w:r w:rsidR="00650E8E" w:rsidRPr="005E6149">
        <w:rPr>
          <w:rFonts w:ascii="Arial" w:hAnsi="Arial" w:cs="Arial"/>
          <w:sz w:val="22"/>
          <w:szCs w:val="22"/>
        </w:rPr>
        <w:t xml:space="preserve">from Round 16 and Round 17 reported a total of </w:t>
      </w:r>
      <w:r w:rsidR="006C6097" w:rsidRPr="005E6149">
        <w:rPr>
          <w:rFonts w:ascii="Arial" w:hAnsi="Arial" w:cs="Arial"/>
          <w:sz w:val="22"/>
          <w:szCs w:val="22"/>
        </w:rPr>
        <w:t>270,124 and 320,650 Indigenous separations</w:t>
      </w:r>
      <w:r w:rsidR="00D873D2">
        <w:rPr>
          <w:rFonts w:ascii="Arial" w:hAnsi="Arial" w:cs="Arial"/>
          <w:sz w:val="22"/>
          <w:szCs w:val="22"/>
        </w:rPr>
        <w:t xml:space="preserve">. </w:t>
      </w:r>
      <w:r w:rsidR="006C6097" w:rsidRPr="005E6149">
        <w:rPr>
          <w:rFonts w:ascii="Arial" w:hAnsi="Arial" w:cs="Arial"/>
          <w:sz w:val="22"/>
          <w:szCs w:val="22"/>
        </w:rPr>
        <w:t>The</w:t>
      </w:r>
      <w:r w:rsidR="00A95E59" w:rsidRPr="005E6149">
        <w:rPr>
          <w:rFonts w:ascii="Arial" w:hAnsi="Arial" w:cs="Arial"/>
          <w:sz w:val="22"/>
          <w:szCs w:val="22"/>
        </w:rPr>
        <w:t xml:space="preserve">se figures represent approximately 7% of the acute admitted datasets for a population that is estimated to account for only 3% of the </w:t>
      </w:r>
      <w:proofErr w:type="spellStart"/>
      <w:proofErr w:type="gramStart"/>
      <w:r w:rsidR="00A95E59" w:rsidRPr="005E6149">
        <w:rPr>
          <w:rFonts w:ascii="Arial" w:hAnsi="Arial" w:cs="Arial"/>
          <w:sz w:val="22"/>
          <w:szCs w:val="22"/>
        </w:rPr>
        <w:t>nations</w:t>
      </w:r>
      <w:proofErr w:type="spellEnd"/>
      <w:proofErr w:type="gramEnd"/>
      <w:r w:rsidR="00A95E59" w:rsidRPr="005E6149">
        <w:rPr>
          <w:rFonts w:ascii="Arial" w:hAnsi="Arial" w:cs="Arial"/>
          <w:sz w:val="22"/>
          <w:szCs w:val="22"/>
        </w:rPr>
        <w:t xml:space="preserve"> population.</w:t>
      </w:r>
      <w:r w:rsidR="006C6097" w:rsidRPr="005E6149">
        <w:rPr>
          <w:rStyle w:val="FootnoteReference"/>
          <w:rFonts w:ascii="Arial" w:hAnsi="Arial" w:cs="Arial"/>
          <w:sz w:val="22"/>
          <w:szCs w:val="22"/>
        </w:rPr>
        <w:footnoteReference w:id="5"/>
      </w:r>
      <w:r w:rsidR="006030BC" w:rsidRPr="005E6149">
        <w:rPr>
          <w:rFonts w:ascii="Arial" w:hAnsi="Arial" w:cs="Arial"/>
          <w:sz w:val="22"/>
          <w:szCs w:val="22"/>
        </w:rPr>
        <w:t xml:space="preserve"> Whilst this confirms the overall findings of the literature review</w:t>
      </w:r>
      <w:r w:rsidR="00A95E59" w:rsidRPr="005E6149">
        <w:rPr>
          <w:rFonts w:ascii="Arial" w:hAnsi="Arial" w:cs="Arial"/>
          <w:sz w:val="22"/>
          <w:szCs w:val="22"/>
        </w:rPr>
        <w:t xml:space="preserve"> in terms of the Indigenous population being disproportionate users of hospital acute care services</w:t>
      </w:r>
      <w:r w:rsidR="006030BC" w:rsidRPr="005E6149">
        <w:rPr>
          <w:rFonts w:ascii="Arial" w:hAnsi="Arial" w:cs="Arial"/>
          <w:sz w:val="22"/>
          <w:szCs w:val="22"/>
        </w:rPr>
        <w:t>, a causal relationship between the over-representation of the Indigenous population with the cost differentials established earlier in this report could not be readily established.</w:t>
      </w:r>
    </w:p>
    <w:p w:rsidR="00BA6061" w:rsidRPr="005E6149" w:rsidRDefault="006276AE" w:rsidP="00134796">
      <w:pPr>
        <w:pStyle w:val="Heading2"/>
        <w:keepLines w:val="0"/>
        <w:tabs>
          <w:tab w:val="left" w:pos="851"/>
        </w:tabs>
        <w:spacing w:before="360" w:after="240"/>
        <w:ind w:left="851" w:hanging="851"/>
        <w:rPr>
          <w:rFonts w:ascii="Arial" w:hAnsi="Arial" w:cs="Arial"/>
          <w:color w:val="548DD4" w:themeColor="text2" w:themeTint="99"/>
        </w:rPr>
      </w:pPr>
      <w:bookmarkStart w:id="80" w:name="_Toc278480642"/>
      <w:r w:rsidRPr="005E6149">
        <w:rPr>
          <w:rFonts w:ascii="Arial" w:hAnsi="Arial" w:cs="Arial"/>
          <w:color w:val="548DD4" w:themeColor="text2" w:themeTint="99"/>
        </w:rPr>
        <w:t xml:space="preserve">Correlation </w:t>
      </w:r>
      <w:r w:rsidR="00F9602A" w:rsidRPr="005E6149">
        <w:rPr>
          <w:rFonts w:ascii="Arial" w:hAnsi="Arial" w:cs="Arial"/>
          <w:color w:val="548DD4" w:themeColor="text2" w:themeTint="99"/>
        </w:rPr>
        <w:t xml:space="preserve">and Regression </w:t>
      </w:r>
      <w:r w:rsidRPr="005E6149">
        <w:rPr>
          <w:rFonts w:ascii="Arial" w:hAnsi="Arial" w:cs="Arial"/>
          <w:color w:val="548DD4" w:themeColor="text2" w:themeTint="99"/>
        </w:rPr>
        <w:t>Analyses</w:t>
      </w:r>
      <w:bookmarkEnd w:id="80"/>
    </w:p>
    <w:p w:rsidR="00134796" w:rsidRPr="005E6149" w:rsidRDefault="00D4233B" w:rsidP="00836916">
      <w:pPr>
        <w:spacing w:before="120" w:after="120"/>
        <w:rPr>
          <w:rFonts w:ascii="Arial" w:hAnsi="Arial" w:cs="Arial"/>
          <w:sz w:val="22"/>
          <w:szCs w:val="22"/>
        </w:rPr>
      </w:pPr>
      <w:r w:rsidRPr="005E6149">
        <w:rPr>
          <w:rFonts w:ascii="Arial" w:hAnsi="Arial" w:cs="Arial"/>
          <w:sz w:val="22"/>
          <w:szCs w:val="22"/>
        </w:rPr>
        <w:t>Having identified the data items acting as potential cost drivers the respective variables were subjected to a range of statistical analyses. Specifically, t</w:t>
      </w:r>
      <w:r w:rsidR="00134796" w:rsidRPr="005E6149">
        <w:rPr>
          <w:rFonts w:ascii="Arial" w:hAnsi="Arial" w:cs="Arial"/>
          <w:sz w:val="22"/>
          <w:szCs w:val="22"/>
        </w:rPr>
        <w:t xml:space="preserve">he degree to which two or more variables are inter-related is best </w:t>
      </w:r>
      <w:r w:rsidRPr="005E6149">
        <w:rPr>
          <w:rFonts w:ascii="Arial" w:hAnsi="Arial" w:cs="Arial"/>
          <w:sz w:val="22"/>
          <w:szCs w:val="22"/>
        </w:rPr>
        <w:t>considered t</w:t>
      </w:r>
      <w:r w:rsidR="00134796" w:rsidRPr="005E6149">
        <w:rPr>
          <w:rFonts w:ascii="Arial" w:hAnsi="Arial" w:cs="Arial"/>
          <w:sz w:val="22"/>
          <w:szCs w:val="22"/>
        </w:rPr>
        <w:t>hrough the use of correlation statistics</w:t>
      </w:r>
      <w:r w:rsidR="00D873D2">
        <w:rPr>
          <w:rFonts w:ascii="Arial" w:hAnsi="Arial" w:cs="Arial"/>
          <w:sz w:val="22"/>
          <w:szCs w:val="22"/>
        </w:rPr>
        <w:t xml:space="preserve">. </w:t>
      </w:r>
      <w:r w:rsidR="00134796" w:rsidRPr="005E6149">
        <w:rPr>
          <w:rFonts w:ascii="Arial" w:hAnsi="Arial" w:cs="Arial"/>
          <w:sz w:val="22"/>
          <w:szCs w:val="22"/>
        </w:rPr>
        <w:t>Importantly, correlations do not infer causation, and this is described further on in this section.</w:t>
      </w:r>
    </w:p>
    <w:p w:rsidR="001B0D56" w:rsidRPr="005E6149" w:rsidRDefault="001B0D56" w:rsidP="00836916">
      <w:pPr>
        <w:spacing w:before="120" w:after="120"/>
        <w:rPr>
          <w:rFonts w:ascii="Arial" w:hAnsi="Arial" w:cs="Arial"/>
          <w:sz w:val="22"/>
          <w:szCs w:val="22"/>
        </w:rPr>
      </w:pPr>
      <w:r w:rsidRPr="005E6149">
        <w:rPr>
          <w:rFonts w:ascii="Arial" w:hAnsi="Arial" w:cs="Arial"/>
          <w:sz w:val="22"/>
          <w:szCs w:val="22"/>
        </w:rPr>
        <w:t>All possible relationships between a set of variables are typically presented in the form of a correlation matrix</w:t>
      </w:r>
      <w:r w:rsidR="00D873D2">
        <w:rPr>
          <w:rFonts w:ascii="Arial" w:hAnsi="Arial" w:cs="Arial"/>
          <w:sz w:val="22"/>
          <w:szCs w:val="22"/>
        </w:rPr>
        <w:t xml:space="preserve">. </w:t>
      </w:r>
      <w:r w:rsidRPr="005E6149">
        <w:rPr>
          <w:rFonts w:ascii="Arial" w:hAnsi="Arial" w:cs="Arial"/>
          <w:sz w:val="22"/>
          <w:szCs w:val="22"/>
        </w:rPr>
        <w:t>Each data point in the correlation matrix is a measure of the strength and the direction of the variables inter-relationship.</w:t>
      </w:r>
    </w:p>
    <w:p w:rsidR="002543D9" w:rsidRPr="005E6149" w:rsidRDefault="009D3152" w:rsidP="00836916">
      <w:pPr>
        <w:spacing w:before="120" w:after="120"/>
        <w:rPr>
          <w:rFonts w:ascii="Arial" w:hAnsi="Arial" w:cs="Arial"/>
          <w:sz w:val="22"/>
          <w:szCs w:val="22"/>
        </w:rPr>
      </w:pPr>
      <w:r w:rsidRPr="005E6149">
        <w:rPr>
          <w:rFonts w:ascii="Arial" w:hAnsi="Arial" w:cs="Arial"/>
          <w:sz w:val="22"/>
          <w:szCs w:val="22"/>
        </w:rPr>
        <w:t>For the purposes of this analysis, the total cost of the episode of care was defined to the dependent variable, and all other variables were considered in terms of their explanatory power against this dependent variable</w:t>
      </w:r>
      <w:r w:rsidR="00D873D2">
        <w:rPr>
          <w:rFonts w:ascii="Arial" w:hAnsi="Arial" w:cs="Arial"/>
          <w:sz w:val="22"/>
          <w:szCs w:val="22"/>
        </w:rPr>
        <w:t xml:space="preserve">. </w:t>
      </w:r>
      <w:r w:rsidRPr="005E6149">
        <w:rPr>
          <w:rFonts w:ascii="Arial" w:hAnsi="Arial" w:cs="Arial"/>
          <w:sz w:val="22"/>
          <w:szCs w:val="22"/>
        </w:rPr>
        <w:t>The null hypothesis was set at H</w:t>
      </w:r>
      <w:r w:rsidRPr="005E6149">
        <w:rPr>
          <w:rFonts w:ascii="Arial" w:hAnsi="Arial" w:cs="Arial"/>
          <w:sz w:val="22"/>
          <w:szCs w:val="22"/>
          <w:vertAlign w:val="subscript"/>
        </w:rPr>
        <w:t>0</w:t>
      </w:r>
      <w:r w:rsidRPr="005E6149">
        <w:rPr>
          <w:rFonts w:ascii="Arial" w:hAnsi="Arial" w:cs="Arial"/>
          <w:sz w:val="22"/>
          <w:szCs w:val="22"/>
        </w:rPr>
        <w:t xml:space="preserve">: </w:t>
      </w:r>
      <w:r w:rsidRPr="005E6149">
        <w:rPr>
          <w:rFonts w:ascii="Arial" w:hAnsi="Arial" w:cs="Arial"/>
          <w:sz w:val="22"/>
          <w:szCs w:val="22"/>
        </w:rPr>
        <w:sym w:font="Symbol" w:char="F072"/>
      </w:r>
      <w:r w:rsidRPr="005E6149">
        <w:rPr>
          <w:rFonts w:ascii="Arial" w:hAnsi="Arial" w:cs="Arial"/>
          <w:sz w:val="22"/>
          <w:szCs w:val="22"/>
        </w:rPr>
        <w:t xml:space="preserve"> = 0, namely that that there is no correlation between the respective pairs of explanatory variables considered in the correlation matrix</w:t>
      </w:r>
      <w:r w:rsidR="00D873D2">
        <w:rPr>
          <w:rFonts w:ascii="Arial" w:hAnsi="Arial" w:cs="Arial"/>
          <w:sz w:val="22"/>
          <w:szCs w:val="22"/>
        </w:rPr>
        <w:t xml:space="preserve">. </w:t>
      </w:r>
    </w:p>
    <w:p w:rsidR="00324A18" w:rsidRPr="005E6149" w:rsidRDefault="002543D9" w:rsidP="00836916">
      <w:pPr>
        <w:spacing w:before="120" w:after="120"/>
        <w:rPr>
          <w:rFonts w:ascii="Arial" w:hAnsi="Arial" w:cs="Arial"/>
          <w:sz w:val="22"/>
          <w:szCs w:val="22"/>
        </w:rPr>
      </w:pPr>
      <w:r w:rsidRPr="005E6149">
        <w:rPr>
          <w:rFonts w:ascii="Arial" w:hAnsi="Arial" w:cs="Arial"/>
          <w:sz w:val="22"/>
          <w:szCs w:val="22"/>
        </w:rPr>
        <w:t>If the correlation co-efficient is close to 1 (either positive or negative) then one can assume that there is a high correlation between the two variables</w:t>
      </w:r>
      <w:r w:rsidR="00D873D2">
        <w:rPr>
          <w:rFonts w:ascii="Arial" w:hAnsi="Arial" w:cs="Arial"/>
          <w:sz w:val="22"/>
          <w:szCs w:val="22"/>
        </w:rPr>
        <w:t xml:space="preserve">. </w:t>
      </w:r>
      <w:r w:rsidRPr="005E6149">
        <w:rPr>
          <w:rFonts w:ascii="Arial" w:hAnsi="Arial" w:cs="Arial"/>
          <w:sz w:val="22"/>
          <w:szCs w:val="22"/>
        </w:rPr>
        <w:t>Thus either one will do just as good a job at estimating the total cost of service delivery as the other</w:t>
      </w:r>
      <w:r w:rsidR="00D873D2">
        <w:rPr>
          <w:rFonts w:ascii="Arial" w:hAnsi="Arial" w:cs="Arial"/>
          <w:sz w:val="22"/>
          <w:szCs w:val="22"/>
        </w:rPr>
        <w:t xml:space="preserve">. </w:t>
      </w:r>
      <w:r w:rsidRPr="005E6149">
        <w:rPr>
          <w:rFonts w:ascii="Arial" w:hAnsi="Arial" w:cs="Arial"/>
          <w:sz w:val="22"/>
          <w:szCs w:val="22"/>
        </w:rPr>
        <w:t xml:space="preserve">There </w:t>
      </w:r>
      <w:r w:rsidRPr="005E6149">
        <w:rPr>
          <w:rFonts w:ascii="Arial" w:hAnsi="Arial" w:cs="Arial"/>
          <w:sz w:val="22"/>
          <w:szCs w:val="22"/>
        </w:rPr>
        <w:lastRenderedPageBreak/>
        <w:t>would be no real need to include both in any further analyses</w:t>
      </w:r>
      <w:r w:rsidR="00D873D2">
        <w:rPr>
          <w:rFonts w:ascii="Arial" w:hAnsi="Arial" w:cs="Arial"/>
          <w:sz w:val="22"/>
          <w:szCs w:val="22"/>
        </w:rPr>
        <w:t xml:space="preserve">. </w:t>
      </w:r>
      <w:r w:rsidRPr="005E6149">
        <w:rPr>
          <w:rFonts w:ascii="Arial" w:hAnsi="Arial" w:cs="Arial"/>
          <w:sz w:val="22"/>
          <w:szCs w:val="22"/>
        </w:rPr>
        <w:t xml:space="preserve">However, if the correlations are relatively low, then there is every likelihood that the two (or more variables) when considered together will </w:t>
      </w:r>
      <w:r w:rsidR="00DF5C45" w:rsidRPr="005E6149">
        <w:rPr>
          <w:rFonts w:ascii="Arial" w:hAnsi="Arial" w:cs="Arial"/>
          <w:sz w:val="22"/>
          <w:szCs w:val="22"/>
        </w:rPr>
        <w:t xml:space="preserve">better </w:t>
      </w:r>
      <w:r w:rsidRPr="005E6149">
        <w:rPr>
          <w:rFonts w:ascii="Arial" w:hAnsi="Arial" w:cs="Arial"/>
          <w:sz w:val="22"/>
          <w:szCs w:val="22"/>
        </w:rPr>
        <w:t xml:space="preserve">predict the </w:t>
      </w:r>
      <w:r w:rsidR="00324A18" w:rsidRPr="005E6149">
        <w:rPr>
          <w:rFonts w:ascii="Arial" w:hAnsi="Arial" w:cs="Arial"/>
          <w:sz w:val="22"/>
          <w:szCs w:val="22"/>
        </w:rPr>
        <w:t xml:space="preserve">total cost of service delivery than if </w:t>
      </w:r>
      <w:r w:rsidR="00D4233B" w:rsidRPr="005E6149">
        <w:rPr>
          <w:rFonts w:ascii="Arial" w:hAnsi="Arial" w:cs="Arial"/>
          <w:sz w:val="22"/>
          <w:szCs w:val="22"/>
        </w:rPr>
        <w:t xml:space="preserve">each were </w:t>
      </w:r>
      <w:r w:rsidR="00324A18" w:rsidRPr="005E6149">
        <w:rPr>
          <w:rFonts w:ascii="Arial" w:hAnsi="Arial" w:cs="Arial"/>
          <w:sz w:val="22"/>
          <w:szCs w:val="22"/>
        </w:rPr>
        <w:t>considered in isolation.</w:t>
      </w:r>
    </w:p>
    <w:p w:rsidR="00544CAD" w:rsidRPr="005E6149" w:rsidRDefault="00544CAD" w:rsidP="00A46AE7">
      <w:pPr>
        <w:pStyle w:val="Heading2"/>
        <w:keepLines w:val="0"/>
        <w:tabs>
          <w:tab w:val="left" w:pos="851"/>
        </w:tabs>
        <w:spacing w:before="360" w:after="240"/>
        <w:ind w:left="851" w:hanging="851"/>
        <w:rPr>
          <w:rFonts w:ascii="Arial" w:hAnsi="Arial" w:cs="Arial"/>
        </w:rPr>
      </w:pPr>
      <w:bookmarkStart w:id="81" w:name="_Toc278480643"/>
      <w:r w:rsidRPr="00A46AE7">
        <w:rPr>
          <w:rFonts w:ascii="Arial" w:hAnsi="Arial" w:cs="Arial"/>
          <w:color w:val="548DD4" w:themeColor="text2" w:themeTint="99"/>
        </w:rPr>
        <w:t>Overnight acute admitted services</w:t>
      </w:r>
      <w:bookmarkEnd w:id="81"/>
    </w:p>
    <w:p w:rsidR="00852D51" w:rsidRPr="005E6149" w:rsidRDefault="00D75EF3" w:rsidP="00836916">
      <w:pPr>
        <w:spacing w:before="120" w:after="120"/>
        <w:rPr>
          <w:rFonts w:ascii="Arial" w:hAnsi="Arial" w:cs="Arial"/>
          <w:sz w:val="22"/>
          <w:szCs w:val="22"/>
        </w:rPr>
      </w:pPr>
      <w:r w:rsidRPr="005E6149">
        <w:rPr>
          <w:rFonts w:ascii="Arial" w:hAnsi="Arial" w:cs="Arial"/>
          <w:sz w:val="22"/>
          <w:szCs w:val="22"/>
        </w:rPr>
        <w:t>A</w:t>
      </w:r>
      <w:r w:rsidR="00852D51" w:rsidRPr="005E6149">
        <w:rPr>
          <w:rFonts w:ascii="Arial" w:hAnsi="Arial" w:cs="Arial"/>
          <w:sz w:val="22"/>
          <w:szCs w:val="22"/>
        </w:rPr>
        <w:t xml:space="preserve"> number of correlation analyses were performed, a</w:t>
      </w:r>
      <w:r w:rsidR="00324A18" w:rsidRPr="005E6149">
        <w:rPr>
          <w:rFonts w:ascii="Arial" w:hAnsi="Arial" w:cs="Arial"/>
          <w:sz w:val="22"/>
          <w:szCs w:val="22"/>
        </w:rPr>
        <w:t>nd</w:t>
      </w:r>
      <w:r w:rsidR="00852D51" w:rsidRPr="005E6149">
        <w:rPr>
          <w:rFonts w:ascii="Arial" w:hAnsi="Arial" w:cs="Arial"/>
          <w:sz w:val="22"/>
          <w:szCs w:val="22"/>
        </w:rPr>
        <w:t xml:space="preserve"> co-linearity was identified amongst some of the variables</w:t>
      </w:r>
      <w:r w:rsidR="00D873D2">
        <w:rPr>
          <w:rFonts w:ascii="Arial" w:hAnsi="Arial" w:cs="Arial"/>
          <w:sz w:val="22"/>
          <w:szCs w:val="22"/>
        </w:rPr>
        <w:t xml:space="preserve">. </w:t>
      </w:r>
      <w:r w:rsidRPr="005E6149">
        <w:rPr>
          <w:rFonts w:ascii="Arial" w:hAnsi="Arial" w:cs="Arial"/>
          <w:sz w:val="22"/>
          <w:szCs w:val="22"/>
        </w:rPr>
        <w:t xml:space="preserve">Specifically, the analysis identified </w:t>
      </w:r>
      <w:r w:rsidR="00835D70" w:rsidRPr="005E6149">
        <w:rPr>
          <w:rFonts w:ascii="Arial" w:hAnsi="Arial" w:cs="Arial"/>
          <w:sz w:val="22"/>
          <w:szCs w:val="22"/>
        </w:rPr>
        <w:t xml:space="preserve">the variable </w:t>
      </w:r>
      <w:r w:rsidRPr="005E6149">
        <w:rPr>
          <w:rFonts w:ascii="Arial" w:hAnsi="Arial" w:cs="Arial"/>
          <w:sz w:val="22"/>
          <w:szCs w:val="22"/>
        </w:rPr>
        <w:t xml:space="preserve">relating to </w:t>
      </w:r>
      <w:r w:rsidR="00835D70" w:rsidRPr="005E6149">
        <w:rPr>
          <w:rFonts w:ascii="Arial" w:hAnsi="Arial" w:cs="Arial"/>
          <w:sz w:val="22"/>
          <w:szCs w:val="22"/>
        </w:rPr>
        <w:t xml:space="preserve">a patient’s usual accommodation </w:t>
      </w:r>
      <w:r w:rsidR="00324A18" w:rsidRPr="005E6149">
        <w:rPr>
          <w:rFonts w:ascii="Arial" w:hAnsi="Arial" w:cs="Arial"/>
          <w:sz w:val="22"/>
          <w:szCs w:val="22"/>
        </w:rPr>
        <w:t xml:space="preserve">as </w:t>
      </w:r>
      <w:r w:rsidR="00835D70" w:rsidRPr="005E6149">
        <w:rPr>
          <w:rFonts w:ascii="Arial" w:hAnsi="Arial" w:cs="Arial"/>
          <w:sz w:val="22"/>
          <w:szCs w:val="22"/>
        </w:rPr>
        <w:t xml:space="preserve">being located in </w:t>
      </w:r>
      <w:r w:rsidR="00324A18" w:rsidRPr="005E6149">
        <w:rPr>
          <w:rFonts w:ascii="Arial" w:hAnsi="Arial" w:cs="Arial"/>
          <w:sz w:val="22"/>
          <w:szCs w:val="22"/>
        </w:rPr>
        <w:t>“</w:t>
      </w:r>
      <w:r w:rsidR="00835D70" w:rsidRPr="005E6149">
        <w:rPr>
          <w:rFonts w:ascii="Arial" w:hAnsi="Arial" w:cs="Arial"/>
          <w:sz w:val="22"/>
          <w:szCs w:val="22"/>
        </w:rPr>
        <w:t>very remote Australia</w:t>
      </w:r>
      <w:r w:rsidR="00324A18" w:rsidRPr="005E6149">
        <w:rPr>
          <w:rFonts w:ascii="Arial" w:hAnsi="Arial" w:cs="Arial"/>
          <w:sz w:val="22"/>
          <w:szCs w:val="22"/>
        </w:rPr>
        <w:t>”</w:t>
      </w:r>
      <w:r w:rsidR="00835D70" w:rsidRPr="005E6149">
        <w:rPr>
          <w:rFonts w:ascii="Arial" w:hAnsi="Arial" w:cs="Arial"/>
          <w:sz w:val="22"/>
          <w:szCs w:val="22"/>
        </w:rPr>
        <w:t xml:space="preserve"> </w:t>
      </w:r>
      <w:r w:rsidR="00324A18" w:rsidRPr="005E6149">
        <w:rPr>
          <w:rFonts w:ascii="Arial" w:hAnsi="Arial" w:cs="Arial"/>
          <w:sz w:val="22"/>
          <w:szCs w:val="22"/>
        </w:rPr>
        <w:t xml:space="preserve">could be expressed </w:t>
      </w:r>
      <w:r w:rsidR="00835D70" w:rsidRPr="005E6149">
        <w:rPr>
          <w:rFonts w:ascii="Arial" w:hAnsi="Arial" w:cs="Arial"/>
          <w:sz w:val="22"/>
          <w:szCs w:val="22"/>
        </w:rPr>
        <w:t>as a combination of a number of other variables</w:t>
      </w:r>
      <w:r w:rsidR="00D873D2">
        <w:rPr>
          <w:rFonts w:ascii="Arial" w:hAnsi="Arial" w:cs="Arial"/>
          <w:sz w:val="22"/>
          <w:szCs w:val="22"/>
        </w:rPr>
        <w:t xml:space="preserve">. </w:t>
      </w:r>
      <w:r w:rsidRPr="005E6149">
        <w:rPr>
          <w:rFonts w:ascii="Arial" w:hAnsi="Arial" w:cs="Arial"/>
          <w:sz w:val="22"/>
          <w:szCs w:val="22"/>
        </w:rPr>
        <w:t>As such, this variable was set to zero and was not considered further in any of the analyses.</w:t>
      </w:r>
      <w:r w:rsidR="00F04E94" w:rsidRPr="005E6149">
        <w:rPr>
          <w:rFonts w:ascii="Arial" w:hAnsi="Arial" w:cs="Arial"/>
          <w:sz w:val="22"/>
          <w:szCs w:val="22"/>
        </w:rPr>
        <w:t xml:space="preserve"> This had negligible impact on the remaining analyses as the adjusted R</w:t>
      </w:r>
      <w:r w:rsidR="00F04E94" w:rsidRPr="005E6149">
        <w:rPr>
          <w:rFonts w:ascii="Arial" w:hAnsi="Arial" w:cs="Arial"/>
          <w:sz w:val="22"/>
          <w:szCs w:val="22"/>
          <w:vertAlign w:val="superscript"/>
        </w:rPr>
        <w:t>2</w:t>
      </w:r>
      <w:r w:rsidR="00F04E94" w:rsidRPr="005E6149">
        <w:rPr>
          <w:rFonts w:ascii="Arial" w:hAnsi="Arial" w:cs="Arial"/>
          <w:sz w:val="22"/>
          <w:szCs w:val="22"/>
        </w:rPr>
        <w:t xml:space="preserve"> value did not differ from the R</w:t>
      </w:r>
      <w:r w:rsidR="00F04E94" w:rsidRPr="005E6149">
        <w:rPr>
          <w:rFonts w:ascii="Arial" w:hAnsi="Arial" w:cs="Arial"/>
          <w:sz w:val="22"/>
          <w:szCs w:val="22"/>
          <w:vertAlign w:val="superscript"/>
        </w:rPr>
        <w:t>2</w:t>
      </w:r>
      <w:r w:rsidR="00F04E94" w:rsidRPr="005E6149">
        <w:rPr>
          <w:rFonts w:ascii="Arial" w:hAnsi="Arial" w:cs="Arial"/>
          <w:sz w:val="22"/>
          <w:szCs w:val="22"/>
        </w:rPr>
        <w:t xml:space="preserve"> value (</w:t>
      </w:r>
      <w:r w:rsidR="0062298C">
        <w:rPr>
          <w:rFonts w:ascii="Arial" w:hAnsi="Arial" w:cs="Arial"/>
          <w:sz w:val="22"/>
          <w:szCs w:val="22"/>
        </w:rPr>
        <w:t>Table</w:t>
      </w:r>
      <w:r w:rsidR="00F04E94" w:rsidRPr="005E6149">
        <w:rPr>
          <w:rFonts w:ascii="Arial" w:hAnsi="Arial" w:cs="Arial"/>
          <w:sz w:val="22"/>
          <w:szCs w:val="22"/>
        </w:rPr>
        <w:t xml:space="preserve"> 10.2)</w:t>
      </w:r>
    </w:p>
    <w:p w:rsidR="00DF5C45" w:rsidRPr="005E6149" w:rsidRDefault="00DF5C45" w:rsidP="00DF5C45">
      <w:pPr>
        <w:pStyle w:val="TableCaption"/>
        <w:spacing w:before="120" w:after="120"/>
        <w:rPr>
          <w:rFonts w:ascii="Arial" w:hAnsi="Arial" w:cs="Arial"/>
          <w:sz w:val="18"/>
          <w:szCs w:val="18"/>
        </w:rPr>
      </w:pPr>
      <w:bookmarkStart w:id="82" w:name="_Toc278480691"/>
      <w:r w:rsidRPr="005E6149">
        <w:rPr>
          <w:rFonts w:ascii="Arial" w:hAnsi="Arial" w:cs="Arial"/>
          <w:sz w:val="18"/>
          <w:szCs w:val="18"/>
        </w:rPr>
        <w:t>Table 10.2: Analysis of Variance Outputs – Admitted overnight dataset Round 17 (2012/2013)</w:t>
      </w:r>
      <w:bookmarkEnd w:id="82"/>
    </w:p>
    <w:tbl>
      <w:tblPr>
        <w:tblStyle w:val="TableGrid"/>
        <w:tblW w:w="0" w:type="auto"/>
        <w:jc w:val="center"/>
        <w:tblLook w:val="04A0" w:firstRow="1" w:lastRow="0" w:firstColumn="1" w:lastColumn="0" w:noHBand="0" w:noVBand="1"/>
        <w:tblCaption w:val="Table 10.2: Analysis of Variance Outputs "/>
      </w:tblPr>
      <w:tblGrid>
        <w:gridCol w:w="1279"/>
        <w:gridCol w:w="1288"/>
        <w:gridCol w:w="1385"/>
        <w:gridCol w:w="1335"/>
        <w:gridCol w:w="1042"/>
        <w:gridCol w:w="1212"/>
      </w:tblGrid>
      <w:tr w:rsidR="00E2360B" w:rsidRPr="002019C1" w:rsidTr="005C4770">
        <w:trPr>
          <w:tblHeader/>
          <w:jc w:val="center"/>
        </w:trPr>
        <w:tc>
          <w:tcPr>
            <w:tcW w:w="1279" w:type="dxa"/>
            <w:vMerge w:val="restart"/>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Analysis of Variance</w:t>
            </w:r>
          </w:p>
        </w:tc>
        <w:tc>
          <w:tcPr>
            <w:tcW w:w="1288" w:type="dxa"/>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Degrees of Freedom</w:t>
            </w:r>
          </w:p>
        </w:tc>
        <w:tc>
          <w:tcPr>
            <w:tcW w:w="1385" w:type="dxa"/>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Dependent Mean</w:t>
            </w:r>
          </w:p>
        </w:tc>
        <w:tc>
          <w:tcPr>
            <w:tcW w:w="1335" w:type="dxa"/>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Coefficient of Variation</w:t>
            </w:r>
          </w:p>
        </w:tc>
        <w:tc>
          <w:tcPr>
            <w:tcW w:w="1042" w:type="dxa"/>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R</w:t>
            </w:r>
            <w:r w:rsidRPr="00C628C4">
              <w:rPr>
                <w:rFonts w:asciiTheme="majorHAnsi" w:hAnsiTheme="majorHAnsi" w:cs="Arial"/>
                <w:b/>
                <w:vertAlign w:val="superscript"/>
              </w:rPr>
              <w:t>2</w:t>
            </w:r>
          </w:p>
        </w:tc>
        <w:tc>
          <w:tcPr>
            <w:tcW w:w="1212" w:type="dxa"/>
            <w:shd w:val="clear" w:color="auto" w:fill="CCCCCC"/>
          </w:tcPr>
          <w:p w:rsidR="00E2360B" w:rsidRPr="00C628C4" w:rsidRDefault="00E2360B" w:rsidP="00DF5C45">
            <w:pPr>
              <w:spacing w:before="120" w:after="120"/>
              <w:jc w:val="center"/>
              <w:rPr>
                <w:rFonts w:asciiTheme="majorHAnsi" w:hAnsiTheme="majorHAnsi" w:cs="Arial"/>
                <w:b/>
              </w:rPr>
            </w:pPr>
            <w:r w:rsidRPr="00C628C4">
              <w:rPr>
                <w:rFonts w:asciiTheme="majorHAnsi" w:hAnsiTheme="majorHAnsi" w:cs="Arial"/>
                <w:b/>
              </w:rPr>
              <w:t>Adjusted R</w:t>
            </w:r>
            <w:r w:rsidRPr="00C628C4">
              <w:rPr>
                <w:rFonts w:asciiTheme="majorHAnsi" w:hAnsiTheme="majorHAnsi" w:cs="Arial"/>
                <w:b/>
                <w:vertAlign w:val="superscript"/>
              </w:rPr>
              <w:t>2</w:t>
            </w:r>
          </w:p>
        </w:tc>
      </w:tr>
      <w:tr w:rsidR="00E2360B" w:rsidRPr="002019C1" w:rsidTr="005C4770">
        <w:trPr>
          <w:jc w:val="center"/>
        </w:trPr>
        <w:tc>
          <w:tcPr>
            <w:tcW w:w="1279" w:type="dxa"/>
            <w:vMerge/>
          </w:tcPr>
          <w:p w:rsidR="00E2360B" w:rsidRPr="00C628C4" w:rsidRDefault="00E2360B" w:rsidP="00DF5C45">
            <w:pPr>
              <w:spacing w:before="120" w:after="120"/>
              <w:rPr>
                <w:rFonts w:asciiTheme="majorHAnsi" w:hAnsiTheme="majorHAnsi" w:cs="Arial"/>
                <w:sz w:val="22"/>
                <w:szCs w:val="22"/>
              </w:rPr>
            </w:pPr>
          </w:p>
        </w:tc>
        <w:tc>
          <w:tcPr>
            <w:tcW w:w="1288" w:type="dxa"/>
          </w:tcPr>
          <w:p w:rsidR="00E2360B" w:rsidRPr="00C628C4" w:rsidRDefault="00E2360B" w:rsidP="00DF5C45">
            <w:pPr>
              <w:spacing w:before="120" w:after="120"/>
              <w:jc w:val="center"/>
              <w:rPr>
                <w:rFonts w:asciiTheme="majorHAnsi" w:hAnsiTheme="majorHAnsi" w:cs="Arial"/>
              </w:rPr>
            </w:pPr>
            <w:r w:rsidRPr="00C628C4">
              <w:rPr>
                <w:rFonts w:asciiTheme="majorHAnsi" w:hAnsiTheme="majorHAnsi" w:cs="Arial"/>
              </w:rPr>
              <w:t>19</w:t>
            </w:r>
          </w:p>
        </w:tc>
        <w:tc>
          <w:tcPr>
            <w:tcW w:w="1385" w:type="dxa"/>
          </w:tcPr>
          <w:p w:rsidR="00E2360B" w:rsidRPr="00C628C4" w:rsidRDefault="00E2360B" w:rsidP="00DF5C45">
            <w:pPr>
              <w:spacing w:before="120" w:after="120"/>
              <w:jc w:val="center"/>
              <w:rPr>
                <w:rFonts w:asciiTheme="majorHAnsi" w:hAnsiTheme="majorHAnsi" w:cs="Arial"/>
              </w:rPr>
            </w:pPr>
            <w:r w:rsidRPr="00C628C4">
              <w:rPr>
                <w:rFonts w:asciiTheme="majorHAnsi" w:hAnsiTheme="majorHAnsi" w:cs="Arial"/>
              </w:rPr>
              <w:t>$7,834.88</w:t>
            </w:r>
          </w:p>
        </w:tc>
        <w:tc>
          <w:tcPr>
            <w:tcW w:w="1335" w:type="dxa"/>
          </w:tcPr>
          <w:p w:rsidR="00E2360B" w:rsidRPr="00C628C4" w:rsidRDefault="00E2360B" w:rsidP="00DF5C45">
            <w:pPr>
              <w:spacing w:before="120" w:after="120"/>
              <w:jc w:val="center"/>
              <w:rPr>
                <w:rFonts w:asciiTheme="majorHAnsi" w:hAnsiTheme="majorHAnsi" w:cs="Arial"/>
              </w:rPr>
            </w:pPr>
            <w:r w:rsidRPr="00C628C4">
              <w:rPr>
                <w:rFonts w:asciiTheme="majorHAnsi" w:hAnsiTheme="majorHAnsi" w:cs="Arial"/>
              </w:rPr>
              <w:t>58.4</w:t>
            </w:r>
          </w:p>
        </w:tc>
        <w:tc>
          <w:tcPr>
            <w:tcW w:w="1042" w:type="dxa"/>
          </w:tcPr>
          <w:p w:rsidR="00E2360B" w:rsidRPr="00C628C4" w:rsidRDefault="00E2360B" w:rsidP="00DF5C45">
            <w:pPr>
              <w:spacing w:before="120" w:after="120"/>
              <w:jc w:val="center"/>
              <w:rPr>
                <w:rFonts w:asciiTheme="majorHAnsi" w:hAnsiTheme="majorHAnsi" w:cs="Arial"/>
              </w:rPr>
            </w:pPr>
            <w:r w:rsidRPr="00C628C4">
              <w:rPr>
                <w:rFonts w:asciiTheme="majorHAnsi" w:hAnsiTheme="majorHAnsi" w:cs="Arial"/>
              </w:rPr>
              <w:t>0.7086</w:t>
            </w:r>
          </w:p>
        </w:tc>
        <w:tc>
          <w:tcPr>
            <w:tcW w:w="1212" w:type="dxa"/>
          </w:tcPr>
          <w:p w:rsidR="00E2360B" w:rsidRPr="00C628C4" w:rsidRDefault="00E2360B" w:rsidP="00DF5C45">
            <w:pPr>
              <w:spacing w:before="120" w:after="120"/>
              <w:jc w:val="center"/>
              <w:rPr>
                <w:rFonts w:asciiTheme="majorHAnsi" w:hAnsiTheme="majorHAnsi" w:cs="Arial"/>
              </w:rPr>
            </w:pPr>
            <w:r w:rsidRPr="00C628C4">
              <w:rPr>
                <w:rFonts w:asciiTheme="majorHAnsi" w:hAnsiTheme="majorHAnsi" w:cs="Arial"/>
              </w:rPr>
              <w:t>0.7086</w:t>
            </w:r>
          </w:p>
        </w:tc>
      </w:tr>
    </w:tbl>
    <w:p w:rsidR="00DF5C45" w:rsidRPr="005E6149" w:rsidRDefault="00DF5C45" w:rsidP="00836916">
      <w:pPr>
        <w:spacing w:before="120" w:after="120"/>
        <w:rPr>
          <w:rFonts w:ascii="Arial" w:hAnsi="Arial" w:cs="Arial"/>
          <w:sz w:val="22"/>
          <w:szCs w:val="22"/>
        </w:rPr>
      </w:pPr>
    </w:p>
    <w:p w:rsidR="00026D38" w:rsidRPr="005E6149" w:rsidRDefault="00D75EF3" w:rsidP="00836916">
      <w:pPr>
        <w:spacing w:before="120" w:after="120"/>
        <w:rPr>
          <w:rFonts w:ascii="Arial" w:hAnsi="Arial" w:cs="Arial"/>
          <w:sz w:val="22"/>
          <w:szCs w:val="22"/>
        </w:rPr>
      </w:pPr>
      <w:r w:rsidRPr="005E6149">
        <w:rPr>
          <w:rFonts w:ascii="Arial" w:hAnsi="Arial" w:cs="Arial"/>
          <w:sz w:val="22"/>
          <w:szCs w:val="22"/>
        </w:rPr>
        <w:t xml:space="preserve">Table 10.2 </w:t>
      </w:r>
      <w:proofErr w:type="spellStart"/>
      <w:r w:rsidRPr="005E6149">
        <w:rPr>
          <w:rFonts w:ascii="Arial" w:hAnsi="Arial" w:cs="Arial"/>
          <w:sz w:val="22"/>
          <w:szCs w:val="22"/>
        </w:rPr>
        <w:t>summarises</w:t>
      </w:r>
      <w:proofErr w:type="spellEnd"/>
      <w:r w:rsidRPr="005E6149">
        <w:rPr>
          <w:rFonts w:ascii="Arial" w:hAnsi="Arial" w:cs="Arial"/>
          <w:sz w:val="22"/>
          <w:szCs w:val="22"/>
        </w:rPr>
        <w:t xml:space="preserve"> the outputs of the analysis of variance generated from the correlation analyses of </w:t>
      </w:r>
      <w:r w:rsidR="002254F9" w:rsidRPr="005E6149">
        <w:rPr>
          <w:rFonts w:ascii="Arial" w:hAnsi="Arial" w:cs="Arial"/>
          <w:sz w:val="22"/>
          <w:szCs w:val="22"/>
        </w:rPr>
        <w:t>twenty</w:t>
      </w:r>
      <w:r w:rsidRPr="005E6149">
        <w:rPr>
          <w:rFonts w:ascii="Arial" w:hAnsi="Arial" w:cs="Arial"/>
          <w:sz w:val="22"/>
          <w:szCs w:val="22"/>
        </w:rPr>
        <w:t xml:space="preserve"> variables</w:t>
      </w:r>
      <w:r w:rsidR="00D873D2">
        <w:rPr>
          <w:rFonts w:ascii="Arial" w:hAnsi="Arial" w:cs="Arial"/>
          <w:sz w:val="22"/>
          <w:szCs w:val="22"/>
        </w:rPr>
        <w:t xml:space="preserve">. </w:t>
      </w:r>
      <w:r w:rsidR="00026D38" w:rsidRPr="005E6149">
        <w:rPr>
          <w:rFonts w:ascii="Arial" w:hAnsi="Arial" w:cs="Arial"/>
          <w:sz w:val="22"/>
          <w:szCs w:val="22"/>
        </w:rPr>
        <w:t>Greater compliance in the reporting of these variables is required in the future if improved inferences are to be drawn regarding the cause for differing cost profiles between patient cohorts, across various jurisdictions or within specific services.</w:t>
      </w:r>
    </w:p>
    <w:p w:rsidR="00181183" w:rsidRPr="005E6149" w:rsidRDefault="00181183" w:rsidP="00836916">
      <w:pPr>
        <w:spacing w:before="120" w:after="120"/>
        <w:rPr>
          <w:rFonts w:ascii="Arial" w:hAnsi="Arial" w:cs="Arial"/>
          <w:sz w:val="22"/>
          <w:szCs w:val="22"/>
        </w:rPr>
      </w:pPr>
      <w:r w:rsidRPr="005E6149">
        <w:rPr>
          <w:rFonts w:ascii="Arial" w:hAnsi="Arial" w:cs="Arial"/>
          <w:sz w:val="22"/>
          <w:szCs w:val="22"/>
        </w:rPr>
        <w:t xml:space="preserve">The data </w:t>
      </w:r>
      <w:r w:rsidR="00026D38" w:rsidRPr="005E6149">
        <w:rPr>
          <w:rFonts w:ascii="Arial" w:hAnsi="Arial" w:cs="Arial"/>
          <w:sz w:val="22"/>
          <w:szCs w:val="22"/>
        </w:rPr>
        <w:t xml:space="preserve">reaffirms </w:t>
      </w:r>
      <w:r w:rsidR="00F40FD2" w:rsidRPr="005E6149">
        <w:rPr>
          <w:rFonts w:ascii="Arial" w:hAnsi="Arial" w:cs="Arial"/>
          <w:sz w:val="22"/>
          <w:szCs w:val="22"/>
        </w:rPr>
        <w:t>the expected</w:t>
      </w:r>
      <w:r w:rsidRPr="005E6149">
        <w:rPr>
          <w:rFonts w:ascii="Arial" w:hAnsi="Arial" w:cs="Arial"/>
          <w:sz w:val="22"/>
          <w:szCs w:val="22"/>
        </w:rPr>
        <w:t xml:space="preserve"> relationship between usual residence of the patient and the location of the treating hospital</w:t>
      </w:r>
      <w:r w:rsidR="00D873D2">
        <w:rPr>
          <w:rFonts w:ascii="Arial" w:hAnsi="Arial" w:cs="Arial"/>
          <w:sz w:val="22"/>
          <w:szCs w:val="22"/>
        </w:rPr>
        <w:t xml:space="preserve">. </w:t>
      </w:r>
      <w:r w:rsidRPr="005E6149">
        <w:rPr>
          <w:rFonts w:ascii="Arial" w:hAnsi="Arial" w:cs="Arial"/>
          <w:sz w:val="22"/>
          <w:szCs w:val="22"/>
        </w:rPr>
        <w:t xml:space="preserve">It shows people who live in major cities and inner regional locations across Australia tend to be treated in </w:t>
      </w:r>
      <w:r w:rsidR="00D4233B" w:rsidRPr="005E6149">
        <w:rPr>
          <w:rFonts w:ascii="Arial" w:hAnsi="Arial" w:cs="Arial"/>
          <w:sz w:val="22"/>
          <w:szCs w:val="22"/>
        </w:rPr>
        <w:t xml:space="preserve">a </w:t>
      </w:r>
      <w:r w:rsidRPr="005E6149">
        <w:rPr>
          <w:rFonts w:ascii="Arial" w:hAnsi="Arial" w:cs="Arial"/>
          <w:sz w:val="22"/>
          <w:szCs w:val="22"/>
        </w:rPr>
        <w:t xml:space="preserve">hospital that </w:t>
      </w:r>
      <w:r w:rsidR="00D4233B" w:rsidRPr="005E6149">
        <w:rPr>
          <w:rFonts w:ascii="Arial" w:hAnsi="Arial" w:cs="Arial"/>
          <w:sz w:val="22"/>
          <w:szCs w:val="22"/>
        </w:rPr>
        <w:t>is</w:t>
      </w:r>
      <w:r w:rsidRPr="005E6149">
        <w:rPr>
          <w:rFonts w:ascii="Arial" w:hAnsi="Arial" w:cs="Arial"/>
          <w:sz w:val="22"/>
          <w:szCs w:val="22"/>
        </w:rPr>
        <w:t xml:space="preserve"> located in the same geographic location, whilst for people living in remote Australia the relationship is less evident</w:t>
      </w:r>
      <w:r w:rsidR="00D4233B" w:rsidRPr="005E6149">
        <w:rPr>
          <w:rFonts w:ascii="Arial" w:hAnsi="Arial" w:cs="Arial"/>
          <w:sz w:val="22"/>
          <w:szCs w:val="22"/>
        </w:rPr>
        <w:t>,</w:t>
      </w:r>
      <w:r w:rsidRPr="005E6149">
        <w:rPr>
          <w:rFonts w:ascii="Arial" w:hAnsi="Arial" w:cs="Arial"/>
          <w:sz w:val="22"/>
          <w:szCs w:val="22"/>
        </w:rPr>
        <w:t xml:space="preserve"> suggesting that they move to hospitals outside of their geographic area for treatment</w:t>
      </w:r>
      <w:r w:rsidR="00D873D2">
        <w:rPr>
          <w:rFonts w:ascii="Arial" w:hAnsi="Arial" w:cs="Arial"/>
          <w:sz w:val="22"/>
          <w:szCs w:val="22"/>
        </w:rPr>
        <w:t xml:space="preserve">. </w:t>
      </w:r>
      <w:r w:rsidRPr="005E6149">
        <w:rPr>
          <w:rFonts w:ascii="Arial" w:hAnsi="Arial" w:cs="Arial"/>
          <w:sz w:val="22"/>
          <w:szCs w:val="22"/>
        </w:rPr>
        <w:t>This data supports earlier conjectures in the literature about people who live in remote locations having to travel to inner regional or major metropolitan hospitals for services.</w:t>
      </w:r>
    </w:p>
    <w:p w:rsidR="00A44423" w:rsidRPr="005E6149" w:rsidRDefault="00355C45" w:rsidP="00A44423">
      <w:pPr>
        <w:spacing w:before="120" w:after="120"/>
        <w:rPr>
          <w:rFonts w:ascii="Arial" w:hAnsi="Arial" w:cs="Arial"/>
          <w:sz w:val="22"/>
          <w:szCs w:val="22"/>
        </w:rPr>
      </w:pPr>
      <w:r w:rsidRPr="005E6149">
        <w:rPr>
          <w:rFonts w:ascii="Arial" w:hAnsi="Arial" w:cs="Arial"/>
          <w:sz w:val="22"/>
          <w:szCs w:val="22"/>
        </w:rPr>
        <w:t>“</w:t>
      </w:r>
      <w:r w:rsidR="00181183" w:rsidRPr="005E6149">
        <w:rPr>
          <w:rFonts w:ascii="Arial" w:hAnsi="Arial" w:cs="Arial"/>
          <w:sz w:val="22"/>
          <w:szCs w:val="22"/>
        </w:rPr>
        <w:t>Indigenous Flag = 1</w:t>
      </w:r>
      <w:r w:rsidRPr="005E6149">
        <w:rPr>
          <w:rFonts w:ascii="Arial" w:hAnsi="Arial" w:cs="Arial"/>
          <w:sz w:val="22"/>
          <w:szCs w:val="22"/>
        </w:rPr>
        <w:t>”</w:t>
      </w:r>
      <w:r w:rsidR="00181183" w:rsidRPr="005E6149">
        <w:rPr>
          <w:rFonts w:ascii="Arial" w:hAnsi="Arial" w:cs="Arial"/>
          <w:sz w:val="22"/>
          <w:szCs w:val="22"/>
        </w:rPr>
        <w:t xml:space="preserve"> was used to identify Indigenous patients and </w:t>
      </w:r>
      <w:r w:rsidR="00D4233B" w:rsidRPr="005E6149">
        <w:rPr>
          <w:rFonts w:ascii="Arial" w:hAnsi="Arial" w:cs="Arial"/>
          <w:sz w:val="22"/>
          <w:szCs w:val="22"/>
        </w:rPr>
        <w:t>“</w:t>
      </w:r>
      <w:r w:rsidR="00181183" w:rsidRPr="005E6149">
        <w:rPr>
          <w:rFonts w:ascii="Arial" w:hAnsi="Arial" w:cs="Arial"/>
          <w:sz w:val="22"/>
          <w:szCs w:val="22"/>
        </w:rPr>
        <w:t>0</w:t>
      </w:r>
      <w:r w:rsidR="00D4233B" w:rsidRPr="005E6149">
        <w:rPr>
          <w:rFonts w:ascii="Arial" w:hAnsi="Arial" w:cs="Arial"/>
          <w:sz w:val="22"/>
          <w:szCs w:val="22"/>
        </w:rPr>
        <w:t>”</w:t>
      </w:r>
      <w:r w:rsidR="00181183" w:rsidRPr="005E6149">
        <w:rPr>
          <w:rFonts w:ascii="Arial" w:hAnsi="Arial" w:cs="Arial"/>
          <w:sz w:val="22"/>
          <w:szCs w:val="22"/>
        </w:rPr>
        <w:t xml:space="preserve"> for </w:t>
      </w:r>
      <w:r w:rsidR="0018326F">
        <w:rPr>
          <w:rFonts w:ascii="Arial" w:hAnsi="Arial" w:cs="Arial"/>
          <w:sz w:val="22"/>
          <w:szCs w:val="22"/>
        </w:rPr>
        <w:t>n</w:t>
      </w:r>
      <w:r w:rsidR="007A097D">
        <w:rPr>
          <w:rFonts w:ascii="Arial" w:hAnsi="Arial" w:cs="Arial"/>
          <w:sz w:val="22"/>
          <w:szCs w:val="22"/>
        </w:rPr>
        <w:t>on-Indigenous</w:t>
      </w:r>
      <w:r w:rsidR="00181183" w:rsidRPr="005E6149">
        <w:rPr>
          <w:rFonts w:ascii="Arial" w:hAnsi="Arial" w:cs="Arial"/>
          <w:sz w:val="22"/>
          <w:szCs w:val="22"/>
        </w:rPr>
        <w:t xml:space="preserve"> patients</w:t>
      </w:r>
      <w:r w:rsidR="00D873D2">
        <w:rPr>
          <w:rFonts w:ascii="Arial" w:hAnsi="Arial" w:cs="Arial"/>
          <w:sz w:val="22"/>
          <w:szCs w:val="22"/>
        </w:rPr>
        <w:t xml:space="preserve">. </w:t>
      </w:r>
      <w:r w:rsidR="00181183" w:rsidRPr="005E6149">
        <w:rPr>
          <w:rFonts w:ascii="Arial" w:hAnsi="Arial" w:cs="Arial"/>
          <w:sz w:val="22"/>
          <w:szCs w:val="22"/>
        </w:rPr>
        <w:t xml:space="preserve">The inverse relationship between </w:t>
      </w:r>
      <w:r w:rsidR="00B010CE" w:rsidRPr="005E6149">
        <w:rPr>
          <w:rFonts w:ascii="Arial" w:hAnsi="Arial" w:cs="Arial"/>
          <w:sz w:val="22"/>
          <w:szCs w:val="22"/>
        </w:rPr>
        <w:t>“</w:t>
      </w:r>
      <w:r w:rsidR="00181183" w:rsidRPr="005E6149">
        <w:rPr>
          <w:rFonts w:ascii="Arial" w:hAnsi="Arial" w:cs="Arial"/>
          <w:sz w:val="22"/>
          <w:szCs w:val="22"/>
        </w:rPr>
        <w:t>Indigenous Flag</w:t>
      </w:r>
      <w:r w:rsidR="00B010CE" w:rsidRPr="005E6149">
        <w:rPr>
          <w:rFonts w:ascii="Arial" w:hAnsi="Arial" w:cs="Arial"/>
          <w:sz w:val="22"/>
          <w:szCs w:val="22"/>
        </w:rPr>
        <w:t>”</w:t>
      </w:r>
      <w:r w:rsidR="00181183" w:rsidRPr="005E6149">
        <w:rPr>
          <w:rFonts w:ascii="Arial" w:hAnsi="Arial" w:cs="Arial"/>
          <w:sz w:val="22"/>
          <w:szCs w:val="22"/>
        </w:rPr>
        <w:t xml:space="preserve"> and </w:t>
      </w:r>
      <w:r w:rsidR="00B010CE" w:rsidRPr="005E6149">
        <w:rPr>
          <w:rFonts w:ascii="Arial" w:hAnsi="Arial" w:cs="Arial"/>
          <w:sz w:val="22"/>
          <w:szCs w:val="22"/>
        </w:rPr>
        <w:t xml:space="preserve">“Total Diagnoses” suggests that </w:t>
      </w:r>
      <w:r w:rsidR="0018326F">
        <w:rPr>
          <w:rFonts w:ascii="Arial" w:hAnsi="Arial" w:cs="Arial"/>
          <w:sz w:val="22"/>
          <w:szCs w:val="22"/>
        </w:rPr>
        <w:t>n</w:t>
      </w:r>
      <w:r w:rsidR="007A097D">
        <w:rPr>
          <w:rFonts w:ascii="Arial" w:hAnsi="Arial" w:cs="Arial"/>
          <w:sz w:val="22"/>
          <w:szCs w:val="22"/>
        </w:rPr>
        <w:t>on-Indigenous</w:t>
      </w:r>
      <w:r w:rsidR="00B010CE" w:rsidRPr="005E6149">
        <w:rPr>
          <w:rFonts w:ascii="Arial" w:hAnsi="Arial" w:cs="Arial"/>
          <w:sz w:val="22"/>
          <w:szCs w:val="22"/>
        </w:rPr>
        <w:t xml:space="preserve"> patients have a higher number of diagnoses reported than Indigenous patients and that this influences the total cost of service delivery. Equally, the positive correlation between “Indigenous Flag” and “Total Procedures” suggests that more procedure codes are reported for Indigenous patients than </w:t>
      </w:r>
      <w:r w:rsidR="0018326F">
        <w:rPr>
          <w:rFonts w:ascii="Arial" w:hAnsi="Arial" w:cs="Arial"/>
          <w:sz w:val="22"/>
          <w:szCs w:val="22"/>
        </w:rPr>
        <w:t>n</w:t>
      </w:r>
      <w:r w:rsidR="007A097D">
        <w:rPr>
          <w:rFonts w:ascii="Arial" w:hAnsi="Arial" w:cs="Arial"/>
          <w:sz w:val="22"/>
          <w:szCs w:val="22"/>
        </w:rPr>
        <w:t>on-Indigenous</w:t>
      </w:r>
      <w:r w:rsidR="00B010CE" w:rsidRPr="005E6149">
        <w:rPr>
          <w:rFonts w:ascii="Arial" w:hAnsi="Arial" w:cs="Arial"/>
          <w:sz w:val="22"/>
          <w:szCs w:val="22"/>
        </w:rPr>
        <w:t xml:space="preserve"> patients and that this impacts upon the cost of service delivery</w:t>
      </w:r>
      <w:r w:rsidR="00D873D2">
        <w:rPr>
          <w:rFonts w:ascii="Arial" w:hAnsi="Arial" w:cs="Arial"/>
          <w:sz w:val="22"/>
          <w:szCs w:val="22"/>
        </w:rPr>
        <w:t xml:space="preserve">. </w:t>
      </w:r>
      <w:r w:rsidR="00D4233B" w:rsidRPr="005E6149">
        <w:rPr>
          <w:rFonts w:ascii="Arial" w:hAnsi="Arial" w:cs="Arial"/>
          <w:sz w:val="22"/>
          <w:szCs w:val="22"/>
        </w:rPr>
        <w:t>This latter result is contrary to some of the findings of the literature review.</w:t>
      </w:r>
      <w:r w:rsidR="00A44423" w:rsidRPr="005E6149">
        <w:rPr>
          <w:rFonts w:ascii="Arial" w:hAnsi="Arial" w:cs="Arial"/>
          <w:sz w:val="22"/>
          <w:szCs w:val="22"/>
        </w:rPr>
        <w:t xml:space="preserve"> </w:t>
      </w:r>
    </w:p>
    <w:p w:rsidR="00C8467A" w:rsidRPr="005E6149" w:rsidRDefault="003F5FCC" w:rsidP="00836916">
      <w:pPr>
        <w:spacing w:before="120" w:after="120"/>
        <w:rPr>
          <w:rFonts w:ascii="Arial" w:hAnsi="Arial" w:cs="Arial"/>
          <w:sz w:val="22"/>
          <w:szCs w:val="22"/>
        </w:rPr>
      </w:pPr>
      <w:r w:rsidRPr="005E6149">
        <w:rPr>
          <w:rFonts w:ascii="Arial" w:hAnsi="Arial" w:cs="Arial"/>
          <w:sz w:val="22"/>
          <w:szCs w:val="22"/>
        </w:rPr>
        <w:t>The adjusted R</w:t>
      </w:r>
      <w:r w:rsidRPr="005E6149">
        <w:rPr>
          <w:rFonts w:ascii="Arial" w:hAnsi="Arial" w:cs="Arial"/>
          <w:sz w:val="22"/>
          <w:szCs w:val="22"/>
          <w:vertAlign w:val="superscript"/>
        </w:rPr>
        <w:t>2</w:t>
      </w:r>
      <w:r w:rsidRPr="005E6149">
        <w:rPr>
          <w:rFonts w:ascii="Arial" w:hAnsi="Arial" w:cs="Arial"/>
          <w:sz w:val="22"/>
          <w:szCs w:val="22"/>
        </w:rPr>
        <w:t xml:space="preserve"> value, (the preferred statistics</w:t>
      </w:r>
      <w:r w:rsidR="00D4233B" w:rsidRPr="005E6149">
        <w:rPr>
          <w:rFonts w:ascii="Arial" w:hAnsi="Arial" w:cs="Arial"/>
          <w:sz w:val="22"/>
          <w:szCs w:val="22"/>
        </w:rPr>
        <w:t xml:space="preserve">) </w:t>
      </w:r>
      <w:r w:rsidR="00C8467A" w:rsidRPr="005E6149">
        <w:rPr>
          <w:rFonts w:ascii="Arial" w:hAnsi="Arial" w:cs="Arial"/>
          <w:sz w:val="22"/>
          <w:szCs w:val="22"/>
        </w:rPr>
        <w:t>as it is a conservative figure, adjusted down in recognition of the fact that we are considering a large number of potential cost drivers</w:t>
      </w:r>
      <w:r w:rsidR="00D873D2">
        <w:rPr>
          <w:rFonts w:ascii="Arial" w:hAnsi="Arial" w:cs="Arial"/>
          <w:sz w:val="22"/>
          <w:szCs w:val="22"/>
        </w:rPr>
        <w:t xml:space="preserve">. </w:t>
      </w:r>
      <w:r w:rsidR="00C8467A" w:rsidRPr="005E6149">
        <w:rPr>
          <w:rFonts w:ascii="Arial" w:hAnsi="Arial" w:cs="Arial"/>
          <w:sz w:val="22"/>
          <w:szCs w:val="22"/>
        </w:rPr>
        <w:t>The value ranges between 0 and 1, and the higher the value the better the fit of the linear model (i.e. less likelihood that the predicted values obtained through the linear equation will differ significantly to the actual observed values)</w:t>
      </w:r>
      <w:r w:rsidR="00D873D2">
        <w:rPr>
          <w:rFonts w:ascii="Arial" w:hAnsi="Arial" w:cs="Arial"/>
          <w:sz w:val="22"/>
          <w:szCs w:val="22"/>
        </w:rPr>
        <w:t xml:space="preserve">. </w:t>
      </w:r>
    </w:p>
    <w:p w:rsidR="001F629E" w:rsidRPr="005E6149" w:rsidRDefault="00CC6C61" w:rsidP="00836916">
      <w:pPr>
        <w:spacing w:before="120" w:after="120"/>
        <w:rPr>
          <w:rFonts w:ascii="Arial" w:hAnsi="Arial" w:cs="Arial"/>
          <w:i/>
          <w:sz w:val="22"/>
          <w:szCs w:val="22"/>
        </w:rPr>
      </w:pPr>
      <w:r w:rsidRPr="005E6149">
        <w:rPr>
          <w:rFonts w:ascii="Arial" w:hAnsi="Arial" w:cs="Arial"/>
          <w:sz w:val="22"/>
          <w:szCs w:val="22"/>
        </w:rPr>
        <w:lastRenderedPageBreak/>
        <w:t>Table 10.</w:t>
      </w:r>
      <w:r w:rsidR="00DF5C45" w:rsidRPr="005E6149">
        <w:rPr>
          <w:rFonts w:ascii="Arial" w:hAnsi="Arial" w:cs="Arial"/>
          <w:sz w:val="22"/>
          <w:szCs w:val="22"/>
        </w:rPr>
        <w:t>3</w:t>
      </w:r>
      <w:r w:rsidRPr="005E6149">
        <w:rPr>
          <w:rFonts w:ascii="Arial" w:hAnsi="Arial" w:cs="Arial"/>
          <w:sz w:val="22"/>
          <w:szCs w:val="22"/>
        </w:rPr>
        <w:t xml:space="preserve"> </w:t>
      </w:r>
      <w:proofErr w:type="spellStart"/>
      <w:r w:rsidRPr="005E6149">
        <w:rPr>
          <w:rFonts w:ascii="Arial" w:hAnsi="Arial" w:cs="Arial"/>
          <w:sz w:val="22"/>
          <w:szCs w:val="22"/>
        </w:rPr>
        <w:t>summarises</w:t>
      </w:r>
      <w:proofErr w:type="spellEnd"/>
      <w:r w:rsidRPr="005E6149">
        <w:rPr>
          <w:rFonts w:ascii="Arial" w:hAnsi="Arial" w:cs="Arial"/>
          <w:sz w:val="22"/>
          <w:szCs w:val="22"/>
        </w:rPr>
        <w:t xml:space="preserve"> the outputs of the</w:t>
      </w:r>
      <w:r w:rsidR="00280C85" w:rsidRPr="005E6149">
        <w:rPr>
          <w:rFonts w:ascii="Arial" w:hAnsi="Arial" w:cs="Arial"/>
          <w:sz w:val="22"/>
          <w:szCs w:val="22"/>
        </w:rPr>
        <w:t xml:space="preserve"> regression analyses </w:t>
      </w:r>
      <w:r w:rsidRPr="005E6149">
        <w:rPr>
          <w:rFonts w:ascii="Arial" w:hAnsi="Arial" w:cs="Arial"/>
          <w:sz w:val="22"/>
          <w:szCs w:val="22"/>
        </w:rPr>
        <w:t xml:space="preserve">which </w:t>
      </w:r>
      <w:r w:rsidR="00280C85" w:rsidRPr="005E6149">
        <w:rPr>
          <w:rFonts w:ascii="Arial" w:hAnsi="Arial" w:cs="Arial"/>
          <w:sz w:val="22"/>
          <w:szCs w:val="22"/>
        </w:rPr>
        <w:t>identified the contribution towards the overall prediction of the total cost of service delivery</w:t>
      </w:r>
      <w:r w:rsidR="006161B9" w:rsidRPr="005E6149">
        <w:rPr>
          <w:rFonts w:ascii="Arial" w:hAnsi="Arial" w:cs="Arial"/>
          <w:sz w:val="22"/>
          <w:szCs w:val="22"/>
        </w:rPr>
        <w:t xml:space="preserve"> for patient </w:t>
      </w:r>
      <w:proofErr w:type="spellStart"/>
      <w:r w:rsidR="006161B9" w:rsidRPr="005E6149">
        <w:rPr>
          <w:rFonts w:ascii="Arial" w:hAnsi="Arial" w:cs="Arial"/>
          <w:i/>
          <w:sz w:val="22"/>
          <w:szCs w:val="22"/>
        </w:rPr>
        <w:t>i</w:t>
      </w:r>
      <w:proofErr w:type="spellEnd"/>
      <w:r w:rsidR="006161B9" w:rsidRPr="005E6149">
        <w:rPr>
          <w:rFonts w:ascii="Arial" w:hAnsi="Arial" w:cs="Arial"/>
          <w:sz w:val="22"/>
          <w:szCs w:val="22"/>
        </w:rPr>
        <w:t xml:space="preserve"> treated in hospital </w:t>
      </w:r>
      <w:r w:rsidR="006161B9" w:rsidRPr="005E6149">
        <w:rPr>
          <w:rFonts w:ascii="Arial" w:hAnsi="Arial" w:cs="Arial"/>
          <w:i/>
          <w:sz w:val="22"/>
          <w:szCs w:val="22"/>
        </w:rPr>
        <w:t>j</w:t>
      </w:r>
      <w:r w:rsidRPr="005E6149">
        <w:rPr>
          <w:rFonts w:ascii="Arial" w:hAnsi="Arial" w:cs="Arial"/>
          <w:i/>
          <w:sz w:val="22"/>
          <w:szCs w:val="22"/>
        </w:rPr>
        <w:t>.</w:t>
      </w:r>
    </w:p>
    <w:p w:rsidR="00CC6C61" w:rsidRPr="005E6149" w:rsidRDefault="00CC6C61" w:rsidP="00CC6C61">
      <w:pPr>
        <w:pStyle w:val="TableCaption"/>
        <w:rPr>
          <w:rFonts w:ascii="Arial" w:hAnsi="Arial" w:cs="Arial"/>
          <w:sz w:val="18"/>
          <w:szCs w:val="18"/>
        </w:rPr>
      </w:pPr>
      <w:bookmarkStart w:id="83" w:name="_Toc278480692"/>
      <w:r w:rsidRPr="005E6149">
        <w:rPr>
          <w:rFonts w:ascii="Arial" w:hAnsi="Arial" w:cs="Arial"/>
          <w:sz w:val="18"/>
          <w:szCs w:val="18"/>
        </w:rPr>
        <w:t xml:space="preserve">Table 10.3: Cost driver contributions to predicting total cost of service delivery for patient </w:t>
      </w:r>
      <w:proofErr w:type="spellStart"/>
      <w:r w:rsidRPr="005E6149">
        <w:rPr>
          <w:rFonts w:ascii="Arial" w:hAnsi="Arial" w:cs="Arial"/>
          <w:i/>
          <w:sz w:val="18"/>
          <w:szCs w:val="18"/>
        </w:rPr>
        <w:t>i</w:t>
      </w:r>
      <w:proofErr w:type="spellEnd"/>
      <w:r w:rsidRPr="005E6149">
        <w:rPr>
          <w:rFonts w:ascii="Arial" w:hAnsi="Arial" w:cs="Arial"/>
          <w:sz w:val="18"/>
          <w:szCs w:val="18"/>
        </w:rPr>
        <w:t xml:space="preserve"> treated in hospital </w:t>
      </w:r>
      <w:r w:rsidRPr="005E6149">
        <w:rPr>
          <w:rFonts w:ascii="Arial" w:hAnsi="Arial" w:cs="Arial"/>
          <w:i/>
          <w:sz w:val="18"/>
          <w:szCs w:val="18"/>
        </w:rPr>
        <w:t>j</w:t>
      </w:r>
      <w:r w:rsidRPr="005E6149">
        <w:rPr>
          <w:rFonts w:ascii="Arial" w:hAnsi="Arial" w:cs="Arial"/>
          <w:sz w:val="18"/>
          <w:szCs w:val="18"/>
        </w:rPr>
        <w:t xml:space="preserve"> – overnight acute admitted services</w:t>
      </w:r>
      <w:bookmarkEnd w:id="83"/>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3: Cost driver contributions to predicting total cost of service delivery for patient "/>
      </w:tblPr>
      <w:tblGrid>
        <w:gridCol w:w="6856"/>
        <w:gridCol w:w="1217"/>
      </w:tblGrid>
      <w:tr w:rsidR="003B4D31" w:rsidRPr="002019C1" w:rsidTr="005C4770">
        <w:trPr>
          <w:trHeight w:val="280"/>
          <w:jc w:val="center"/>
        </w:trPr>
        <w:tc>
          <w:tcPr>
            <w:tcW w:w="6856" w:type="dxa"/>
            <w:shd w:val="clear" w:color="auto" w:fill="CCCCCC"/>
            <w:vAlign w:val="bottom"/>
            <w:hideMark/>
          </w:tcPr>
          <w:p w:rsidR="003B4D31" w:rsidRPr="00C628C4" w:rsidRDefault="003B4D31" w:rsidP="00AF3845">
            <w:pPr>
              <w:rPr>
                <w:rFonts w:asciiTheme="majorHAnsi" w:eastAsia="Times New Roman" w:hAnsiTheme="majorHAnsi" w:cs="Arial"/>
                <w:b/>
                <w:bCs/>
                <w:color w:val="000000" w:themeColor="text1"/>
                <w:sz w:val="20"/>
                <w:szCs w:val="20"/>
                <w:lang w:val="en-AU"/>
              </w:rPr>
            </w:pPr>
            <w:r w:rsidRPr="00C628C4">
              <w:rPr>
                <w:rFonts w:asciiTheme="majorHAnsi" w:eastAsia="Times New Roman" w:hAnsiTheme="majorHAnsi" w:cs="Arial"/>
                <w:b/>
                <w:bCs/>
                <w:color w:val="000000" w:themeColor="text1"/>
                <w:sz w:val="20"/>
                <w:szCs w:val="20"/>
                <w:lang w:val="en-AU"/>
              </w:rPr>
              <w:t>Variable</w:t>
            </w:r>
          </w:p>
        </w:tc>
        <w:tc>
          <w:tcPr>
            <w:tcW w:w="1217" w:type="dxa"/>
            <w:shd w:val="clear" w:color="auto" w:fill="CCCCCC"/>
            <w:noWrap/>
            <w:vAlign w:val="bottom"/>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Estimate</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Hospital geographical Indicator</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$67.64</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Gender</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$154.49</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Age in years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$9.34</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Age in days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$3.11</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Indigenous Flag</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$53.30</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Urgency of Admission</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$33.92</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Admission Mode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$209.77</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Separation Mode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$0.05</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Length of Stay</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$843.86</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Total Diagnoses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$65.06</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Total Procedures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$1,252.31</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Length of Stay in Intensive Care Unit(hrs)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$54.75</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Hours on mechanical ventilation support(hrs)</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$42.53</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Hospital Scale (=total number of overnight separations for hospital j)</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000000"/>
                <w:sz w:val="20"/>
                <w:szCs w:val="20"/>
                <w:lang w:val="en-AU"/>
              </w:rPr>
              <w:t>$0.04</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Inner Regional Australia = 1 (usual place of residence)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$1,415.36</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Major Cities of Australia = 1 (usual place of residence)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$1,938.63</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Outer Regional Australia = 1 (usual place of residence)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$666.54</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Remote Australia = (usual place of residence)</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$147.61</w:t>
            </w:r>
          </w:p>
        </w:tc>
      </w:tr>
      <w:tr w:rsidR="003B4D31" w:rsidRPr="002019C1" w:rsidTr="005C4770">
        <w:trPr>
          <w:trHeight w:val="280"/>
          <w:jc w:val="center"/>
        </w:trPr>
        <w:tc>
          <w:tcPr>
            <w:tcW w:w="6856" w:type="dxa"/>
            <w:shd w:val="clear" w:color="000000" w:fill="EDF2F9"/>
            <w:noWrap/>
            <w:hideMark/>
          </w:tcPr>
          <w:p w:rsidR="003B4D31" w:rsidRPr="00C628C4" w:rsidRDefault="003B4D31" w:rsidP="00AF3845">
            <w:pPr>
              <w:rPr>
                <w:rFonts w:asciiTheme="majorHAnsi" w:eastAsia="Times New Roman" w:hAnsiTheme="majorHAnsi" w:cs="Arial"/>
                <w:b/>
                <w:bCs/>
                <w:color w:val="000000"/>
                <w:sz w:val="20"/>
                <w:szCs w:val="20"/>
                <w:lang w:val="en-AU"/>
              </w:rPr>
            </w:pPr>
            <w:r w:rsidRPr="00C628C4">
              <w:rPr>
                <w:rFonts w:asciiTheme="majorHAnsi" w:eastAsia="Times New Roman" w:hAnsiTheme="majorHAnsi" w:cs="Arial"/>
                <w:b/>
                <w:bCs/>
                <w:color w:val="000000"/>
                <w:sz w:val="20"/>
                <w:szCs w:val="20"/>
                <w:lang w:val="en-AU"/>
              </w:rPr>
              <w:t>Hospital Index</w:t>
            </w:r>
          </w:p>
        </w:tc>
        <w:tc>
          <w:tcPr>
            <w:tcW w:w="1217" w:type="dxa"/>
            <w:shd w:val="clear" w:color="000000" w:fill="FFFFFF"/>
            <w:noWrap/>
            <w:hideMark/>
          </w:tcPr>
          <w:p w:rsidR="003B4D31" w:rsidRPr="00C628C4" w:rsidRDefault="003B4D31" w:rsidP="00AF3845">
            <w:pPr>
              <w:jc w:val="right"/>
              <w:rPr>
                <w:rFonts w:asciiTheme="majorHAnsi" w:eastAsia="Times New Roman" w:hAnsiTheme="majorHAnsi" w:cs="Arial"/>
                <w:color w:val="000000"/>
                <w:sz w:val="20"/>
                <w:szCs w:val="20"/>
                <w:lang w:val="en-AU"/>
              </w:rPr>
            </w:pPr>
            <w:r w:rsidRPr="00C628C4">
              <w:rPr>
                <w:rFonts w:asciiTheme="majorHAnsi" w:eastAsia="Times New Roman" w:hAnsiTheme="majorHAnsi" w:cs="Arial"/>
                <w:color w:val="DD0806"/>
                <w:sz w:val="20"/>
                <w:szCs w:val="20"/>
                <w:lang w:val="en-AU"/>
              </w:rPr>
              <w:t>$313.99</w:t>
            </w:r>
          </w:p>
        </w:tc>
      </w:tr>
    </w:tbl>
    <w:p w:rsidR="00AF3845" w:rsidRPr="005E6149" w:rsidRDefault="00DC2079" w:rsidP="00836916">
      <w:pPr>
        <w:spacing w:before="120" w:after="120"/>
        <w:rPr>
          <w:rFonts w:ascii="Arial" w:hAnsi="Arial" w:cs="Arial"/>
          <w:sz w:val="22"/>
          <w:szCs w:val="22"/>
        </w:rPr>
      </w:pPr>
      <w:r w:rsidRPr="005E6149">
        <w:rPr>
          <w:rFonts w:ascii="Arial" w:hAnsi="Arial" w:cs="Arial"/>
          <w:sz w:val="22"/>
          <w:szCs w:val="22"/>
        </w:rPr>
        <w:t xml:space="preserve">The consultations and literature review suggested that some of these cost drivers have a more pronounced impact upon the Indigenous patient cohort than the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 cohort</w:t>
      </w:r>
      <w:r w:rsidR="00D873D2">
        <w:rPr>
          <w:rFonts w:ascii="Arial" w:hAnsi="Arial" w:cs="Arial"/>
          <w:sz w:val="22"/>
          <w:szCs w:val="22"/>
        </w:rPr>
        <w:t xml:space="preserve">. </w:t>
      </w:r>
      <w:r w:rsidRPr="005E6149">
        <w:rPr>
          <w:rFonts w:ascii="Arial" w:hAnsi="Arial" w:cs="Arial"/>
          <w:sz w:val="22"/>
          <w:szCs w:val="22"/>
        </w:rPr>
        <w:t>To test this hypothesis, the regression analys</w:t>
      </w:r>
      <w:r w:rsidR="006B3B7C" w:rsidRPr="005E6149">
        <w:rPr>
          <w:rFonts w:ascii="Arial" w:hAnsi="Arial" w:cs="Arial"/>
          <w:sz w:val="22"/>
          <w:szCs w:val="22"/>
        </w:rPr>
        <w:t>i</w:t>
      </w:r>
      <w:r w:rsidRPr="005E6149">
        <w:rPr>
          <w:rFonts w:ascii="Arial" w:hAnsi="Arial" w:cs="Arial"/>
          <w:sz w:val="22"/>
          <w:szCs w:val="22"/>
        </w:rPr>
        <w:t>s was grouped by Indigenous status and re-run.</w:t>
      </w:r>
    </w:p>
    <w:p w:rsidR="000A74A6" w:rsidRPr="005E6149" w:rsidRDefault="00414FF9" w:rsidP="00836916">
      <w:pPr>
        <w:spacing w:before="120" w:after="120"/>
        <w:rPr>
          <w:rFonts w:ascii="Arial" w:hAnsi="Arial" w:cs="Arial"/>
          <w:sz w:val="22"/>
          <w:szCs w:val="22"/>
        </w:rPr>
      </w:pPr>
      <w:r w:rsidRPr="005E6149">
        <w:rPr>
          <w:rFonts w:ascii="Arial" w:hAnsi="Arial" w:cs="Arial"/>
          <w:sz w:val="22"/>
          <w:szCs w:val="22"/>
        </w:rPr>
        <w:t>The regression analysis yielded an improved adjusted R</w:t>
      </w:r>
      <w:r w:rsidRPr="005E6149">
        <w:rPr>
          <w:rFonts w:ascii="Arial" w:hAnsi="Arial" w:cs="Arial"/>
          <w:sz w:val="22"/>
          <w:szCs w:val="22"/>
          <w:vertAlign w:val="superscript"/>
        </w:rPr>
        <w:t>2</w:t>
      </w:r>
      <w:r w:rsidRPr="005E6149">
        <w:rPr>
          <w:rFonts w:ascii="Arial" w:hAnsi="Arial" w:cs="Arial"/>
          <w:sz w:val="22"/>
          <w:szCs w:val="22"/>
        </w:rPr>
        <w:t xml:space="preserve"> value for the Indigenous cohort of 0.7346</w:t>
      </w:r>
      <w:r w:rsidR="000A74A6" w:rsidRPr="005E6149">
        <w:rPr>
          <w:rFonts w:ascii="Arial" w:hAnsi="Arial" w:cs="Arial"/>
          <w:sz w:val="22"/>
          <w:szCs w:val="22"/>
        </w:rPr>
        <w:t xml:space="preserve">, however remained relatively unchanged for the </w:t>
      </w:r>
      <w:r w:rsidR="0018326F">
        <w:rPr>
          <w:rFonts w:ascii="Arial" w:hAnsi="Arial" w:cs="Arial"/>
          <w:sz w:val="22"/>
          <w:szCs w:val="22"/>
        </w:rPr>
        <w:t>n</w:t>
      </w:r>
      <w:r w:rsidR="007A097D">
        <w:rPr>
          <w:rFonts w:ascii="Arial" w:hAnsi="Arial" w:cs="Arial"/>
          <w:sz w:val="22"/>
          <w:szCs w:val="22"/>
        </w:rPr>
        <w:t>on-Indigenous</w:t>
      </w:r>
      <w:r w:rsidR="000A74A6" w:rsidRPr="005E6149">
        <w:rPr>
          <w:rFonts w:ascii="Arial" w:hAnsi="Arial" w:cs="Arial"/>
          <w:sz w:val="22"/>
          <w:szCs w:val="22"/>
        </w:rPr>
        <w:t xml:space="preserve"> patient cohort</w:t>
      </w:r>
      <w:r w:rsidR="00D873D2">
        <w:rPr>
          <w:rFonts w:ascii="Arial" w:hAnsi="Arial" w:cs="Arial"/>
          <w:sz w:val="22"/>
          <w:szCs w:val="22"/>
        </w:rPr>
        <w:t xml:space="preserve">. </w:t>
      </w:r>
      <w:r w:rsidR="000A74A6" w:rsidRPr="005E6149">
        <w:rPr>
          <w:rFonts w:ascii="Arial" w:hAnsi="Arial" w:cs="Arial"/>
          <w:sz w:val="22"/>
          <w:szCs w:val="22"/>
        </w:rPr>
        <w:t>B</w:t>
      </w:r>
      <w:r w:rsidRPr="005E6149">
        <w:rPr>
          <w:rFonts w:ascii="Arial" w:hAnsi="Arial" w:cs="Arial"/>
          <w:sz w:val="22"/>
          <w:szCs w:val="22"/>
        </w:rPr>
        <w:t xml:space="preserve">ased on the probability values associated with some of the variables, one would not include “admission mode” or “outer regional Australia – usual place of residence” in the linear relationship predicting the cost of treating an </w:t>
      </w:r>
      <w:r w:rsidR="00CC6C61" w:rsidRPr="005E6149">
        <w:rPr>
          <w:rFonts w:ascii="Arial" w:hAnsi="Arial" w:cs="Arial"/>
          <w:sz w:val="22"/>
          <w:szCs w:val="22"/>
        </w:rPr>
        <w:t>I</w:t>
      </w:r>
      <w:r w:rsidRPr="005E6149">
        <w:rPr>
          <w:rFonts w:ascii="Arial" w:hAnsi="Arial" w:cs="Arial"/>
          <w:sz w:val="22"/>
          <w:szCs w:val="22"/>
        </w:rPr>
        <w:t xml:space="preserve">ndigenous patient ([patient </w:t>
      </w:r>
      <w:proofErr w:type="spellStart"/>
      <w:r w:rsidRPr="005E6149">
        <w:rPr>
          <w:rFonts w:ascii="Arial" w:hAnsi="Arial" w:cs="Arial"/>
          <w:i/>
          <w:sz w:val="22"/>
          <w:szCs w:val="22"/>
        </w:rPr>
        <w:t>i</w:t>
      </w:r>
      <w:proofErr w:type="spellEnd"/>
      <w:proofErr w:type="gramStart"/>
      <w:r w:rsidRPr="005E6149">
        <w:rPr>
          <w:rFonts w:ascii="Arial" w:hAnsi="Arial" w:cs="Arial"/>
          <w:sz w:val="22"/>
          <w:szCs w:val="22"/>
        </w:rPr>
        <w:t>] )</w:t>
      </w:r>
      <w:proofErr w:type="gramEnd"/>
      <w:r w:rsidRPr="005E6149">
        <w:rPr>
          <w:rFonts w:ascii="Arial" w:hAnsi="Arial" w:cs="Arial"/>
          <w:sz w:val="22"/>
          <w:szCs w:val="22"/>
        </w:rPr>
        <w:t xml:space="preserve">in hospital </w:t>
      </w:r>
      <w:r w:rsidRPr="005E6149">
        <w:rPr>
          <w:rFonts w:ascii="Arial" w:hAnsi="Arial" w:cs="Arial"/>
          <w:i/>
          <w:sz w:val="22"/>
          <w:szCs w:val="22"/>
        </w:rPr>
        <w:t>j</w:t>
      </w:r>
      <w:r w:rsidR="00D873D2">
        <w:rPr>
          <w:rFonts w:ascii="Arial" w:hAnsi="Arial" w:cs="Arial"/>
          <w:sz w:val="22"/>
          <w:szCs w:val="22"/>
        </w:rPr>
        <w:t xml:space="preserve">. </w:t>
      </w:r>
      <w:r w:rsidR="000A74A6" w:rsidRPr="005E6149">
        <w:rPr>
          <w:rFonts w:ascii="Arial" w:hAnsi="Arial" w:cs="Arial"/>
          <w:sz w:val="22"/>
          <w:szCs w:val="22"/>
        </w:rPr>
        <w:t xml:space="preserve">Equally, for the </w:t>
      </w:r>
      <w:r w:rsidR="0018326F">
        <w:rPr>
          <w:rFonts w:ascii="Arial" w:hAnsi="Arial" w:cs="Arial"/>
          <w:sz w:val="22"/>
          <w:szCs w:val="22"/>
        </w:rPr>
        <w:t>n</w:t>
      </w:r>
      <w:r w:rsidR="007A097D">
        <w:rPr>
          <w:rFonts w:ascii="Arial" w:hAnsi="Arial" w:cs="Arial"/>
          <w:sz w:val="22"/>
          <w:szCs w:val="22"/>
        </w:rPr>
        <w:t>on-Indigenous</w:t>
      </w:r>
      <w:r w:rsidR="000A74A6" w:rsidRPr="005E6149">
        <w:rPr>
          <w:rFonts w:ascii="Arial" w:hAnsi="Arial" w:cs="Arial"/>
          <w:sz w:val="22"/>
          <w:szCs w:val="22"/>
        </w:rPr>
        <w:t xml:space="preserve"> patient cohort, separation mode does not have a strong statistical bearing on the cost of service delivery for this patient cohort.</w:t>
      </w:r>
    </w:p>
    <w:p w:rsidR="00414FF9" w:rsidRPr="005E6149" w:rsidRDefault="000A74A6" w:rsidP="00836916">
      <w:pPr>
        <w:spacing w:before="120" w:after="120"/>
        <w:rPr>
          <w:rFonts w:ascii="Arial" w:hAnsi="Arial" w:cs="Arial"/>
          <w:sz w:val="22"/>
          <w:szCs w:val="22"/>
        </w:rPr>
      </w:pPr>
      <w:r w:rsidRPr="005E6149">
        <w:rPr>
          <w:rFonts w:ascii="Arial" w:hAnsi="Arial" w:cs="Arial"/>
          <w:sz w:val="22"/>
          <w:szCs w:val="22"/>
        </w:rPr>
        <w:t xml:space="preserve">The data in these two discrete statistical outputs shows that separation mode clearly has a stronger impact upon the cost profile for the Indigenous patient cohort than the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 cohort</w:t>
      </w:r>
      <w:r w:rsidR="005F3F24" w:rsidRPr="005E6149">
        <w:rPr>
          <w:rFonts w:ascii="Arial" w:hAnsi="Arial" w:cs="Arial"/>
          <w:sz w:val="22"/>
          <w:szCs w:val="22"/>
        </w:rPr>
        <w:t>;</w:t>
      </w:r>
      <w:r w:rsidRPr="005E6149">
        <w:rPr>
          <w:rFonts w:ascii="Arial" w:hAnsi="Arial" w:cs="Arial"/>
          <w:sz w:val="22"/>
          <w:szCs w:val="22"/>
        </w:rPr>
        <w:t xml:space="preserve"> </w:t>
      </w:r>
      <w:r w:rsidR="005F3F24" w:rsidRPr="005E6149">
        <w:rPr>
          <w:rFonts w:ascii="Arial" w:hAnsi="Arial" w:cs="Arial"/>
          <w:sz w:val="22"/>
          <w:szCs w:val="22"/>
        </w:rPr>
        <w:t>supporting</w:t>
      </w:r>
      <w:r w:rsidRPr="005E6149">
        <w:rPr>
          <w:rFonts w:ascii="Arial" w:hAnsi="Arial" w:cs="Arial"/>
          <w:sz w:val="22"/>
          <w:szCs w:val="22"/>
        </w:rPr>
        <w:t xml:space="preserve"> the early conjectures posed by the literature review and feedback from clinicians across the participating jurisdictions. </w:t>
      </w:r>
    </w:p>
    <w:p w:rsidR="00AC6345" w:rsidRPr="005E6149" w:rsidRDefault="00192580" w:rsidP="00AC6345">
      <w:pPr>
        <w:spacing w:before="120" w:after="120"/>
        <w:rPr>
          <w:rFonts w:ascii="Arial" w:hAnsi="Arial" w:cs="Arial"/>
          <w:sz w:val="22"/>
          <w:szCs w:val="22"/>
        </w:rPr>
      </w:pPr>
      <w:r w:rsidRPr="005E6149">
        <w:rPr>
          <w:rFonts w:ascii="Arial" w:hAnsi="Arial" w:cs="Arial"/>
          <w:sz w:val="22"/>
          <w:szCs w:val="22"/>
        </w:rPr>
        <w:t>H</w:t>
      </w:r>
      <w:r w:rsidR="00AC6345" w:rsidRPr="005E6149">
        <w:rPr>
          <w:rFonts w:ascii="Arial" w:hAnsi="Arial" w:cs="Arial"/>
          <w:sz w:val="22"/>
          <w:szCs w:val="22"/>
        </w:rPr>
        <w:t>igher co</w:t>
      </w:r>
      <w:r w:rsidRPr="005E6149">
        <w:rPr>
          <w:rFonts w:ascii="Arial" w:hAnsi="Arial" w:cs="Arial"/>
          <w:sz w:val="22"/>
          <w:szCs w:val="22"/>
        </w:rPr>
        <w:t>-</w:t>
      </w:r>
      <w:proofErr w:type="spellStart"/>
      <w:r w:rsidR="00AC6345" w:rsidRPr="005E6149">
        <w:rPr>
          <w:rFonts w:ascii="Arial" w:hAnsi="Arial" w:cs="Arial"/>
          <w:sz w:val="22"/>
          <w:szCs w:val="22"/>
        </w:rPr>
        <w:t>efficients</w:t>
      </w:r>
      <w:proofErr w:type="spellEnd"/>
      <w:r w:rsidR="00AC6345" w:rsidRPr="005E6149">
        <w:rPr>
          <w:rFonts w:ascii="Arial" w:hAnsi="Arial" w:cs="Arial"/>
          <w:sz w:val="22"/>
          <w:szCs w:val="22"/>
        </w:rPr>
        <w:t xml:space="preserve"> or cost contributions are attributed to length of stay for the Indigenous patients compared to the </w:t>
      </w:r>
      <w:r w:rsidR="0018326F">
        <w:rPr>
          <w:rFonts w:ascii="Arial" w:hAnsi="Arial" w:cs="Arial"/>
          <w:sz w:val="22"/>
          <w:szCs w:val="22"/>
        </w:rPr>
        <w:t>n</w:t>
      </w:r>
      <w:r w:rsidR="007A097D">
        <w:rPr>
          <w:rFonts w:ascii="Arial" w:hAnsi="Arial" w:cs="Arial"/>
          <w:sz w:val="22"/>
          <w:szCs w:val="22"/>
        </w:rPr>
        <w:t>on-Indigenous</w:t>
      </w:r>
      <w:r w:rsidR="00AC6345" w:rsidRPr="005E6149">
        <w:rPr>
          <w:rFonts w:ascii="Arial" w:hAnsi="Arial" w:cs="Arial"/>
          <w:sz w:val="22"/>
          <w:szCs w:val="22"/>
        </w:rPr>
        <w:t xml:space="preserve"> patients</w:t>
      </w:r>
      <w:r w:rsidR="00D873D2">
        <w:rPr>
          <w:rFonts w:ascii="Arial" w:hAnsi="Arial" w:cs="Arial"/>
          <w:sz w:val="22"/>
          <w:szCs w:val="22"/>
        </w:rPr>
        <w:t xml:space="preserve">. </w:t>
      </w:r>
      <w:r w:rsidR="00AC6345" w:rsidRPr="005E6149">
        <w:rPr>
          <w:rFonts w:ascii="Arial" w:hAnsi="Arial" w:cs="Arial"/>
          <w:sz w:val="22"/>
          <w:szCs w:val="22"/>
        </w:rPr>
        <w:t xml:space="preserve">Similarly higher coefficients are attributed to the number of diagnoses reported for Indigenous patients than </w:t>
      </w:r>
      <w:r w:rsidR="0018326F">
        <w:rPr>
          <w:rFonts w:ascii="Arial" w:hAnsi="Arial" w:cs="Arial"/>
          <w:sz w:val="22"/>
          <w:szCs w:val="22"/>
        </w:rPr>
        <w:t>n</w:t>
      </w:r>
      <w:r w:rsidR="007A097D">
        <w:rPr>
          <w:rFonts w:ascii="Arial" w:hAnsi="Arial" w:cs="Arial"/>
          <w:sz w:val="22"/>
          <w:szCs w:val="22"/>
        </w:rPr>
        <w:t>on-Indigenous</w:t>
      </w:r>
      <w:r w:rsidR="00AC6345" w:rsidRPr="005E6149">
        <w:rPr>
          <w:rFonts w:ascii="Arial" w:hAnsi="Arial" w:cs="Arial"/>
          <w:sz w:val="22"/>
          <w:szCs w:val="22"/>
        </w:rPr>
        <w:t xml:space="preserve"> patients</w:t>
      </w:r>
      <w:r w:rsidR="00D873D2">
        <w:rPr>
          <w:rFonts w:ascii="Arial" w:hAnsi="Arial" w:cs="Arial"/>
          <w:sz w:val="22"/>
          <w:szCs w:val="22"/>
        </w:rPr>
        <w:t xml:space="preserve">. </w:t>
      </w:r>
      <w:r w:rsidR="00AC6345" w:rsidRPr="005E6149">
        <w:rPr>
          <w:rFonts w:ascii="Arial" w:hAnsi="Arial" w:cs="Arial"/>
          <w:sz w:val="22"/>
          <w:szCs w:val="22"/>
        </w:rPr>
        <w:t xml:space="preserve">The latter provides evidence supporting hypotheses that </w:t>
      </w:r>
      <w:r w:rsidR="00AC6345" w:rsidRPr="005E6149">
        <w:rPr>
          <w:rFonts w:ascii="Arial" w:hAnsi="Arial" w:cs="Arial"/>
          <w:sz w:val="22"/>
          <w:szCs w:val="22"/>
        </w:rPr>
        <w:lastRenderedPageBreak/>
        <w:t xml:space="preserve">the number of comorbidities Indigenous patients present with has a greater bearing on the cost of service delivery than compared to </w:t>
      </w:r>
      <w:r w:rsidR="0018326F">
        <w:rPr>
          <w:rFonts w:ascii="Arial" w:hAnsi="Arial" w:cs="Arial"/>
          <w:sz w:val="22"/>
          <w:szCs w:val="22"/>
        </w:rPr>
        <w:t>n</w:t>
      </w:r>
      <w:r w:rsidR="007A097D">
        <w:rPr>
          <w:rFonts w:ascii="Arial" w:hAnsi="Arial" w:cs="Arial"/>
          <w:sz w:val="22"/>
          <w:szCs w:val="22"/>
        </w:rPr>
        <w:t>on-Indigenous</w:t>
      </w:r>
      <w:r w:rsidR="00AC6345" w:rsidRPr="005E6149">
        <w:rPr>
          <w:rFonts w:ascii="Arial" w:hAnsi="Arial" w:cs="Arial"/>
          <w:sz w:val="22"/>
          <w:szCs w:val="22"/>
        </w:rPr>
        <w:t xml:space="preserve"> patients</w:t>
      </w:r>
      <w:r w:rsidR="00D873D2">
        <w:rPr>
          <w:rFonts w:ascii="Arial" w:hAnsi="Arial" w:cs="Arial"/>
          <w:sz w:val="22"/>
          <w:szCs w:val="22"/>
        </w:rPr>
        <w:t xml:space="preserve">. </w:t>
      </w:r>
    </w:p>
    <w:p w:rsidR="00AC6345" w:rsidRPr="00A46AE7" w:rsidRDefault="00AC6345" w:rsidP="00A46AE7">
      <w:pPr>
        <w:pStyle w:val="Heading2"/>
        <w:keepLines w:val="0"/>
        <w:tabs>
          <w:tab w:val="left" w:pos="851"/>
        </w:tabs>
        <w:spacing w:before="360" w:after="240"/>
        <w:ind w:left="851" w:hanging="851"/>
        <w:rPr>
          <w:rFonts w:ascii="Arial" w:hAnsi="Arial" w:cs="Arial"/>
          <w:color w:val="548DD4" w:themeColor="text2" w:themeTint="99"/>
        </w:rPr>
      </w:pPr>
      <w:bookmarkStart w:id="84" w:name="_Toc278480644"/>
      <w:r w:rsidRPr="00A46AE7">
        <w:rPr>
          <w:rFonts w:ascii="Arial" w:hAnsi="Arial" w:cs="Arial"/>
          <w:color w:val="548DD4" w:themeColor="text2" w:themeTint="99"/>
        </w:rPr>
        <w:t>Same-day acute admitted services</w:t>
      </w:r>
      <w:bookmarkEnd w:id="84"/>
    </w:p>
    <w:p w:rsidR="002B0DD8" w:rsidRPr="005E6149" w:rsidRDefault="00AC6345" w:rsidP="00AC6345">
      <w:pPr>
        <w:spacing w:before="120" w:after="120"/>
        <w:rPr>
          <w:rFonts w:ascii="Arial" w:hAnsi="Arial" w:cs="Arial"/>
          <w:sz w:val="22"/>
          <w:szCs w:val="22"/>
        </w:rPr>
      </w:pPr>
      <w:r w:rsidRPr="005E6149">
        <w:rPr>
          <w:rFonts w:ascii="Arial" w:hAnsi="Arial" w:cs="Arial"/>
          <w:sz w:val="22"/>
          <w:szCs w:val="22"/>
        </w:rPr>
        <w:t>Similar analyses w</w:t>
      </w:r>
      <w:r w:rsidR="00F005A9" w:rsidRPr="005E6149">
        <w:rPr>
          <w:rFonts w:ascii="Arial" w:hAnsi="Arial" w:cs="Arial"/>
          <w:sz w:val="22"/>
          <w:szCs w:val="22"/>
        </w:rPr>
        <w:t>ere</w:t>
      </w:r>
      <w:r w:rsidRPr="005E6149">
        <w:rPr>
          <w:rFonts w:ascii="Arial" w:hAnsi="Arial" w:cs="Arial"/>
          <w:sz w:val="22"/>
          <w:szCs w:val="22"/>
        </w:rPr>
        <w:t xml:space="preserve"> undertaken for the dataset that contained only same-day acute hospital admissions, including renal dialysis patients</w:t>
      </w:r>
      <w:r w:rsidR="00D873D2">
        <w:rPr>
          <w:rFonts w:ascii="Arial" w:hAnsi="Arial" w:cs="Arial"/>
          <w:sz w:val="22"/>
          <w:szCs w:val="22"/>
        </w:rPr>
        <w:t xml:space="preserve">. </w:t>
      </w:r>
      <w:r w:rsidRPr="005E6149">
        <w:rPr>
          <w:rFonts w:ascii="Arial" w:hAnsi="Arial" w:cs="Arial"/>
          <w:sz w:val="22"/>
          <w:szCs w:val="22"/>
        </w:rPr>
        <w:t>The linear, and log liner resultant functions were disappointing yielding low adjusted R</w:t>
      </w:r>
      <w:r w:rsidRPr="005E6149">
        <w:rPr>
          <w:rFonts w:ascii="Arial" w:hAnsi="Arial" w:cs="Arial"/>
          <w:sz w:val="22"/>
          <w:szCs w:val="22"/>
          <w:vertAlign w:val="superscript"/>
        </w:rPr>
        <w:t>2</w:t>
      </w:r>
      <w:r w:rsidRPr="005E6149">
        <w:rPr>
          <w:rFonts w:ascii="Arial" w:hAnsi="Arial" w:cs="Arial"/>
          <w:sz w:val="22"/>
          <w:szCs w:val="22"/>
        </w:rPr>
        <w:t xml:space="preserve"> values of 0.20</w:t>
      </w:r>
      <w:r w:rsidR="002B0DD8" w:rsidRPr="005E6149">
        <w:rPr>
          <w:rFonts w:ascii="Arial" w:hAnsi="Arial" w:cs="Arial"/>
          <w:sz w:val="22"/>
          <w:szCs w:val="22"/>
        </w:rPr>
        <w:t>12</w:t>
      </w:r>
      <w:r w:rsidRPr="005E6149">
        <w:rPr>
          <w:rFonts w:ascii="Arial" w:hAnsi="Arial" w:cs="Arial"/>
          <w:sz w:val="22"/>
          <w:szCs w:val="22"/>
        </w:rPr>
        <w:t xml:space="preserve"> and </w:t>
      </w:r>
      <w:r w:rsidR="002B0DD8" w:rsidRPr="005E6149">
        <w:rPr>
          <w:rFonts w:ascii="Arial" w:hAnsi="Arial" w:cs="Arial"/>
          <w:sz w:val="22"/>
          <w:szCs w:val="22"/>
        </w:rPr>
        <w:t>0.1988</w:t>
      </w:r>
      <w:r w:rsidRPr="005E6149">
        <w:rPr>
          <w:rFonts w:ascii="Arial" w:hAnsi="Arial" w:cs="Arial"/>
          <w:sz w:val="22"/>
          <w:szCs w:val="22"/>
        </w:rPr>
        <w:t xml:space="preserve"> respectively</w:t>
      </w:r>
      <w:r w:rsidR="00D873D2">
        <w:rPr>
          <w:rFonts w:ascii="Arial" w:hAnsi="Arial" w:cs="Arial"/>
          <w:sz w:val="22"/>
          <w:szCs w:val="22"/>
        </w:rPr>
        <w:t xml:space="preserve">. </w:t>
      </w:r>
      <w:r w:rsidR="00E0470A" w:rsidRPr="005E6149">
        <w:rPr>
          <w:rFonts w:ascii="Arial" w:hAnsi="Arial" w:cs="Arial"/>
          <w:sz w:val="22"/>
          <w:szCs w:val="22"/>
        </w:rPr>
        <w:t>Not surprisingly, length of stay as a variable had no influence on the costs</w:t>
      </w:r>
      <w:r w:rsidR="00D873D2">
        <w:rPr>
          <w:rFonts w:ascii="Arial" w:hAnsi="Arial" w:cs="Arial"/>
          <w:sz w:val="22"/>
          <w:szCs w:val="22"/>
        </w:rPr>
        <w:t xml:space="preserve">. </w:t>
      </w:r>
      <w:r w:rsidR="00E21404" w:rsidRPr="005E6149">
        <w:rPr>
          <w:rFonts w:ascii="Arial" w:hAnsi="Arial" w:cs="Arial"/>
          <w:sz w:val="22"/>
          <w:szCs w:val="22"/>
        </w:rPr>
        <w:t>The poor predictive power of the r</w:t>
      </w:r>
      <w:r w:rsidR="00FC6B19">
        <w:rPr>
          <w:rFonts w:ascii="Arial" w:hAnsi="Arial" w:cs="Arial"/>
          <w:sz w:val="22"/>
          <w:szCs w:val="22"/>
        </w:rPr>
        <w:t>espective cost driver variables</w:t>
      </w:r>
      <w:r w:rsidR="002B0DD8" w:rsidRPr="005E6149">
        <w:rPr>
          <w:rFonts w:ascii="Arial" w:hAnsi="Arial" w:cs="Arial"/>
          <w:sz w:val="22"/>
          <w:szCs w:val="22"/>
        </w:rPr>
        <w:t xml:space="preserve"> </w:t>
      </w:r>
      <w:r w:rsidR="00E21404" w:rsidRPr="005E6149">
        <w:rPr>
          <w:rFonts w:ascii="Arial" w:hAnsi="Arial" w:cs="Arial"/>
          <w:sz w:val="22"/>
          <w:szCs w:val="22"/>
        </w:rPr>
        <w:t>for both patient cohorts is of concern</w:t>
      </w:r>
      <w:r w:rsidR="00D873D2">
        <w:rPr>
          <w:rFonts w:ascii="Arial" w:hAnsi="Arial" w:cs="Arial"/>
          <w:sz w:val="22"/>
          <w:szCs w:val="22"/>
        </w:rPr>
        <w:t xml:space="preserve">. </w:t>
      </w:r>
      <w:r w:rsidR="00E21404" w:rsidRPr="005E6149">
        <w:rPr>
          <w:rFonts w:ascii="Arial" w:hAnsi="Arial" w:cs="Arial"/>
          <w:sz w:val="22"/>
          <w:szCs w:val="22"/>
        </w:rPr>
        <w:t xml:space="preserve">It indicates that there is a lot of other ‘noise’ in the data that is distorting the ability to clearly identify a strong, linear relationship between the cost of same-day treatment and the </w:t>
      </w:r>
      <w:r w:rsidR="00927CAD" w:rsidRPr="005E6149">
        <w:rPr>
          <w:rFonts w:ascii="Arial" w:hAnsi="Arial" w:cs="Arial"/>
          <w:sz w:val="22"/>
          <w:szCs w:val="22"/>
        </w:rPr>
        <w:t>expected</w:t>
      </w:r>
      <w:r w:rsidR="00E21404" w:rsidRPr="005E6149">
        <w:rPr>
          <w:rFonts w:ascii="Arial" w:hAnsi="Arial" w:cs="Arial"/>
          <w:sz w:val="22"/>
          <w:szCs w:val="22"/>
        </w:rPr>
        <w:t xml:space="preserve"> cost drivers</w:t>
      </w:r>
      <w:r w:rsidR="00D873D2">
        <w:rPr>
          <w:rFonts w:ascii="Arial" w:hAnsi="Arial" w:cs="Arial"/>
          <w:sz w:val="22"/>
          <w:szCs w:val="22"/>
        </w:rPr>
        <w:t xml:space="preserve">. </w:t>
      </w:r>
      <w:r w:rsidR="00E21404" w:rsidRPr="005E6149">
        <w:rPr>
          <w:rFonts w:ascii="Arial" w:hAnsi="Arial" w:cs="Arial"/>
          <w:sz w:val="22"/>
          <w:szCs w:val="22"/>
        </w:rPr>
        <w:t>It may also point to the fact that a completely different set of cost drivers exist for same-day patients than that for patients admitted for overnight acute care</w:t>
      </w:r>
      <w:r w:rsidR="00D873D2">
        <w:rPr>
          <w:rFonts w:ascii="Arial" w:hAnsi="Arial" w:cs="Arial"/>
          <w:sz w:val="22"/>
          <w:szCs w:val="22"/>
        </w:rPr>
        <w:t xml:space="preserve">. </w:t>
      </w:r>
      <w:r w:rsidR="002B0DD8" w:rsidRPr="005E6149">
        <w:rPr>
          <w:rFonts w:ascii="Arial" w:hAnsi="Arial" w:cs="Arial"/>
          <w:sz w:val="22"/>
          <w:szCs w:val="22"/>
        </w:rPr>
        <w:t xml:space="preserve">Potentially these alternate cost drivers would relate directly to service </w:t>
      </w:r>
      <w:proofErr w:type="spellStart"/>
      <w:r w:rsidR="002B0DD8" w:rsidRPr="005E6149">
        <w:rPr>
          <w:rFonts w:ascii="Arial" w:hAnsi="Arial" w:cs="Arial"/>
          <w:sz w:val="22"/>
          <w:szCs w:val="22"/>
        </w:rPr>
        <w:t>utilisation</w:t>
      </w:r>
      <w:proofErr w:type="spellEnd"/>
      <w:r w:rsidR="002B0DD8" w:rsidRPr="005E6149">
        <w:rPr>
          <w:rFonts w:ascii="Arial" w:hAnsi="Arial" w:cs="Arial"/>
          <w:sz w:val="22"/>
          <w:szCs w:val="22"/>
        </w:rPr>
        <w:t xml:space="preserve"> or consumption profiles, which could not be tested to any </w:t>
      </w:r>
      <w:proofErr w:type="gramStart"/>
      <w:r w:rsidR="002B0DD8" w:rsidRPr="005E6149">
        <w:rPr>
          <w:rFonts w:ascii="Arial" w:hAnsi="Arial" w:cs="Arial"/>
          <w:sz w:val="22"/>
          <w:szCs w:val="22"/>
        </w:rPr>
        <w:t>great</w:t>
      </w:r>
      <w:proofErr w:type="gramEnd"/>
      <w:r w:rsidR="002B0DD8" w:rsidRPr="005E6149">
        <w:rPr>
          <w:rFonts w:ascii="Arial" w:hAnsi="Arial" w:cs="Arial"/>
          <w:sz w:val="22"/>
          <w:szCs w:val="22"/>
        </w:rPr>
        <w:t xml:space="preserve"> extend from the content of the existing dataset</w:t>
      </w:r>
      <w:r w:rsidR="00D873D2">
        <w:rPr>
          <w:rFonts w:ascii="Arial" w:hAnsi="Arial" w:cs="Arial"/>
          <w:sz w:val="22"/>
          <w:szCs w:val="22"/>
        </w:rPr>
        <w:t xml:space="preserve">. </w:t>
      </w:r>
    </w:p>
    <w:p w:rsidR="00E21404" w:rsidRPr="005E6149" w:rsidRDefault="002B0DD8" w:rsidP="00AC6345">
      <w:pPr>
        <w:spacing w:before="120" w:after="120"/>
        <w:rPr>
          <w:rFonts w:ascii="Arial" w:hAnsi="Arial" w:cs="Arial"/>
          <w:sz w:val="22"/>
          <w:szCs w:val="22"/>
        </w:rPr>
      </w:pPr>
      <w:r w:rsidRPr="005E6149">
        <w:rPr>
          <w:rFonts w:ascii="Arial" w:hAnsi="Arial" w:cs="Arial"/>
          <w:sz w:val="22"/>
          <w:szCs w:val="22"/>
        </w:rPr>
        <w:t xml:space="preserve">What the analysis does show is that the inclusion of same-day cases in any analysis that tries to determine the cost differential between Indigenous and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 only </w:t>
      </w:r>
      <w:r w:rsidR="00F9602A" w:rsidRPr="005E6149">
        <w:rPr>
          <w:rFonts w:ascii="Arial" w:hAnsi="Arial" w:cs="Arial"/>
          <w:sz w:val="22"/>
          <w:szCs w:val="22"/>
        </w:rPr>
        <w:t>diffuses the results</w:t>
      </w:r>
      <w:r w:rsidR="00D873D2">
        <w:rPr>
          <w:rFonts w:ascii="Arial" w:hAnsi="Arial" w:cs="Arial"/>
          <w:sz w:val="22"/>
          <w:szCs w:val="22"/>
        </w:rPr>
        <w:t xml:space="preserve">. </w:t>
      </w:r>
    </w:p>
    <w:p w:rsidR="00A51882" w:rsidRPr="005E6149" w:rsidRDefault="00A51882" w:rsidP="00F9602A">
      <w:pPr>
        <w:pStyle w:val="Heading2"/>
        <w:keepLines w:val="0"/>
        <w:tabs>
          <w:tab w:val="left" w:pos="851"/>
        </w:tabs>
        <w:spacing w:before="360" w:after="240"/>
        <w:ind w:left="851" w:hanging="851"/>
        <w:rPr>
          <w:rFonts w:ascii="Arial" w:hAnsi="Arial" w:cs="Arial"/>
          <w:color w:val="548DD4" w:themeColor="text2" w:themeTint="99"/>
        </w:rPr>
      </w:pPr>
      <w:bookmarkStart w:id="85" w:name="_Toc278480645"/>
      <w:r w:rsidRPr="005E6149">
        <w:rPr>
          <w:rFonts w:ascii="Arial" w:hAnsi="Arial" w:cs="Arial"/>
          <w:color w:val="548DD4" w:themeColor="text2" w:themeTint="99"/>
        </w:rPr>
        <w:t>Conclusion</w:t>
      </w:r>
      <w:bookmarkEnd w:id="85"/>
    </w:p>
    <w:p w:rsidR="00CB459F" w:rsidRPr="005E6149" w:rsidRDefault="00A51882" w:rsidP="00836916">
      <w:pPr>
        <w:spacing w:before="120" w:after="120"/>
        <w:rPr>
          <w:rFonts w:ascii="Arial" w:hAnsi="Arial" w:cs="Arial"/>
          <w:sz w:val="22"/>
          <w:szCs w:val="22"/>
        </w:rPr>
      </w:pPr>
      <w:r w:rsidRPr="005E6149">
        <w:rPr>
          <w:rFonts w:ascii="Arial" w:hAnsi="Arial" w:cs="Arial"/>
          <w:sz w:val="22"/>
          <w:szCs w:val="22"/>
        </w:rPr>
        <w:t xml:space="preserve">The conduct of correlation and regression analyses has provided further </w:t>
      </w:r>
      <w:r w:rsidR="00C021CA" w:rsidRPr="005E6149">
        <w:rPr>
          <w:rFonts w:ascii="Arial" w:hAnsi="Arial" w:cs="Arial"/>
          <w:sz w:val="22"/>
          <w:szCs w:val="22"/>
        </w:rPr>
        <w:t>rationale for the separation of</w:t>
      </w:r>
      <w:r w:rsidRPr="005E6149">
        <w:rPr>
          <w:rFonts w:ascii="Arial" w:hAnsi="Arial" w:cs="Arial"/>
          <w:sz w:val="22"/>
          <w:szCs w:val="22"/>
        </w:rPr>
        <w:t xml:space="preserve"> same-day cases from acute overnight cases when trying to establish the differences in the cost of service provision to Indigenous and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w:t>
      </w:r>
    </w:p>
    <w:p w:rsidR="00A51882" w:rsidRPr="005E6149" w:rsidRDefault="00A51882" w:rsidP="00836916">
      <w:pPr>
        <w:spacing w:before="120" w:after="120"/>
        <w:rPr>
          <w:rFonts w:ascii="Arial" w:hAnsi="Arial" w:cs="Arial"/>
          <w:sz w:val="22"/>
          <w:szCs w:val="22"/>
        </w:rPr>
      </w:pPr>
      <w:r w:rsidRPr="005E6149">
        <w:rPr>
          <w:rFonts w:ascii="Arial" w:hAnsi="Arial" w:cs="Arial"/>
          <w:sz w:val="22"/>
          <w:szCs w:val="22"/>
        </w:rPr>
        <w:t xml:space="preserve">The poor statistical fit of known cost drivers to same-day treatment costs suggests that further work needs to be undertaken, investigating service </w:t>
      </w:r>
      <w:proofErr w:type="spellStart"/>
      <w:r w:rsidRPr="005E6149">
        <w:rPr>
          <w:rFonts w:ascii="Arial" w:hAnsi="Arial" w:cs="Arial"/>
          <w:sz w:val="22"/>
          <w:szCs w:val="22"/>
        </w:rPr>
        <w:t>utilisation</w:t>
      </w:r>
      <w:proofErr w:type="spellEnd"/>
      <w:r w:rsidRPr="005E6149">
        <w:rPr>
          <w:rFonts w:ascii="Arial" w:hAnsi="Arial" w:cs="Arial"/>
          <w:sz w:val="22"/>
          <w:szCs w:val="22"/>
        </w:rPr>
        <w:t xml:space="preserve"> </w:t>
      </w:r>
      <w:r w:rsidR="00C021CA" w:rsidRPr="005E6149">
        <w:rPr>
          <w:rFonts w:ascii="Arial" w:hAnsi="Arial" w:cs="Arial"/>
          <w:sz w:val="22"/>
          <w:szCs w:val="22"/>
        </w:rPr>
        <w:t>(</w:t>
      </w:r>
      <w:r w:rsidRPr="005E6149">
        <w:rPr>
          <w:rFonts w:ascii="Arial" w:hAnsi="Arial" w:cs="Arial"/>
          <w:sz w:val="22"/>
          <w:szCs w:val="22"/>
        </w:rPr>
        <w:t>or service consumption data</w:t>
      </w:r>
      <w:r w:rsidR="00C021CA" w:rsidRPr="005E6149">
        <w:rPr>
          <w:rFonts w:ascii="Arial" w:hAnsi="Arial" w:cs="Arial"/>
          <w:sz w:val="22"/>
          <w:szCs w:val="22"/>
        </w:rPr>
        <w:t>)</w:t>
      </w:r>
      <w:r w:rsidRPr="005E6149">
        <w:rPr>
          <w:rFonts w:ascii="Arial" w:hAnsi="Arial" w:cs="Arial"/>
          <w:sz w:val="22"/>
          <w:szCs w:val="22"/>
        </w:rPr>
        <w:t xml:space="preserve"> to determine what drives the cost of service delivery</w:t>
      </w:r>
      <w:r w:rsidR="00C021CA" w:rsidRPr="005E6149">
        <w:rPr>
          <w:rFonts w:ascii="Arial" w:hAnsi="Arial" w:cs="Arial"/>
          <w:sz w:val="22"/>
          <w:szCs w:val="22"/>
        </w:rPr>
        <w:t>,</w:t>
      </w:r>
      <w:r w:rsidRPr="005E6149">
        <w:rPr>
          <w:rFonts w:ascii="Arial" w:hAnsi="Arial" w:cs="Arial"/>
          <w:sz w:val="22"/>
          <w:szCs w:val="22"/>
        </w:rPr>
        <w:t xml:space="preserve"> and whether this explains any noted differences in the treatment of Indigenous same-day patients compared to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same-day patients.</w:t>
      </w:r>
    </w:p>
    <w:p w:rsidR="00A51882" w:rsidRPr="005E6149" w:rsidRDefault="00A51882" w:rsidP="00836916">
      <w:pPr>
        <w:spacing w:before="120" w:after="120"/>
        <w:rPr>
          <w:rFonts w:ascii="Arial" w:hAnsi="Arial" w:cs="Arial"/>
          <w:sz w:val="22"/>
          <w:szCs w:val="22"/>
        </w:rPr>
      </w:pPr>
      <w:r w:rsidRPr="005E6149">
        <w:rPr>
          <w:rFonts w:ascii="Arial" w:hAnsi="Arial" w:cs="Arial"/>
          <w:sz w:val="22"/>
          <w:szCs w:val="22"/>
        </w:rPr>
        <w:t xml:space="preserve">The data for the overnight acute admitted patients supports the fact that the following cost drivers have a greater impact on the cost of treatment of Indigenous patients compared to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w:t>
      </w:r>
    </w:p>
    <w:p w:rsidR="00A51882" w:rsidRPr="005E6149" w:rsidRDefault="00B33FEB"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t</w:t>
      </w:r>
      <w:r w:rsidR="00A51882" w:rsidRPr="005E6149">
        <w:rPr>
          <w:rFonts w:ascii="Arial" w:hAnsi="Arial" w:cs="Arial"/>
          <w:sz w:val="22"/>
          <w:szCs w:val="22"/>
        </w:rPr>
        <w:t>he number of comorbidities of the patient</w:t>
      </w:r>
      <w:r w:rsidRPr="005E6149">
        <w:rPr>
          <w:rFonts w:ascii="Arial" w:hAnsi="Arial" w:cs="Arial"/>
          <w:sz w:val="22"/>
          <w:szCs w:val="22"/>
        </w:rPr>
        <w:t>;</w:t>
      </w:r>
    </w:p>
    <w:p w:rsidR="00A51882" w:rsidRPr="005E6149" w:rsidRDefault="00A51882"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separation mode</w:t>
      </w:r>
      <w:r w:rsidR="00B33FEB" w:rsidRPr="005E6149">
        <w:rPr>
          <w:rFonts w:ascii="Arial" w:hAnsi="Arial" w:cs="Arial"/>
          <w:sz w:val="22"/>
          <w:szCs w:val="22"/>
        </w:rPr>
        <w:t>;</w:t>
      </w:r>
    </w:p>
    <w:p w:rsidR="00A51882" w:rsidRPr="005E6149" w:rsidRDefault="00B33FEB" w:rsidP="00E86862">
      <w:pPr>
        <w:pStyle w:val="ListParagraph"/>
        <w:numPr>
          <w:ilvl w:val="0"/>
          <w:numId w:val="37"/>
        </w:numPr>
        <w:spacing w:before="120" w:after="120"/>
        <w:rPr>
          <w:rFonts w:ascii="Arial" w:hAnsi="Arial" w:cs="Arial"/>
          <w:sz w:val="22"/>
          <w:szCs w:val="22"/>
        </w:rPr>
      </w:pPr>
      <w:r w:rsidRPr="005E6149">
        <w:rPr>
          <w:rFonts w:ascii="Arial" w:hAnsi="Arial" w:cs="Arial"/>
          <w:sz w:val="22"/>
          <w:szCs w:val="22"/>
        </w:rPr>
        <w:t>t</w:t>
      </w:r>
      <w:r w:rsidR="00A51882" w:rsidRPr="005E6149">
        <w:rPr>
          <w:rFonts w:ascii="Arial" w:hAnsi="Arial" w:cs="Arial"/>
          <w:sz w:val="22"/>
          <w:szCs w:val="22"/>
        </w:rPr>
        <w:t>he length of stay of the patient</w:t>
      </w:r>
      <w:r w:rsidRPr="005E6149">
        <w:rPr>
          <w:rFonts w:ascii="Arial" w:hAnsi="Arial" w:cs="Arial"/>
          <w:sz w:val="22"/>
          <w:szCs w:val="22"/>
        </w:rPr>
        <w:t>; and</w:t>
      </w:r>
    </w:p>
    <w:p w:rsidR="00A51882" w:rsidRPr="005E6149" w:rsidRDefault="00B33FEB" w:rsidP="00E86862">
      <w:pPr>
        <w:pStyle w:val="ListParagraph"/>
        <w:numPr>
          <w:ilvl w:val="0"/>
          <w:numId w:val="37"/>
        </w:numPr>
        <w:spacing w:before="120" w:after="120"/>
        <w:rPr>
          <w:rFonts w:ascii="Arial" w:hAnsi="Arial" w:cs="Arial"/>
          <w:sz w:val="22"/>
          <w:szCs w:val="22"/>
        </w:rPr>
      </w:pPr>
      <w:proofErr w:type="gramStart"/>
      <w:r w:rsidRPr="005E6149">
        <w:rPr>
          <w:rFonts w:ascii="Arial" w:hAnsi="Arial" w:cs="Arial"/>
          <w:sz w:val="22"/>
          <w:szCs w:val="22"/>
        </w:rPr>
        <w:t>t</w:t>
      </w:r>
      <w:r w:rsidR="00A51882" w:rsidRPr="005E6149">
        <w:rPr>
          <w:rFonts w:ascii="Arial" w:hAnsi="Arial" w:cs="Arial"/>
          <w:sz w:val="22"/>
          <w:szCs w:val="22"/>
        </w:rPr>
        <w:t>he</w:t>
      </w:r>
      <w:proofErr w:type="gramEnd"/>
      <w:r w:rsidR="00A51882" w:rsidRPr="005E6149">
        <w:rPr>
          <w:rFonts w:ascii="Arial" w:hAnsi="Arial" w:cs="Arial"/>
          <w:sz w:val="22"/>
          <w:szCs w:val="22"/>
        </w:rPr>
        <w:t xml:space="preserve"> hours the patient spend on continuous mechanical ventilation.</w:t>
      </w:r>
    </w:p>
    <w:p w:rsidR="00E62ECF" w:rsidRPr="005E6149" w:rsidRDefault="00E62ECF" w:rsidP="00836916">
      <w:pPr>
        <w:spacing w:before="120" w:after="120"/>
        <w:rPr>
          <w:rFonts w:ascii="Arial" w:hAnsi="Arial" w:cs="Arial"/>
          <w:sz w:val="22"/>
          <w:szCs w:val="22"/>
        </w:rPr>
      </w:pPr>
    </w:p>
    <w:p w:rsidR="00BB60F9" w:rsidRPr="005E6149" w:rsidRDefault="00BB60F9" w:rsidP="00836916">
      <w:pPr>
        <w:spacing w:before="120" w:after="120"/>
        <w:rPr>
          <w:rFonts w:ascii="Arial" w:hAnsi="Arial" w:cs="Arial"/>
          <w:sz w:val="22"/>
          <w:szCs w:val="22"/>
        </w:rPr>
        <w:sectPr w:rsidR="00BB60F9" w:rsidRPr="005E6149" w:rsidSect="009D0CFA">
          <w:pgSz w:w="12240" w:h="15840"/>
          <w:pgMar w:top="1440" w:right="1800" w:bottom="1440" w:left="1800" w:header="720" w:footer="720" w:gutter="0"/>
          <w:cols w:space="720"/>
          <w:docGrid w:linePitch="360"/>
        </w:sectPr>
      </w:pPr>
    </w:p>
    <w:p w:rsidR="00F81E34" w:rsidRPr="00FD775F" w:rsidRDefault="00013857" w:rsidP="00287791">
      <w:pPr>
        <w:pStyle w:val="Heading1"/>
        <w:ind w:left="0"/>
      </w:pPr>
      <w:bookmarkStart w:id="86" w:name="_Toc426117646"/>
      <w:bookmarkEnd w:id="4"/>
      <w:bookmarkEnd w:id="6"/>
      <w:bookmarkEnd w:id="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FD775F">
        <w:lastRenderedPageBreak/>
        <w:t>Conclusion</w:t>
      </w:r>
      <w:bookmarkEnd w:id="86"/>
    </w:p>
    <w:p w:rsidR="00E957AA" w:rsidRPr="005E6149" w:rsidRDefault="00E957AA" w:rsidP="00E957AA">
      <w:pPr>
        <w:rPr>
          <w:rFonts w:ascii="Arial" w:hAnsi="Arial" w:cs="Arial"/>
          <w:sz w:val="22"/>
          <w:szCs w:val="22"/>
        </w:rPr>
      </w:pPr>
      <w:r w:rsidRPr="005E6149">
        <w:rPr>
          <w:rFonts w:ascii="Arial" w:hAnsi="Arial" w:cs="Arial"/>
          <w:sz w:val="22"/>
          <w:szCs w:val="22"/>
        </w:rPr>
        <w:t>The investig</w:t>
      </w:r>
      <w:r w:rsidR="00D045E1" w:rsidRPr="005E6149">
        <w:rPr>
          <w:rFonts w:ascii="Arial" w:hAnsi="Arial" w:cs="Arial"/>
          <w:sz w:val="22"/>
          <w:szCs w:val="22"/>
        </w:rPr>
        <w:t xml:space="preserve">ative work </w:t>
      </w:r>
      <w:r w:rsidR="00773D87">
        <w:rPr>
          <w:rFonts w:ascii="Arial" w:hAnsi="Arial" w:cs="Arial"/>
          <w:sz w:val="22"/>
          <w:szCs w:val="22"/>
        </w:rPr>
        <w:t xml:space="preserve">undertaken for this study has </w:t>
      </w:r>
      <w:r w:rsidR="00D045E1" w:rsidRPr="005E6149">
        <w:rPr>
          <w:rFonts w:ascii="Arial" w:hAnsi="Arial" w:cs="Arial"/>
          <w:sz w:val="22"/>
          <w:szCs w:val="22"/>
        </w:rPr>
        <w:t>provide</w:t>
      </w:r>
      <w:r w:rsidR="00773D87">
        <w:rPr>
          <w:rFonts w:ascii="Arial" w:hAnsi="Arial" w:cs="Arial"/>
          <w:sz w:val="22"/>
          <w:szCs w:val="22"/>
        </w:rPr>
        <w:t>d</w:t>
      </w:r>
      <w:r w:rsidR="00D045E1" w:rsidRPr="005E6149">
        <w:rPr>
          <w:rFonts w:ascii="Arial" w:hAnsi="Arial" w:cs="Arial"/>
          <w:sz w:val="22"/>
          <w:szCs w:val="22"/>
        </w:rPr>
        <w:t xml:space="preserve"> valuable insights as to where best to direct future resources to improve the sectors understanding of what drives the cost differential between Indigenous and </w:t>
      </w:r>
      <w:r w:rsidR="0018326F">
        <w:rPr>
          <w:rFonts w:ascii="Arial" w:hAnsi="Arial" w:cs="Arial"/>
          <w:sz w:val="22"/>
          <w:szCs w:val="22"/>
        </w:rPr>
        <w:t>n</w:t>
      </w:r>
      <w:r w:rsidR="007A097D">
        <w:rPr>
          <w:rFonts w:ascii="Arial" w:hAnsi="Arial" w:cs="Arial"/>
          <w:sz w:val="22"/>
          <w:szCs w:val="22"/>
        </w:rPr>
        <w:t>on-Indigenous</w:t>
      </w:r>
      <w:r w:rsidR="00D045E1" w:rsidRPr="005E6149">
        <w:rPr>
          <w:rFonts w:ascii="Arial" w:hAnsi="Arial" w:cs="Arial"/>
          <w:sz w:val="22"/>
          <w:szCs w:val="22"/>
        </w:rPr>
        <w:t xml:space="preserve"> patient</w:t>
      </w:r>
      <w:r w:rsidR="00773D87">
        <w:rPr>
          <w:rFonts w:ascii="Arial" w:hAnsi="Arial" w:cs="Arial"/>
          <w:sz w:val="22"/>
          <w:szCs w:val="22"/>
        </w:rPr>
        <w:t>s</w:t>
      </w:r>
      <w:r w:rsidR="00D045E1" w:rsidRPr="005E6149">
        <w:rPr>
          <w:rFonts w:ascii="Arial" w:hAnsi="Arial" w:cs="Arial"/>
          <w:sz w:val="22"/>
          <w:szCs w:val="22"/>
        </w:rPr>
        <w:t>.</w:t>
      </w:r>
    </w:p>
    <w:p w:rsidR="00D045E1" w:rsidRPr="005E6149" w:rsidRDefault="00D045E1" w:rsidP="00D045E1">
      <w:pPr>
        <w:pStyle w:val="Heading2"/>
        <w:rPr>
          <w:rFonts w:ascii="Arial" w:hAnsi="Arial" w:cs="Arial"/>
        </w:rPr>
      </w:pPr>
      <w:bookmarkStart w:id="87" w:name="_Toc278480649"/>
      <w:r w:rsidRPr="005E6149">
        <w:rPr>
          <w:rFonts w:ascii="Arial" w:hAnsi="Arial" w:cs="Arial"/>
        </w:rPr>
        <w:t>Data Quality Editing</w:t>
      </w:r>
      <w:bookmarkEnd w:id="87"/>
    </w:p>
    <w:p w:rsidR="00D045E1" w:rsidRPr="005E6149" w:rsidRDefault="00D045E1" w:rsidP="00D045E1">
      <w:pPr>
        <w:spacing w:before="120" w:after="120"/>
        <w:rPr>
          <w:rFonts w:ascii="Arial" w:hAnsi="Arial" w:cs="Arial"/>
          <w:sz w:val="22"/>
          <w:szCs w:val="22"/>
        </w:rPr>
      </w:pPr>
      <w:r w:rsidRPr="005E6149">
        <w:rPr>
          <w:rFonts w:ascii="Arial" w:hAnsi="Arial" w:cs="Arial"/>
          <w:sz w:val="22"/>
          <w:szCs w:val="22"/>
        </w:rPr>
        <w:t>First and foremost, energ</w:t>
      </w:r>
      <w:r w:rsidR="00773D87">
        <w:rPr>
          <w:rFonts w:ascii="Arial" w:hAnsi="Arial" w:cs="Arial"/>
          <w:sz w:val="22"/>
          <w:szCs w:val="22"/>
        </w:rPr>
        <w:t>y and resources</w:t>
      </w:r>
      <w:r w:rsidRPr="005E6149">
        <w:rPr>
          <w:rFonts w:ascii="Arial" w:hAnsi="Arial" w:cs="Arial"/>
          <w:sz w:val="22"/>
          <w:szCs w:val="22"/>
        </w:rPr>
        <w:t xml:space="preserve"> need to be invested</w:t>
      </w:r>
      <w:r w:rsidR="00773D87">
        <w:rPr>
          <w:rFonts w:ascii="Arial" w:hAnsi="Arial" w:cs="Arial"/>
          <w:sz w:val="22"/>
          <w:szCs w:val="22"/>
        </w:rPr>
        <w:t xml:space="preserve"> to</w:t>
      </w:r>
      <w:r w:rsidRPr="005E6149">
        <w:rPr>
          <w:rFonts w:ascii="Arial" w:hAnsi="Arial" w:cs="Arial"/>
          <w:sz w:val="22"/>
          <w:szCs w:val="22"/>
        </w:rPr>
        <w:t xml:space="preserve"> improv</w:t>
      </w:r>
      <w:r w:rsidR="00773D87">
        <w:rPr>
          <w:rFonts w:ascii="Arial" w:hAnsi="Arial" w:cs="Arial"/>
          <w:sz w:val="22"/>
          <w:szCs w:val="22"/>
        </w:rPr>
        <w:t>e</w:t>
      </w:r>
      <w:r w:rsidRPr="005E6149">
        <w:rPr>
          <w:rFonts w:ascii="Arial" w:hAnsi="Arial" w:cs="Arial"/>
          <w:sz w:val="22"/>
          <w:szCs w:val="22"/>
        </w:rPr>
        <w:t xml:space="preserve"> the data quality of the NHCDC datasets</w:t>
      </w:r>
      <w:r w:rsidR="008B1BAF">
        <w:rPr>
          <w:rFonts w:ascii="Arial" w:hAnsi="Arial" w:cs="Arial"/>
          <w:sz w:val="22"/>
          <w:szCs w:val="22"/>
        </w:rPr>
        <w:t xml:space="preserve"> </w:t>
      </w:r>
      <w:r w:rsidRPr="005E6149">
        <w:rPr>
          <w:rFonts w:ascii="Arial" w:hAnsi="Arial" w:cs="Arial"/>
          <w:sz w:val="22"/>
          <w:szCs w:val="22"/>
        </w:rPr>
        <w:t>across all levels (hospital, area health service/local hospital network, jurisdiction and IHPA)</w:t>
      </w:r>
      <w:r w:rsidR="008B1BAF">
        <w:rPr>
          <w:rFonts w:ascii="Arial" w:hAnsi="Arial" w:cs="Arial"/>
          <w:sz w:val="22"/>
          <w:szCs w:val="22"/>
        </w:rPr>
        <w:t>.</w:t>
      </w:r>
      <w:r w:rsidRPr="005E6149">
        <w:rPr>
          <w:rFonts w:ascii="Arial" w:hAnsi="Arial" w:cs="Arial"/>
          <w:sz w:val="22"/>
          <w:szCs w:val="22"/>
        </w:rPr>
        <w:t xml:space="preserve"> </w:t>
      </w:r>
      <w:r w:rsidR="008B1BAF">
        <w:rPr>
          <w:rFonts w:ascii="Arial" w:hAnsi="Arial" w:cs="Arial"/>
          <w:sz w:val="22"/>
          <w:szCs w:val="22"/>
        </w:rPr>
        <w:t>S</w:t>
      </w:r>
      <w:r w:rsidRPr="005E6149">
        <w:rPr>
          <w:rFonts w:ascii="Arial" w:hAnsi="Arial" w:cs="Arial"/>
          <w:sz w:val="22"/>
          <w:szCs w:val="22"/>
        </w:rPr>
        <w:t xml:space="preserve">uch a program of work </w:t>
      </w:r>
      <w:r w:rsidR="008B1BAF">
        <w:rPr>
          <w:rFonts w:ascii="Arial" w:hAnsi="Arial" w:cs="Arial"/>
          <w:sz w:val="22"/>
          <w:szCs w:val="22"/>
        </w:rPr>
        <w:t xml:space="preserve">would </w:t>
      </w:r>
      <w:r w:rsidRPr="005E6149">
        <w:rPr>
          <w:rFonts w:ascii="Arial" w:hAnsi="Arial" w:cs="Arial"/>
          <w:sz w:val="22"/>
          <w:szCs w:val="22"/>
        </w:rPr>
        <w:t xml:space="preserve">address much broader issues than just addressing Indigenous and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costing issues</w:t>
      </w:r>
      <w:r w:rsidR="00D873D2">
        <w:rPr>
          <w:rFonts w:ascii="Arial" w:hAnsi="Arial" w:cs="Arial"/>
          <w:sz w:val="22"/>
          <w:szCs w:val="22"/>
        </w:rPr>
        <w:t xml:space="preserve">. </w:t>
      </w:r>
      <w:r w:rsidRPr="005E6149">
        <w:rPr>
          <w:rFonts w:ascii="Arial" w:hAnsi="Arial" w:cs="Arial"/>
          <w:sz w:val="22"/>
          <w:szCs w:val="22"/>
        </w:rPr>
        <w:t xml:space="preserve">A cleaner dataset </w:t>
      </w:r>
      <w:r w:rsidR="008B1BAF">
        <w:rPr>
          <w:rFonts w:ascii="Arial" w:hAnsi="Arial" w:cs="Arial"/>
          <w:sz w:val="22"/>
          <w:szCs w:val="22"/>
        </w:rPr>
        <w:t>would</w:t>
      </w:r>
      <w:r w:rsidR="008B1BAF" w:rsidRPr="005E6149">
        <w:rPr>
          <w:rFonts w:ascii="Arial" w:hAnsi="Arial" w:cs="Arial"/>
          <w:sz w:val="22"/>
          <w:szCs w:val="22"/>
        </w:rPr>
        <w:t xml:space="preserve"> </w:t>
      </w:r>
      <w:r w:rsidRPr="005E6149">
        <w:rPr>
          <w:rFonts w:ascii="Arial" w:hAnsi="Arial" w:cs="Arial"/>
          <w:sz w:val="22"/>
          <w:szCs w:val="22"/>
        </w:rPr>
        <w:t xml:space="preserve">sharpen the precision of any further comparative analysis </w:t>
      </w:r>
      <w:r w:rsidR="008B1BAF">
        <w:rPr>
          <w:rFonts w:ascii="Arial" w:hAnsi="Arial" w:cs="Arial"/>
          <w:sz w:val="22"/>
          <w:szCs w:val="22"/>
        </w:rPr>
        <w:t xml:space="preserve">being </w:t>
      </w:r>
      <w:r w:rsidRPr="005E6149">
        <w:rPr>
          <w:rFonts w:ascii="Arial" w:hAnsi="Arial" w:cs="Arial"/>
          <w:sz w:val="22"/>
          <w:szCs w:val="22"/>
        </w:rPr>
        <w:t xml:space="preserve">undertaken in the sector. </w:t>
      </w:r>
    </w:p>
    <w:p w:rsidR="00E957AA" w:rsidRPr="005E6149" w:rsidRDefault="00D045E1" w:rsidP="00D045E1">
      <w:pPr>
        <w:pStyle w:val="Heading2"/>
        <w:rPr>
          <w:rFonts w:ascii="Arial" w:hAnsi="Arial" w:cs="Arial"/>
        </w:rPr>
      </w:pPr>
      <w:bookmarkStart w:id="88" w:name="_Toc278480650"/>
      <w:r w:rsidRPr="005E6149">
        <w:rPr>
          <w:rFonts w:ascii="Arial" w:hAnsi="Arial" w:cs="Arial"/>
        </w:rPr>
        <w:t xml:space="preserve">Review of Service </w:t>
      </w:r>
      <w:proofErr w:type="spellStart"/>
      <w:r w:rsidRPr="005E6149">
        <w:rPr>
          <w:rFonts w:ascii="Arial" w:hAnsi="Arial" w:cs="Arial"/>
        </w:rPr>
        <w:t>Utilisation</w:t>
      </w:r>
      <w:proofErr w:type="spellEnd"/>
      <w:r w:rsidRPr="005E6149">
        <w:rPr>
          <w:rFonts w:ascii="Arial" w:hAnsi="Arial" w:cs="Arial"/>
        </w:rPr>
        <w:t xml:space="preserve"> Data</w:t>
      </w:r>
      <w:bookmarkEnd w:id="88"/>
    </w:p>
    <w:p w:rsidR="00AF5AC7" w:rsidRPr="005E6149" w:rsidRDefault="0008774E" w:rsidP="00013857">
      <w:pPr>
        <w:spacing w:before="120" w:after="120"/>
        <w:rPr>
          <w:rFonts w:ascii="Arial" w:hAnsi="Arial" w:cs="Arial"/>
        </w:rPr>
      </w:pPr>
      <w:r w:rsidRPr="005E6149">
        <w:rPr>
          <w:rFonts w:ascii="Arial" w:hAnsi="Arial" w:cs="Arial"/>
          <w:sz w:val="22"/>
          <w:szCs w:val="22"/>
        </w:rPr>
        <w:t>A review of information</w:t>
      </w:r>
      <w:r w:rsidR="00591150">
        <w:rPr>
          <w:rFonts w:ascii="Arial" w:hAnsi="Arial" w:cs="Arial"/>
          <w:sz w:val="22"/>
          <w:szCs w:val="22"/>
        </w:rPr>
        <w:t xml:space="preserve"> in a clinical category</w:t>
      </w:r>
      <w:r w:rsidRPr="005E6149">
        <w:rPr>
          <w:rFonts w:ascii="Arial" w:hAnsi="Arial" w:cs="Arial"/>
          <w:sz w:val="22"/>
          <w:szCs w:val="22"/>
        </w:rPr>
        <w:t xml:space="preserve">, such as the number of pathology tests ordered for a given set of patients, </w:t>
      </w:r>
      <w:r w:rsidR="00591150">
        <w:rPr>
          <w:rFonts w:ascii="Arial" w:hAnsi="Arial" w:cs="Arial"/>
          <w:sz w:val="22"/>
          <w:szCs w:val="22"/>
        </w:rPr>
        <w:t>when</w:t>
      </w:r>
      <w:r w:rsidR="00591150" w:rsidRPr="005E6149">
        <w:rPr>
          <w:rFonts w:ascii="Arial" w:hAnsi="Arial" w:cs="Arial"/>
          <w:sz w:val="22"/>
          <w:szCs w:val="22"/>
        </w:rPr>
        <w:t xml:space="preserve"> </w:t>
      </w:r>
      <w:r w:rsidRPr="005E6149">
        <w:rPr>
          <w:rFonts w:ascii="Arial" w:hAnsi="Arial" w:cs="Arial"/>
          <w:sz w:val="22"/>
          <w:szCs w:val="22"/>
        </w:rPr>
        <w:t>compar</w:t>
      </w:r>
      <w:r w:rsidR="00591150">
        <w:rPr>
          <w:rFonts w:ascii="Arial" w:hAnsi="Arial" w:cs="Arial"/>
          <w:sz w:val="22"/>
          <w:szCs w:val="22"/>
        </w:rPr>
        <w:t>ed</w:t>
      </w:r>
      <w:r w:rsidRPr="005E6149">
        <w:rPr>
          <w:rFonts w:ascii="Arial" w:hAnsi="Arial" w:cs="Arial"/>
          <w:sz w:val="22"/>
          <w:szCs w:val="22"/>
        </w:rPr>
        <w:t xml:space="preserve"> to the </w:t>
      </w:r>
      <w:r w:rsidR="00591150">
        <w:rPr>
          <w:rFonts w:ascii="Arial" w:hAnsi="Arial" w:cs="Arial"/>
          <w:sz w:val="22"/>
          <w:szCs w:val="22"/>
        </w:rPr>
        <w:t xml:space="preserve">relevant </w:t>
      </w:r>
      <w:r w:rsidRPr="005E6149">
        <w:rPr>
          <w:rFonts w:ascii="Arial" w:hAnsi="Arial" w:cs="Arial"/>
          <w:sz w:val="22"/>
          <w:szCs w:val="22"/>
        </w:rPr>
        <w:t>cost profiles</w:t>
      </w:r>
      <w:r w:rsidR="00773D87">
        <w:rPr>
          <w:rFonts w:ascii="Arial" w:hAnsi="Arial" w:cs="Arial"/>
          <w:sz w:val="22"/>
          <w:szCs w:val="22"/>
        </w:rPr>
        <w:t>,</w:t>
      </w:r>
      <w:r w:rsidRPr="005E6149">
        <w:rPr>
          <w:rFonts w:ascii="Arial" w:hAnsi="Arial" w:cs="Arial"/>
          <w:sz w:val="22"/>
          <w:szCs w:val="22"/>
        </w:rPr>
        <w:t xml:space="preserve"> </w:t>
      </w:r>
      <w:r w:rsidR="00591150">
        <w:rPr>
          <w:rFonts w:ascii="Arial" w:hAnsi="Arial" w:cs="Arial"/>
          <w:sz w:val="22"/>
          <w:szCs w:val="22"/>
        </w:rPr>
        <w:t>would inform</w:t>
      </w:r>
      <w:r w:rsidR="006B6B6E" w:rsidRPr="005E6149">
        <w:rPr>
          <w:rFonts w:ascii="Arial" w:hAnsi="Arial" w:cs="Arial"/>
          <w:sz w:val="22"/>
          <w:szCs w:val="22"/>
        </w:rPr>
        <w:t xml:space="preserve"> IHPA and the jurisdiction if cost allocations are being made in accordance with service consumption data</w:t>
      </w:r>
      <w:r w:rsidR="00D873D2">
        <w:rPr>
          <w:rFonts w:ascii="Arial" w:hAnsi="Arial" w:cs="Arial"/>
          <w:sz w:val="22"/>
          <w:szCs w:val="22"/>
        </w:rPr>
        <w:t xml:space="preserve">. </w:t>
      </w:r>
      <w:r w:rsidR="00773D87">
        <w:rPr>
          <w:rFonts w:ascii="Arial" w:hAnsi="Arial" w:cs="Arial"/>
          <w:sz w:val="22"/>
          <w:szCs w:val="22"/>
        </w:rPr>
        <w:t xml:space="preserve">This </w:t>
      </w:r>
      <w:r w:rsidR="00591150">
        <w:rPr>
          <w:rFonts w:ascii="Arial" w:hAnsi="Arial" w:cs="Arial"/>
          <w:sz w:val="22"/>
          <w:szCs w:val="22"/>
        </w:rPr>
        <w:t>will</w:t>
      </w:r>
      <w:r w:rsidR="006B6B6E" w:rsidRPr="005E6149">
        <w:rPr>
          <w:rFonts w:ascii="Arial" w:hAnsi="Arial" w:cs="Arial"/>
          <w:sz w:val="22"/>
          <w:szCs w:val="22"/>
        </w:rPr>
        <w:t xml:space="preserve"> </w:t>
      </w:r>
      <w:r w:rsidR="00773D87">
        <w:rPr>
          <w:rFonts w:ascii="Arial" w:hAnsi="Arial" w:cs="Arial"/>
          <w:sz w:val="22"/>
          <w:szCs w:val="22"/>
        </w:rPr>
        <w:t>allow</w:t>
      </w:r>
      <w:r w:rsidR="006B6B6E" w:rsidRPr="005E6149">
        <w:rPr>
          <w:rFonts w:ascii="Arial" w:hAnsi="Arial" w:cs="Arial"/>
          <w:sz w:val="22"/>
          <w:szCs w:val="22"/>
        </w:rPr>
        <w:t xml:space="preserve"> </w:t>
      </w:r>
      <w:r w:rsidR="00773D87">
        <w:rPr>
          <w:rFonts w:ascii="Arial" w:hAnsi="Arial" w:cs="Arial"/>
          <w:sz w:val="22"/>
          <w:szCs w:val="22"/>
        </w:rPr>
        <w:t xml:space="preserve">for the </w:t>
      </w:r>
      <w:r w:rsidR="006B6B6E" w:rsidRPr="005E6149">
        <w:rPr>
          <w:rFonts w:ascii="Arial" w:hAnsi="Arial" w:cs="Arial"/>
          <w:sz w:val="22"/>
          <w:szCs w:val="22"/>
        </w:rPr>
        <w:t xml:space="preserve">immediate </w:t>
      </w:r>
      <w:r w:rsidR="00773D87">
        <w:rPr>
          <w:rFonts w:ascii="Arial" w:hAnsi="Arial" w:cs="Arial"/>
          <w:sz w:val="22"/>
          <w:szCs w:val="22"/>
        </w:rPr>
        <w:t xml:space="preserve">identification of </w:t>
      </w:r>
      <w:r w:rsidR="006B6B6E" w:rsidRPr="005E6149">
        <w:rPr>
          <w:rFonts w:ascii="Arial" w:hAnsi="Arial" w:cs="Arial"/>
          <w:sz w:val="22"/>
          <w:szCs w:val="22"/>
        </w:rPr>
        <w:t>differential</w:t>
      </w:r>
      <w:r w:rsidR="00773D87">
        <w:rPr>
          <w:rFonts w:ascii="Arial" w:hAnsi="Arial" w:cs="Arial"/>
          <w:sz w:val="22"/>
          <w:szCs w:val="22"/>
        </w:rPr>
        <w:t>s</w:t>
      </w:r>
      <w:r w:rsidR="006B6B6E" w:rsidRPr="005E6149">
        <w:rPr>
          <w:rFonts w:ascii="Arial" w:hAnsi="Arial" w:cs="Arial"/>
          <w:sz w:val="22"/>
          <w:szCs w:val="22"/>
        </w:rPr>
        <w:t xml:space="preserve"> in the type</w:t>
      </w:r>
      <w:r w:rsidR="00591150">
        <w:rPr>
          <w:rFonts w:ascii="Arial" w:hAnsi="Arial" w:cs="Arial"/>
          <w:sz w:val="22"/>
          <w:szCs w:val="22"/>
        </w:rPr>
        <w:t>s</w:t>
      </w:r>
      <w:r w:rsidR="006B6B6E" w:rsidRPr="005E6149">
        <w:rPr>
          <w:rFonts w:ascii="Arial" w:hAnsi="Arial" w:cs="Arial"/>
          <w:sz w:val="22"/>
          <w:szCs w:val="22"/>
        </w:rPr>
        <w:t xml:space="preserve"> of services being provided to Indigenous patients compared to </w:t>
      </w:r>
      <w:r w:rsidR="0018326F">
        <w:rPr>
          <w:rFonts w:ascii="Arial" w:hAnsi="Arial" w:cs="Arial"/>
          <w:sz w:val="22"/>
          <w:szCs w:val="22"/>
        </w:rPr>
        <w:t>n</w:t>
      </w:r>
      <w:r w:rsidR="007A097D">
        <w:rPr>
          <w:rFonts w:ascii="Arial" w:hAnsi="Arial" w:cs="Arial"/>
          <w:sz w:val="22"/>
          <w:szCs w:val="22"/>
        </w:rPr>
        <w:t>on-Indigenous</w:t>
      </w:r>
      <w:r w:rsidR="006B6B6E" w:rsidRPr="005E6149">
        <w:rPr>
          <w:rFonts w:ascii="Arial" w:hAnsi="Arial" w:cs="Arial"/>
          <w:sz w:val="22"/>
          <w:szCs w:val="22"/>
        </w:rPr>
        <w:t xml:space="preserve"> patients</w:t>
      </w:r>
      <w:r w:rsidR="00773D87">
        <w:rPr>
          <w:rFonts w:ascii="Arial" w:hAnsi="Arial" w:cs="Arial"/>
          <w:sz w:val="22"/>
          <w:szCs w:val="22"/>
        </w:rPr>
        <w:t>,</w:t>
      </w:r>
      <w:r w:rsidR="006B6B6E" w:rsidRPr="005E6149">
        <w:rPr>
          <w:rFonts w:ascii="Arial" w:hAnsi="Arial" w:cs="Arial"/>
          <w:sz w:val="22"/>
          <w:szCs w:val="22"/>
        </w:rPr>
        <w:t xml:space="preserve"> and </w:t>
      </w:r>
      <w:r w:rsidR="00591150">
        <w:rPr>
          <w:rFonts w:ascii="Arial" w:hAnsi="Arial" w:cs="Arial"/>
          <w:sz w:val="22"/>
          <w:szCs w:val="22"/>
        </w:rPr>
        <w:t xml:space="preserve">to identify </w:t>
      </w:r>
      <w:r w:rsidR="006B6B6E" w:rsidRPr="005E6149">
        <w:rPr>
          <w:rFonts w:ascii="Arial" w:hAnsi="Arial" w:cs="Arial"/>
          <w:sz w:val="22"/>
          <w:szCs w:val="22"/>
        </w:rPr>
        <w:t>what is driving this difference.</w:t>
      </w:r>
    </w:p>
    <w:p w:rsidR="0039544E" w:rsidRPr="005E6149" w:rsidRDefault="0039544E" w:rsidP="0039544E">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sidRPr="005E6149">
        <w:rPr>
          <w:rFonts w:ascii="Arial" w:hAnsi="Arial" w:cs="Arial"/>
          <w:b/>
          <w:sz w:val="22"/>
          <w:szCs w:val="22"/>
        </w:rPr>
        <w:t xml:space="preserve">Recommendation </w:t>
      </w:r>
      <w:r w:rsidR="00117F85">
        <w:rPr>
          <w:rFonts w:ascii="Arial" w:hAnsi="Arial" w:cs="Arial"/>
          <w:b/>
          <w:sz w:val="22"/>
          <w:szCs w:val="22"/>
        </w:rPr>
        <w:t>7</w:t>
      </w:r>
      <w:r w:rsidRPr="005E6149">
        <w:rPr>
          <w:rFonts w:ascii="Arial" w:hAnsi="Arial" w:cs="Arial"/>
          <w:b/>
          <w:sz w:val="22"/>
          <w:szCs w:val="22"/>
        </w:rPr>
        <w:t>:</w:t>
      </w:r>
      <w:r w:rsidRPr="005E6149">
        <w:rPr>
          <w:rFonts w:ascii="Arial" w:hAnsi="Arial" w:cs="Arial"/>
          <w:b/>
          <w:sz w:val="22"/>
          <w:szCs w:val="22"/>
        </w:rPr>
        <w:tab/>
      </w:r>
      <w:r w:rsidR="00CE13DC" w:rsidRPr="00CE13DC">
        <w:rPr>
          <w:rFonts w:ascii="Arial" w:hAnsi="Arial" w:cs="Arial"/>
          <w:b/>
          <w:sz w:val="22"/>
          <w:szCs w:val="22"/>
        </w:rPr>
        <w:t xml:space="preserve">A study that compares the number of diagnostic tests ordered for a given set of patients and compares this to the relevant cost bucket profiles for the same period reported through the NHCDC should be undertaken to inform the degree to which hospitals are allocating costs using actual service </w:t>
      </w:r>
      <w:proofErr w:type="spellStart"/>
      <w:r w:rsidR="00CE13DC" w:rsidRPr="00CE13DC">
        <w:rPr>
          <w:rFonts w:ascii="Arial" w:hAnsi="Arial" w:cs="Arial"/>
          <w:b/>
          <w:sz w:val="22"/>
          <w:szCs w:val="22"/>
        </w:rPr>
        <w:t>utilisation</w:t>
      </w:r>
      <w:proofErr w:type="spellEnd"/>
      <w:r w:rsidR="00CE13DC" w:rsidRPr="00CE13DC">
        <w:rPr>
          <w:rFonts w:ascii="Arial" w:hAnsi="Arial" w:cs="Arial"/>
          <w:b/>
          <w:sz w:val="22"/>
          <w:szCs w:val="22"/>
        </w:rPr>
        <w:t xml:space="preserve"> data.</w:t>
      </w:r>
    </w:p>
    <w:p w:rsidR="00F12EA2" w:rsidRPr="005E6149" w:rsidRDefault="00AF5AC7" w:rsidP="00AF5AC7">
      <w:pPr>
        <w:pStyle w:val="Heading2"/>
        <w:rPr>
          <w:rFonts w:ascii="Arial" w:hAnsi="Arial" w:cs="Arial"/>
        </w:rPr>
      </w:pPr>
      <w:bookmarkStart w:id="89" w:name="_Toc278480651"/>
      <w:r w:rsidRPr="005E6149">
        <w:rPr>
          <w:rFonts w:ascii="Arial" w:hAnsi="Arial" w:cs="Arial"/>
        </w:rPr>
        <w:t>Prospective Data Collections</w:t>
      </w:r>
      <w:bookmarkEnd w:id="89"/>
    </w:p>
    <w:p w:rsidR="00AF5AC7" w:rsidRPr="005E6149" w:rsidRDefault="00AF5AC7" w:rsidP="00F12EA2">
      <w:pPr>
        <w:spacing w:before="120" w:after="120"/>
        <w:rPr>
          <w:rFonts w:ascii="Arial" w:hAnsi="Arial" w:cs="Arial"/>
          <w:sz w:val="22"/>
          <w:szCs w:val="22"/>
        </w:rPr>
      </w:pPr>
      <w:r w:rsidRPr="005E6149">
        <w:rPr>
          <w:rFonts w:ascii="Arial" w:hAnsi="Arial" w:cs="Arial"/>
          <w:sz w:val="22"/>
          <w:szCs w:val="22"/>
        </w:rPr>
        <w:t>Invariably</w:t>
      </w:r>
      <w:r w:rsidR="00773D87">
        <w:rPr>
          <w:rFonts w:ascii="Arial" w:hAnsi="Arial" w:cs="Arial"/>
          <w:sz w:val="22"/>
          <w:szCs w:val="22"/>
        </w:rPr>
        <w:t>,</w:t>
      </w:r>
      <w:r w:rsidRPr="005E6149">
        <w:rPr>
          <w:rFonts w:ascii="Arial" w:hAnsi="Arial" w:cs="Arial"/>
          <w:sz w:val="22"/>
          <w:szCs w:val="22"/>
        </w:rPr>
        <w:t xml:space="preserve"> there are areas where service consumption data is relatively scarce</w:t>
      </w:r>
      <w:r w:rsidR="00773D87">
        <w:rPr>
          <w:rFonts w:ascii="Arial" w:hAnsi="Arial" w:cs="Arial"/>
          <w:sz w:val="22"/>
          <w:szCs w:val="22"/>
        </w:rPr>
        <w:t>,</w:t>
      </w:r>
      <w:r w:rsidRPr="005E6149">
        <w:rPr>
          <w:rFonts w:ascii="Arial" w:hAnsi="Arial" w:cs="Arial"/>
          <w:sz w:val="22"/>
          <w:szCs w:val="22"/>
        </w:rPr>
        <w:t xml:space="preserve"> such as </w:t>
      </w:r>
      <w:r w:rsidR="00773D87">
        <w:rPr>
          <w:rFonts w:ascii="Arial" w:hAnsi="Arial" w:cs="Arial"/>
          <w:sz w:val="22"/>
          <w:szCs w:val="22"/>
        </w:rPr>
        <w:t xml:space="preserve">the </w:t>
      </w:r>
      <w:r w:rsidRPr="005E6149">
        <w:rPr>
          <w:rFonts w:ascii="Arial" w:hAnsi="Arial" w:cs="Arial"/>
          <w:sz w:val="22"/>
          <w:szCs w:val="22"/>
        </w:rPr>
        <w:t>time or duration of consultations with different health care professionals in the emergency department</w:t>
      </w:r>
      <w:r w:rsidR="00D873D2">
        <w:rPr>
          <w:rFonts w:ascii="Arial" w:hAnsi="Arial" w:cs="Arial"/>
          <w:sz w:val="22"/>
          <w:szCs w:val="22"/>
        </w:rPr>
        <w:t xml:space="preserve">. </w:t>
      </w:r>
      <w:r w:rsidRPr="005E6149">
        <w:rPr>
          <w:rFonts w:ascii="Arial" w:hAnsi="Arial" w:cs="Arial"/>
          <w:sz w:val="22"/>
          <w:szCs w:val="22"/>
        </w:rPr>
        <w:t>To bridge this gap in information and knowledge</w:t>
      </w:r>
      <w:r w:rsidR="00591150">
        <w:rPr>
          <w:rFonts w:ascii="Arial" w:hAnsi="Arial" w:cs="Arial"/>
          <w:sz w:val="22"/>
          <w:szCs w:val="22"/>
        </w:rPr>
        <w:t>,</w:t>
      </w:r>
      <w:r w:rsidRPr="005E6149">
        <w:rPr>
          <w:rFonts w:ascii="Arial" w:hAnsi="Arial" w:cs="Arial"/>
          <w:sz w:val="22"/>
          <w:szCs w:val="22"/>
        </w:rPr>
        <w:t xml:space="preserve"> it will be necessary to undertake a study that adopts a prospective data collection process</w:t>
      </w:r>
      <w:r w:rsidR="00D873D2">
        <w:rPr>
          <w:rFonts w:ascii="Arial" w:hAnsi="Arial" w:cs="Arial"/>
          <w:sz w:val="22"/>
          <w:szCs w:val="22"/>
        </w:rPr>
        <w:t xml:space="preserve">. </w:t>
      </w:r>
      <w:r w:rsidRPr="005E6149">
        <w:rPr>
          <w:rFonts w:ascii="Arial" w:hAnsi="Arial" w:cs="Arial"/>
          <w:sz w:val="22"/>
          <w:szCs w:val="22"/>
        </w:rPr>
        <w:t>Discussions with clinicians in the course of conduct</w:t>
      </w:r>
      <w:r w:rsidR="00773D87">
        <w:rPr>
          <w:rFonts w:ascii="Arial" w:hAnsi="Arial" w:cs="Arial"/>
          <w:sz w:val="22"/>
          <w:szCs w:val="22"/>
        </w:rPr>
        <w:t>ing</w:t>
      </w:r>
      <w:r w:rsidRPr="005E6149">
        <w:rPr>
          <w:rFonts w:ascii="Arial" w:hAnsi="Arial" w:cs="Arial"/>
          <w:sz w:val="22"/>
          <w:szCs w:val="22"/>
        </w:rPr>
        <w:t xml:space="preserve"> this study identified potential alternatives to long, protracted data collection periods</w:t>
      </w:r>
      <w:r w:rsidR="00D873D2">
        <w:rPr>
          <w:rFonts w:ascii="Arial" w:hAnsi="Arial" w:cs="Arial"/>
          <w:sz w:val="22"/>
          <w:szCs w:val="22"/>
        </w:rPr>
        <w:t xml:space="preserve">. </w:t>
      </w:r>
      <w:r w:rsidRPr="005E6149">
        <w:rPr>
          <w:rFonts w:ascii="Arial" w:hAnsi="Arial" w:cs="Arial"/>
          <w:sz w:val="22"/>
          <w:szCs w:val="22"/>
        </w:rPr>
        <w:t xml:space="preserve">The potential to combine short bursts of data collection with clinical Delphi panels to review and adapt the data was mooted by clinicians as </w:t>
      </w:r>
      <w:r w:rsidR="00773D87">
        <w:rPr>
          <w:rFonts w:ascii="Arial" w:hAnsi="Arial" w:cs="Arial"/>
          <w:sz w:val="22"/>
          <w:szCs w:val="22"/>
        </w:rPr>
        <w:t xml:space="preserve">a </w:t>
      </w:r>
      <w:r w:rsidRPr="005E6149">
        <w:rPr>
          <w:rFonts w:ascii="Arial" w:hAnsi="Arial" w:cs="Arial"/>
          <w:sz w:val="22"/>
          <w:szCs w:val="22"/>
        </w:rPr>
        <w:t>potential alternate approach to a detailed time and motion study</w:t>
      </w:r>
      <w:r w:rsidR="00D873D2">
        <w:rPr>
          <w:rFonts w:ascii="Arial" w:hAnsi="Arial" w:cs="Arial"/>
          <w:sz w:val="22"/>
          <w:szCs w:val="22"/>
        </w:rPr>
        <w:t xml:space="preserve">. </w:t>
      </w:r>
      <w:r w:rsidRPr="005E6149">
        <w:rPr>
          <w:rFonts w:ascii="Arial" w:hAnsi="Arial" w:cs="Arial"/>
          <w:sz w:val="22"/>
          <w:szCs w:val="22"/>
        </w:rPr>
        <w:t>This approach has been used in the past in the early development of service weights and continues to be adopted in many workload studies involving the health and hospital sectors</w:t>
      </w:r>
      <w:r w:rsidR="00773D87">
        <w:rPr>
          <w:rFonts w:ascii="Arial" w:hAnsi="Arial" w:cs="Arial"/>
          <w:sz w:val="22"/>
          <w:szCs w:val="22"/>
        </w:rPr>
        <w:t>,</w:t>
      </w:r>
      <w:r w:rsidRPr="005E6149">
        <w:rPr>
          <w:rFonts w:ascii="Arial" w:hAnsi="Arial" w:cs="Arial"/>
          <w:sz w:val="22"/>
          <w:szCs w:val="22"/>
        </w:rPr>
        <w:t xml:space="preserve"> both nationally and internationally.</w:t>
      </w:r>
    </w:p>
    <w:p w:rsidR="0039544E" w:rsidRPr="005E6149" w:rsidRDefault="0039544E" w:rsidP="0039544E">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sidRPr="005E6149">
        <w:rPr>
          <w:rFonts w:ascii="Arial" w:hAnsi="Arial" w:cs="Arial"/>
          <w:b/>
          <w:sz w:val="22"/>
          <w:szCs w:val="22"/>
        </w:rPr>
        <w:t xml:space="preserve">Recommendation </w:t>
      </w:r>
      <w:r w:rsidR="00117F85">
        <w:rPr>
          <w:rFonts w:ascii="Arial" w:hAnsi="Arial" w:cs="Arial"/>
          <w:b/>
          <w:sz w:val="22"/>
          <w:szCs w:val="22"/>
        </w:rPr>
        <w:t>8</w:t>
      </w:r>
      <w:r w:rsidRPr="005E6149">
        <w:rPr>
          <w:rFonts w:ascii="Arial" w:hAnsi="Arial" w:cs="Arial"/>
          <w:b/>
          <w:sz w:val="22"/>
          <w:szCs w:val="22"/>
        </w:rPr>
        <w:t>:</w:t>
      </w:r>
      <w:r w:rsidRPr="005E6149">
        <w:rPr>
          <w:rFonts w:ascii="Arial" w:hAnsi="Arial" w:cs="Arial"/>
          <w:b/>
          <w:sz w:val="22"/>
          <w:szCs w:val="22"/>
        </w:rPr>
        <w:tab/>
      </w:r>
      <w:r w:rsidR="00CE13DC" w:rsidRPr="00CE13DC">
        <w:rPr>
          <w:rFonts w:ascii="Arial" w:hAnsi="Arial" w:cs="Arial"/>
          <w:b/>
          <w:sz w:val="22"/>
          <w:szCs w:val="22"/>
        </w:rPr>
        <w:t xml:space="preserve">The use of clinical Delphi panels in the design of prospective time and motion studies should be considered to </w:t>
      </w:r>
      <w:proofErr w:type="spellStart"/>
      <w:r w:rsidR="00CE13DC" w:rsidRPr="00CE13DC">
        <w:rPr>
          <w:rFonts w:ascii="Arial" w:hAnsi="Arial" w:cs="Arial"/>
          <w:b/>
          <w:sz w:val="22"/>
          <w:szCs w:val="22"/>
        </w:rPr>
        <w:t>minimise</w:t>
      </w:r>
      <w:proofErr w:type="spellEnd"/>
      <w:r w:rsidR="00CE13DC" w:rsidRPr="00CE13DC">
        <w:rPr>
          <w:rFonts w:ascii="Arial" w:hAnsi="Arial" w:cs="Arial"/>
          <w:b/>
          <w:sz w:val="22"/>
          <w:szCs w:val="22"/>
        </w:rPr>
        <w:t xml:space="preserve"> the impost on staff.</w:t>
      </w:r>
    </w:p>
    <w:p w:rsidR="00CC71B6" w:rsidRPr="005E6149" w:rsidRDefault="00CC71B6" w:rsidP="000679F9">
      <w:pPr>
        <w:pStyle w:val="Heading2"/>
        <w:rPr>
          <w:rFonts w:ascii="Arial" w:hAnsi="Arial" w:cs="Arial"/>
        </w:rPr>
      </w:pPr>
      <w:bookmarkStart w:id="90" w:name="_Toc278480652"/>
      <w:r w:rsidRPr="005E6149">
        <w:rPr>
          <w:rFonts w:ascii="Arial" w:hAnsi="Arial" w:cs="Arial"/>
        </w:rPr>
        <w:lastRenderedPageBreak/>
        <w:t>Targeted investigations</w:t>
      </w:r>
      <w:bookmarkEnd w:id="90"/>
    </w:p>
    <w:p w:rsidR="00EA028C" w:rsidRPr="00A46AE7" w:rsidRDefault="00EA028C" w:rsidP="00A46AE7">
      <w:pPr>
        <w:pStyle w:val="Heading2"/>
        <w:keepLines w:val="0"/>
        <w:tabs>
          <w:tab w:val="left" w:pos="851"/>
        </w:tabs>
        <w:spacing w:before="360" w:after="240"/>
        <w:ind w:left="851" w:hanging="851"/>
        <w:rPr>
          <w:rFonts w:ascii="Arial" w:hAnsi="Arial" w:cs="Arial"/>
          <w:color w:val="548DD4" w:themeColor="text2" w:themeTint="99"/>
        </w:rPr>
      </w:pPr>
      <w:r w:rsidRPr="00A46AE7">
        <w:rPr>
          <w:rFonts w:ascii="Arial" w:hAnsi="Arial" w:cs="Arial"/>
          <w:color w:val="548DD4" w:themeColor="text2" w:themeTint="99"/>
        </w:rPr>
        <w:t>Geographic location of usual residence</w:t>
      </w:r>
    </w:p>
    <w:p w:rsidR="000679F9" w:rsidRPr="005E6149" w:rsidRDefault="00773D87" w:rsidP="000679F9">
      <w:pPr>
        <w:spacing w:before="120" w:after="120"/>
        <w:rPr>
          <w:rFonts w:ascii="Arial" w:hAnsi="Arial" w:cs="Arial"/>
          <w:sz w:val="22"/>
          <w:szCs w:val="22"/>
        </w:rPr>
      </w:pPr>
      <w:r>
        <w:rPr>
          <w:rFonts w:ascii="Arial" w:hAnsi="Arial" w:cs="Arial"/>
          <w:sz w:val="22"/>
          <w:szCs w:val="22"/>
        </w:rPr>
        <w:t>Due to the</w:t>
      </w:r>
      <w:r w:rsidRPr="005E6149">
        <w:rPr>
          <w:rFonts w:ascii="Arial" w:hAnsi="Arial" w:cs="Arial"/>
          <w:sz w:val="22"/>
          <w:szCs w:val="22"/>
        </w:rPr>
        <w:t xml:space="preserve"> high levels of ‘unknown’ codes being recorded </w:t>
      </w:r>
      <w:r>
        <w:rPr>
          <w:rFonts w:ascii="Arial" w:hAnsi="Arial" w:cs="Arial"/>
          <w:sz w:val="22"/>
          <w:szCs w:val="22"/>
        </w:rPr>
        <w:t>as the postcode of the patients’</w:t>
      </w:r>
      <w:r w:rsidR="000679F9" w:rsidRPr="005E6149">
        <w:rPr>
          <w:rFonts w:ascii="Arial" w:hAnsi="Arial" w:cs="Arial"/>
          <w:sz w:val="22"/>
          <w:szCs w:val="22"/>
        </w:rPr>
        <w:t xml:space="preserve"> usual residence</w:t>
      </w:r>
      <w:r>
        <w:rPr>
          <w:rFonts w:ascii="Arial" w:hAnsi="Arial" w:cs="Arial"/>
          <w:sz w:val="22"/>
          <w:szCs w:val="22"/>
        </w:rPr>
        <w:t>,</w:t>
      </w:r>
      <w:r w:rsidR="000679F9" w:rsidRPr="005E6149">
        <w:rPr>
          <w:rFonts w:ascii="Arial" w:hAnsi="Arial" w:cs="Arial"/>
          <w:sz w:val="22"/>
          <w:szCs w:val="22"/>
        </w:rPr>
        <w:t xml:space="preserve"> </w:t>
      </w:r>
      <w:r>
        <w:rPr>
          <w:rFonts w:ascii="Arial" w:hAnsi="Arial" w:cs="Arial"/>
          <w:sz w:val="22"/>
          <w:szCs w:val="22"/>
        </w:rPr>
        <w:t xml:space="preserve">it is difficult to determine </w:t>
      </w:r>
      <w:r w:rsidR="000679F9" w:rsidRPr="005E6149">
        <w:rPr>
          <w:rFonts w:ascii="Arial" w:hAnsi="Arial" w:cs="Arial"/>
          <w:sz w:val="22"/>
          <w:szCs w:val="22"/>
        </w:rPr>
        <w:t xml:space="preserve">the cost differential incurred by Indigenous and </w:t>
      </w:r>
      <w:r w:rsidR="0018326F">
        <w:rPr>
          <w:rFonts w:ascii="Arial" w:hAnsi="Arial" w:cs="Arial"/>
          <w:sz w:val="22"/>
          <w:szCs w:val="22"/>
        </w:rPr>
        <w:t>n</w:t>
      </w:r>
      <w:r w:rsidR="007A097D">
        <w:rPr>
          <w:rFonts w:ascii="Arial" w:hAnsi="Arial" w:cs="Arial"/>
          <w:sz w:val="22"/>
          <w:szCs w:val="22"/>
        </w:rPr>
        <w:t>on-Indigenous</w:t>
      </w:r>
      <w:r w:rsidR="000679F9" w:rsidRPr="005E6149">
        <w:rPr>
          <w:rFonts w:ascii="Arial" w:hAnsi="Arial" w:cs="Arial"/>
          <w:sz w:val="22"/>
          <w:szCs w:val="22"/>
        </w:rPr>
        <w:t xml:space="preserve"> patients</w:t>
      </w:r>
      <w:r w:rsidR="00D873D2">
        <w:rPr>
          <w:rFonts w:ascii="Arial" w:hAnsi="Arial" w:cs="Arial"/>
          <w:sz w:val="22"/>
          <w:szCs w:val="22"/>
        </w:rPr>
        <w:t xml:space="preserve">. </w:t>
      </w:r>
      <w:r w:rsidR="000679F9" w:rsidRPr="005E6149">
        <w:rPr>
          <w:rFonts w:ascii="Arial" w:hAnsi="Arial" w:cs="Arial"/>
          <w:sz w:val="22"/>
          <w:szCs w:val="22"/>
        </w:rPr>
        <w:t>This is particularly so for the Indigenous patient cohort</w:t>
      </w:r>
      <w:r w:rsidR="00D873D2">
        <w:rPr>
          <w:rFonts w:ascii="Arial" w:hAnsi="Arial" w:cs="Arial"/>
          <w:sz w:val="22"/>
          <w:szCs w:val="22"/>
        </w:rPr>
        <w:t xml:space="preserve">. </w:t>
      </w:r>
    </w:p>
    <w:p w:rsidR="000679F9" w:rsidRPr="005E6149" w:rsidRDefault="000679F9" w:rsidP="000679F9">
      <w:pPr>
        <w:spacing w:before="120" w:after="120"/>
        <w:rPr>
          <w:rFonts w:ascii="Arial" w:hAnsi="Arial" w:cs="Arial"/>
          <w:sz w:val="22"/>
          <w:szCs w:val="22"/>
        </w:rPr>
      </w:pPr>
      <w:r w:rsidRPr="005E6149">
        <w:rPr>
          <w:rFonts w:ascii="Arial" w:hAnsi="Arial" w:cs="Arial"/>
          <w:sz w:val="22"/>
          <w:szCs w:val="22"/>
        </w:rPr>
        <w:t xml:space="preserve">The analysis </w:t>
      </w:r>
      <w:r w:rsidR="008B1BAF">
        <w:rPr>
          <w:rFonts w:ascii="Arial" w:hAnsi="Arial" w:cs="Arial"/>
          <w:sz w:val="22"/>
          <w:szCs w:val="22"/>
        </w:rPr>
        <w:t xml:space="preserve">also </w:t>
      </w:r>
      <w:r w:rsidRPr="005E6149">
        <w:rPr>
          <w:rFonts w:ascii="Arial" w:hAnsi="Arial" w:cs="Arial"/>
          <w:sz w:val="22"/>
          <w:szCs w:val="22"/>
        </w:rPr>
        <w:t xml:space="preserve">showed an unexpected relationship between </w:t>
      </w:r>
      <w:r w:rsidR="00773D87">
        <w:rPr>
          <w:rFonts w:ascii="Arial" w:hAnsi="Arial" w:cs="Arial"/>
          <w:sz w:val="22"/>
          <w:szCs w:val="22"/>
        </w:rPr>
        <w:t xml:space="preserve">the </w:t>
      </w:r>
      <w:r w:rsidRPr="005E6149">
        <w:rPr>
          <w:rFonts w:ascii="Arial" w:hAnsi="Arial" w:cs="Arial"/>
          <w:sz w:val="22"/>
          <w:szCs w:val="22"/>
        </w:rPr>
        <w:t>geographic location</w:t>
      </w:r>
      <w:r w:rsidR="00773D87">
        <w:rPr>
          <w:rFonts w:ascii="Arial" w:hAnsi="Arial" w:cs="Arial"/>
          <w:sz w:val="22"/>
          <w:szCs w:val="22"/>
        </w:rPr>
        <w:t>s</w:t>
      </w:r>
      <w:r w:rsidRPr="005E6149">
        <w:rPr>
          <w:rFonts w:ascii="Arial" w:hAnsi="Arial" w:cs="Arial"/>
          <w:sz w:val="22"/>
          <w:szCs w:val="22"/>
        </w:rPr>
        <w:t xml:space="preserve"> of </w:t>
      </w:r>
      <w:r w:rsidR="00773D87">
        <w:rPr>
          <w:rFonts w:ascii="Arial" w:hAnsi="Arial" w:cs="Arial"/>
          <w:sz w:val="22"/>
          <w:szCs w:val="22"/>
        </w:rPr>
        <w:t xml:space="preserve">a patients’ </w:t>
      </w:r>
      <w:r w:rsidRPr="005E6149">
        <w:rPr>
          <w:rFonts w:ascii="Arial" w:hAnsi="Arial" w:cs="Arial"/>
          <w:sz w:val="22"/>
          <w:szCs w:val="22"/>
        </w:rPr>
        <w:t xml:space="preserve">usual residence, with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 </w:t>
      </w:r>
      <w:r w:rsidR="0039544E" w:rsidRPr="005E6149">
        <w:rPr>
          <w:rFonts w:ascii="Arial" w:hAnsi="Arial" w:cs="Arial"/>
          <w:sz w:val="22"/>
          <w:szCs w:val="22"/>
        </w:rPr>
        <w:t>living in remote location</w:t>
      </w:r>
      <w:r w:rsidR="008B1BAF">
        <w:rPr>
          <w:rFonts w:ascii="Arial" w:hAnsi="Arial" w:cs="Arial"/>
          <w:sz w:val="22"/>
          <w:szCs w:val="22"/>
        </w:rPr>
        <w:t>s</w:t>
      </w:r>
      <w:r w:rsidR="0039544E" w:rsidRPr="005E6149">
        <w:rPr>
          <w:rFonts w:ascii="Arial" w:hAnsi="Arial" w:cs="Arial"/>
          <w:sz w:val="22"/>
          <w:szCs w:val="22"/>
        </w:rPr>
        <w:t xml:space="preserve"> </w:t>
      </w:r>
      <w:r w:rsidRPr="005E6149">
        <w:rPr>
          <w:rFonts w:ascii="Arial" w:hAnsi="Arial" w:cs="Arial"/>
          <w:sz w:val="22"/>
          <w:szCs w:val="22"/>
        </w:rPr>
        <w:t xml:space="preserve">showing a higher cost </w:t>
      </w:r>
      <w:r w:rsidR="0039544E" w:rsidRPr="005E6149">
        <w:rPr>
          <w:rFonts w:ascii="Arial" w:hAnsi="Arial" w:cs="Arial"/>
          <w:sz w:val="22"/>
          <w:szCs w:val="22"/>
        </w:rPr>
        <w:t>profile than their Indigenous counterparts.</w:t>
      </w:r>
    </w:p>
    <w:p w:rsidR="000679F9" w:rsidRPr="005E6149" w:rsidRDefault="000679F9" w:rsidP="000679F9">
      <w:pPr>
        <w:spacing w:before="120" w:after="120"/>
        <w:rPr>
          <w:rFonts w:ascii="Arial" w:hAnsi="Arial" w:cs="Arial"/>
          <w:sz w:val="22"/>
          <w:szCs w:val="22"/>
        </w:rPr>
      </w:pPr>
      <w:r w:rsidRPr="005E6149">
        <w:rPr>
          <w:rFonts w:ascii="Arial" w:hAnsi="Arial" w:cs="Arial"/>
          <w:sz w:val="22"/>
          <w:szCs w:val="22"/>
        </w:rPr>
        <w:t xml:space="preserve">The literature </w:t>
      </w:r>
      <w:r w:rsidR="00773D87">
        <w:rPr>
          <w:rFonts w:ascii="Arial" w:hAnsi="Arial" w:cs="Arial"/>
          <w:sz w:val="22"/>
          <w:szCs w:val="22"/>
        </w:rPr>
        <w:t xml:space="preserve">review </w:t>
      </w:r>
      <w:r w:rsidRPr="005E6149">
        <w:rPr>
          <w:rFonts w:ascii="Arial" w:hAnsi="Arial" w:cs="Arial"/>
          <w:sz w:val="22"/>
          <w:szCs w:val="22"/>
        </w:rPr>
        <w:t xml:space="preserve">and discussions with clinicians </w:t>
      </w:r>
      <w:r w:rsidR="008B1BAF">
        <w:rPr>
          <w:rFonts w:ascii="Arial" w:hAnsi="Arial" w:cs="Arial"/>
          <w:sz w:val="22"/>
          <w:szCs w:val="22"/>
        </w:rPr>
        <w:t xml:space="preserve">both </w:t>
      </w:r>
      <w:r w:rsidRPr="005E6149">
        <w:rPr>
          <w:rFonts w:ascii="Arial" w:hAnsi="Arial" w:cs="Arial"/>
          <w:sz w:val="22"/>
          <w:szCs w:val="22"/>
        </w:rPr>
        <w:t xml:space="preserve">indicate that it is the location of the </w:t>
      </w:r>
      <w:r w:rsidR="00773D87">
        <w:rPr>
          <w:rFonts w:ascii="Arial" w:hAnsi="Arial" w:cs="Arial"/>
          <w:sz w:val="22"/>
          <w:szCs w:val="22"/>
        </w:rPr>
        <w:t xml:space="preserve">patients’ </w:t>
      </w:r>
      <w:r w:rsidRPr="005E6149">
        <w:rPr>
          <w:rFonts w:ascii="Arial" w:hAnsi="Arial" w:cs="Arial"/>
          <w:sz w:val="22"/>
          <w:szCs w:val="22"/>
        </w:rPr>
        <w:t>usual residence, coupled with familial or social supports</w:t>
      </w:r>
      <w:r w:rsidR="008B1BAF">
        <w:rPr>
          <w:rFonts w:ascii="Arial" w:hAnsi="Arial" w:cs="Arial"/>
          <w:sz w:val="22"/>
          <w:szCs w:val="22"/>
        </w:rPr>
        <w:t>,</w:t>
      </w:r>
      <w:r w:rsidRPr="005E6149">
        <w:rPr>
          <w:rFonts w:ascii="Arial" w:hAnsi="Arial" w:cs="Arial"/>
          <w:sz w:val="22"/>
          <w:szCs w:val="22"/>
        </w:rPr>
        <w:t xml:space="preserve"> that impacts more heavily upon the Indigenous population</w:t>
      </w:r>
      <w:r w:rsidR="00D873D2">
        <w:rPr>
          <w:rFonts w:ascii="Arial" w:hAnsi="Arial" w:cs="Arial"/>
          <w:sz w:val="22"/>
          <w:szCs w:val="22"/>
        </w:rPr>
        <w:t xml:space="preserve">. </w:t>
      </w:r>
      <w:r w:rsidR="00773D87">
        <w:rPr>
          <w:rFonts w:ascii="Arial" w:hAnsi="Arial" w:cs="Arial"/>
          <w:sz w:val="22"/>
          <w:szCs w:val="22"/>
        </w:rPr>
        <w:t>However, t</w:t>
      </w:r>
      <w:r w:rsidRPr="005E6149">
        <w:rPr>
          <w:rFonts w:ascii="Arial" w:hAnsi="Arial" w:cs="Arial"/>
          <w:sz w:val="22"/>
          <w:szCs w:val="22"/>
        </w:rPr>
        <w:t>he correlation between these two cost drivers could not be established in the dataset</w:t>
      </w:r>
      <w:r w:rsidR="00773D87">
        <w:rPr>
          <w:rFonts w:ascii="Arial" w:hAnsi="Arial" w:cs="Arial"/>
          <w:sz w:val="22"/>
          <w:szCs w:val="22"/>
        </w:rPr>
        <w:t xml:space="preserve"> and as such</w:t>
      </w:r>
      <w:proofErr w:type="gramStart"/>
      <w:r w:rsidR="00773D87">
        <w:rPr>
          <w:rFonts w:ascii="Arial" w:hAnsi="Arial" w:cs="Arial"/>
          <w:sz w:val="22"/>
          <w:szCs w:val="22"/>
        </w:rPr>
        <w:t xml:space="preserve">, </w:t>
      </w:r>
      <w:r w:rsidR="00D873D2">
        <w:rPr>
          <w:rFonts w:ascii="Arial" w:hAnsi="Arial" w:cs="Arial"/>
          <w:sz w:val="22"/>
          <w:szCs w:val="22"/>
        </w:rPr>
        <w:t xml:space="preserve"> </w:t>
      </w:r>
      <w:r w:rsidR="00773D87">
        <w:rPr>
          <w:rFonts w:ascii="Arial" w:hAnsi="Arial" w:cs="Arial"/>
          <w:sz w:val="22"/>
          <w:szCs w:val="22"/>
        </w:rPr>
        <w:t>a</w:t>
      </w:r>
      <w:r w:rsidRPr="005E6149">
        <w:rPr>
          <w:rFonts w:ascii="Arial" w:hAnsi="Arial" w:cs="Arial"/>
          <w:sz w:val="22"/>
          <w:szCs w:val="22"/>
        </w:rPr>
        <w:t>n</w:t>
      </w:r>
      <w:proofErr w:type="gramEnd"/>
      <w:r w:rsidRPr="005E6149">
        <w:rPr>
          <w:rFonts w:ascii="Arial" w:hAnsi="Arial" w:cs="Arial"/>
          <w:sz w:val="22"/>
          <w:szCs w:val="22"/>
        </w:rPr>
        <w:t xml:space="preserve"> investigative study addressing the potential impact of this hypothesis is warranted. </w:t>
      </w:r>
    </w:p>
    <w:p w:rsidR="0039544E" w:rsidRPr="005E6149" w:rsidRDefault="0039544E" w:rsidP="00CE13DC">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sidRPr="005E6149">
        <w:rPr>
          <w:rFonts w:ascii="Arial" w:hAnsi="Arial" w:cs="Arial"/>
          <w:b/>
          <w:sz w:val="22"/>
          <w:szCs w:val="22"/>
        </w:rPr>
        <w:t xml:space="preserve">Recommendation </w:t>
      </w:r>
      <w:r w:rsidR="00117F85">
        <w:rPr>
          <w:rFonts w:ascii="Arial" w:hAnsi="Arial" w:cs="Arial"/>
          <w:b/>
          <w:sz w:val="22"/>
          <w:szCs w:val="22"/>
        </w:rPr>
        <w:t>9</w:t>
      </w:r>
      <w:r w:rsidRPr="005E6149">
        <w:rPr>
          <w:rFonts w:ascii="Arial" w:hAnsi="Arial" w:cs="Arial"/>
          <w:b/>
          <w:sz w:val="22"/>
          <w:szCs w:val="22"/>
        </w:rPr>
        <w:t>:</w:t>
      </w:r>
      <w:r w:rsidRPr="005E6149">
        <w:rPr>
          <w:rFonts w:ascii="Arial" w:hAnsi="Arial" w:cs="Arial"/>
          <w:b/>
          <w:sz w:val="22"/>
          <w:szCs w:val="22"/>
        </w:rPr>
        <w:tab/>
      </w:r>
      <w:r w:rsidR="00CE13DC" w:rsidRPr="00CE13DC">
        <w:rPr>
          <w:rFonts w:ascii="Arial" w:hAnsi="Arial" w:cs="Arial"/>
          <w:b/>
          <w:sz w:val="22"/>
          <w:szCs w:val="22"/>
        </w:rPr>
        <w:t xml:space="preserve">Consideration be given to undertaking a </w:t>
      </w:r>
      <w:proofErr w:type="spellStart"/>
      <w:r w:rsidR="00CE13DC" w:rsidRPr="00CE13DC">
        <w:rPr>
          <w:rFonts w:ascii="Arial" w:hAnsi="Arial" w:cs="Arial"/>
          <w:b/>
          <w:sz w:val="22"/>
          <w:szCs w:val="22"/>
        </w:rPr>
        <w:t>stocktake</w:t>
      </w:r>
      <w:proofErr w:type="spellEnd"/>
      <w:r w:rsidR="00CE13DC" w:rsidRPr="00CE13DC">
        <w:rPr>
          <w:rFonts w:ascii="Arial" w:hAnsi="Arial" w:cs="Arial"/>
          <w:b/>
          <w:sz w:val="22"/>
          <w:szCs w:val="22"/>
        </w:rPr>
        <w:t xml:space="preserve"> across hospitals and clinical departments to identify data sources with the potential to inform the evidence base regarding cost drivers not currently reported that may identify cost differences.</w:t>
      </w:r>
    </w:p>
    <w:p w:rsidR="00EA028C" w:rsidRPr="005E6149" w:rsidRDefault="000679F9" w:rsidP="00A46AE7">
      <w:pPr>
        <w:pStyle w:val="Heading2"/>
        <w:keepLines w:val="0"/>
        <w:tabs>
          <w:tab w:val="left" w:pos="851"/>
        </w:tabs>
        <w:spacing w:before="360" w:after="240"/>
        <w:ind w:left="851" w:hanging="851"/>
        <w:rPr>
          <w:rFonts w:ascii="Arial" w:hAnsi="Arial" w:cs="Arial"/>
          <w:b w:val="0"/>
          <w:i/>
        </w:rPr>
      </w:pPr>
      <w:r w:rsidRPr="005E6149">
        <w:rPr>
          <w:rFonts w:ascii="Arial" w:hAnsi="Arial" w:cs="Arial"/>
          <w:b w:val="0"/>
          <w:i/>
        </w:rPr>
        <w:t xml:space="preserve"> </w:t>
      </w:r>
      <w:r w:rsidR="00EA028C" w:rsidRPr="00A46AE7">
        <w:rPr>
          <w:rFonts w:ascii="Arial" w:hAnsi="Arial" w:cs="Arial"/>
          <w:color w:val="548DD4" w:themeColor="text2" w:themeTint="99"/>
        </w:rPr>
        <w:t>Unavoidable and legitimate cost variation</w:t>
      </w:r>
    </w:p>
    <w:p w:rsidR="00EA028C" w:rsidRPr="005E6149" w:rsidRDefault="00EA028C" w:rsidP="00EA028C">
      <w:pPr>
        <w:spacing w:before="120" w:after="120"/>
        <w:rPr>
          <w:rFonts w:ascii="Arial" w:hAnsi="Arial" w:cs="Arial"/>
          <w:sz w:val="22"/>
          <w:szCs w:val="22"/>
        </w:rPr>
      </w:pPr>
      <w:r w:rsidRPr="005E6149">
        <w:rPr>
          <w:rFonts w:ascii="Arial" w:hAnsi="Arial" w:cs="Arial"/>
          <w:sz w:val="22"/>
          <w:szCs w:val="22"/>
        </w:rPr>
        <w:t xml:space="preserve">Surrogate variables (state identifier and hospital geographic location) were considered in the analysis as pointers to potential unavoidable or </w:t>
      </w:r>
      <w:proofErr w:type="spellStart"/>
      <w:r w:rsidRPr="005E6149">
        <w:rPr>
          <w:rFonts w:ascii="Arial" w:hAnsi="Arial" w:cs="Arial"/>
          <w:sz w:val="22"/>
          <w:szCs w:val="22"/>
        </w:rPr>
        <w:t>locali</w:t>
      </w:r>
      <w:r w:rsidR="00612FA5">
        <w:rPr>
          <w:rFonts w:ascii="Arial" w:hAnsi="Arial" w:cs="Arial"/>
          <w:sz w:val="22"/>
          <w:szCs w:val="22"/>
        </w:rPr>
        <w:t>s</w:t>
      </w:r>
      <w:r w:rsidRPr="005E6149">
        <w:rPr>
          <w:rFonts w:ascii="Arial" w:hAnsi="Arial" w:cs="Arial"/>
          <w:sz w:val="22"/>
          <w:szCs w:val="22"/>
        </w:rPr>
        <w:t>ed</w:t>
      </w:r>
      <w:proofErr w:type="spellEnd"/>
      <w:r w:rsidRPr="005E6149">
        <w:rPr>
          <w:rFonts w:ascii="Arial" w:hAnsi="Arial" w:cs="Arial"/>
          <w:sz w:val="22"/>
          <w:szCs w:val="22"/>
        </w:rPr>
        <w:t xml:space="preserve"> cost variations</w:t>
      </w:r>
      <w:r w:rsidR="00D873D2">
        <w:rPr>
          <w:rFonts w:ascii="Arial" w:hAnsi="Arial" w:cs="Arial"/>
          <w:sz w:val="22"/>
          <w:szCs w:val="22"/>
        </w:rPr>
        <w:t xml:space="preserve">. </w:t>
      </w:r>
      <w:r w:rsidRPr="005E6149">
        <w:rPr>
          <w:rFonts w:ascii="Arial" w:hAnsi="Arial" w:cs="Arial"/>
          <w:sz w:val="22"/>
          <w:szCs w:val="22"/>
        </w:rPr>
        <w:t>Neither variable yielded statistically significant results and so was not pursued further</w:t>
      </w:r>
      <w:r w:rsidR="00D873D2">
        <w:rPr>
          <w:rFonts w:ascii="Arial" w:hAnsi="Arial" w:cs="Arial"/>
          <w:sz w:val="22"/>
          <w:szCs w:val="22"/>
        </w:rPr>
        <w:t>.</w:t>
      </w:r>
    </w:p>
    <w:p w:rsidR="00F17D85" w:rsidRPr="005E6149" w:rsidRDefault="00EA028C" w:rsidP="00EA028C">
      <w:pPr>
        <w:spacing w:before="120" w:after="120"/>
        <w:rPr>
          <w:rFonts w:ascii="Arial" w:hAnsi="Arial" w:cs="Arial"/>
          <w:sz w:val="22"/>
          <w:szCs w:val="22"/>
        </w:rPr>
      </w:pPr>
      <w:r w:rsidRPr="005E6149">
        <w:rPr>
          <w:rFonts w:ascii="Arial" w:hAnsi="Arial" w:cs="Arial"/>
          <w:sz w:val="22"/>
          <w:szCs w:val="22"/>
        </w:rPr>
        <w:t>Jurisdictions, particularly the ones with large geographic spread and high Indigenous populations</w:t>
      </w:r>
      <w:r w:rsidR="00612FA5">
        <w:rPr>
          <w:rFonts w:ascii="Arial" w:hAnsi="Arial" w:cs="Arial"/>
          <w:sz w:val="22"/>
          <w:szCs w:val="22"/>
        </w:rPr>
        <w:t>,</w:t>
      </w:r>
      <w:r w:rsidRPr="005E6149">
        <w:rPr>
          <w:rFonts w:ascii="Arial" w:hAnsi="Arial" w:cs="Arial"/>
          <w:sz w:val="22"/>
          <w:szCs w:val="22"/>
        </w:rPr>
        <w:t xml:space="preserve"> consider </w:t>
      </w:r>
      <w:r w:rsidR="000A7902" w:rsidRPr="005E6149">
        <w:rPr>
          <w:rFonts w:ascii="Arial" w:hAnsi="Arial" w:cs="Arial"/>
          <w:sz w:val="22"/>
          <w:szCs w:val="22"/>
        </w:rPr>
        <w:t xml:space="preserve">costs associated with travel and accommodation </w:t>
      </w:r>
      <w:r w:rsidR="00013857">
        <w:rPr>
          <w:rFonts w:ascii="Arial" w:hAnsi="Arial" w:cs="Arial"/>
          <w:sz w:val="22"/>
          <w:szCs w:val="22"/>
        </w:rPr>
        <w:t xml:space="preserve">to be </w:t>
      </w:r>
      <w:r w:rsidRPr="005E6149">
        <w:rPr>
          <w:rFonts w:ascii="Arial" w:hAnsi="Arial" w:cs="Arial"/>
          <w:sz w:val="22"/>
          <w:szCs w:val="22"/>
        </w:rPr>
        <w:t>potential cost driver</w:t>
      </w:r>
      <w:r w:rsidR="000A7902" w:rsidRPr="005E6149">
        <w:rPr>
          <w:rFonts w:ascii="Arial" w:hAnsi="Arial" w:cs="Arial"/>
          <w:sz w:val="22"/>
          <w:szCs w:val="22"/>
        </w:rPr>
        <w:t>s</w:t>
      </w:r>
      <w:r w:rsidR="00D873D2">
        <w:rPr>
          <w:rFonts w:ascii="Arial" w:hAnsi="Arial" w:cs="Arial"/>
          <w:sz w:val="22"/>
          <w:szCs w:val="22"/>
        </w:rPr>
        <w:t xml:space="preserve">. </w:t>
      </w:r>
      <w:r w:rsidR="000A7902" w:rsidRPr="005E6149">
        <w:rPr>
          <w:rFonts w:ascii="Arial" w:hAnsi="Arial" w:cs="Arial"/>
          <w:sz w:val="22"/>
          <w:szCs w:val="22"/>
        </w:rPr>
        <w:t xml:space="preserve">This data is not within the scope of the NHCDC, although </w:t>
      </w:r>
      <w:r w:rsidR="00612FA5">
        <w:rPr>
          <w:rFonts w:ascii="Arial" w:hAnsi="Arial" w:cs="Arial"/>
          <w:sz w:val="22"/>
          <w:szCs w:val="22"/>
        </w:rPr>
        <w:t xml:space="preserve">it was </w:t>
      </w:r>
      <w:r w:rsidR="000A7902" w:rsidRPr="005E6149">
        <w:rPr>
          <w:rFonts w:ascii="Arial" w:hAnsi="Arial" w:cs="Arial"/>
          <w:sz w:val="22"/>
          <w:szCs w:val="22"/>
        </w:rPr>
        <w:t>incurred by the hospitals in question.</w:t>
      </w:r>
    </w:p>
    <w:p w:rsidR="00F17D85" w:rsidRPr="005E6149" w:rsidRDefault="00C316EE" w:rsidP="00F17D85">
      <w:pPr>
        <w:pBdr>
          <w:top w:val="single" w:sz="4" w:space="1" w:color="auto"/>
          <w:left w:val="single" w:sz="4" w:space="4" w:color="auto"/>
          <w:bottom w:val="single" w:sz="4" w:space="1" w:color="auto"/>
          <w:right w:val="single" w:sz="4" w:space="4" w:color="auto"/>
        </w:pBdr>
        <w:shd w:val="clear" w:color="auto" w:fill="CCCCCC"/>
        <w:spacing w:before="120" w:after="120"/>
        <w:ind w:left="2127" w:hanging="2127"/>
        <w:rPr>
          <w:rFonts w:ascii="Arial" w:hAnsi="Arial" w:cs="Arial"/>
          <w:b/>
          <w:sz w:val="22"/>
          <w:szCs w:val="22"/>
        </w:rPr>
      </w:pPr>
      <w:r>
        <w:rPr>
          <w:rFonts w:ascii="Arial" w:hAnsi="Arial" w:cs="Arial"/>
          <w:b/>
          <w:sz w:val="22"/>
          <w:szCs w:val="22"/>
        </w:rPr>
        <w:t xml:space="preserve">Recommendation </w:t>
      </w:r>
      <w:r w:rsidR="00117F85">
        <w:rPr>
          <w:rFonts w:ascii="Arial" w:hAnsi="Arial" w:cs="Arial"/>
          <w:b/>
          <w:sz w:val="22"/>
          <w:szCs w:val="22"/>
        </w:rPr>
        <w:t>10</w:t>
      </w:r>
      <w:r w:rsidR="00AC0C63" w:rsidRPr="005E6149">
        <w:rPr>
          <w:rFonts w:ascii="Arial" w:hAnsi="Arial" w:cs="Arial"/>
          <w:b/>
          <w:sz w:val="22"/>
          <w:szCs w:val="22"/>
        </w:rPr>
        <w:t>:</w:t>
      </w:r>
      <w:r w:rsidR="00AC0C63" w:rsidRPr="00CE13DC">
        <w:rPr>
          <w:rFonts w:ascii="Arial" w:hAnsi="Arial" w:cs="Arial"/>
          <w:b/>
          <w:sz w:val="22"/>
          <w:szCs w:val="22"/>
        </w:rPr>
        <w:t xml:space="preserve"> Consideration</w:t>
      </w:r>
      <w:r w:rsidR="00CE13DC" w:rsidRPr="00CE13DC">
        <w:rPr>
          <w:rFonts w:ascii="Arial" w:hAnsi="Arial" w:cs="Arial"/>
          <w:b/>
          <w:sz w:val="22"/>
          <w:szCs w:val="22"/>
        </w:rPr>
        <w:t xml:space="preserve"> </w:t>
      </w:r>
      <w:proofErr w:type="gramStart"/>
      <w:r w:rsidR="00CE13DC" w:rsidRPr="00CE13DC">
        <w:rPr>
          <w:rFonts w:ascii="Arial" w:hAnsi="Arial" w:cs="Arial"/>
          <w:b/>
          <w:sz w:val="22"/>
          <w:szCs w:val="22"/>
        </w:rPr>
        <w:t>be</w:t>
      </w:r>
      <w:proofErr w:type="gramEnd"/>
      <w:r w:rsidR="00CE13DC" w:rsidRPr="00CE13DC">
        <w:rPr>
          <w:rFonts w:ascii="Arial" w:hAnsi="Arial" w:cs="Arial"/>
          <w:b/>
          <w:sz w:val="22"/>
          <w:szCs w:val="22"/>
        </w:rPr>
        <w:t xml:space="preserve"> given to reviewing what hospital costs are consid</w:t>
      </w:r>
      <w:r w:rsidR="00CE13DC">
        <w:rPr>
          <w:rFonts w:ascii="Arial" w:hAnsi="Arial" w:cs="Arial"/>
          <w:b/>
          <w:sz w:val="22"/>
          <w:szCs w:val="22"/>
        </w:rPr>
        <w:t>ered within scope of the NHCDC</w:t>
      </w:r>
      <w:r w:rsidR="00D873D2">
        <w:rPr>
          <w:rFonts w:ascii="Arial" w:hAnsi="Arial" w:cs="Arial"/>
          <w:b/>
          <w:sz w:val="22"/>
          <w:szCs w:val="22"/>
        </w:rPr>
        <w:t xml:space="preserve">. </w:t>
      </w:r>
    </w:p>
    <w:p w:rsidR="00E957AA" w:rsidRPr="00013857" w:rsidRDefault="00E957AA" w:rsidP="00013857">
      <w:pPr>
        <w:pStyle w:val="Heading2"/>
        <w:rPr>
          <w:rFonts w:ascii="Arial" w:hAnsi="Arial" w:cs="Arial"/>
        </w:rPr>
      </w:pPr>
      <w:bookmarkStart w:id="91" w:name="_Toc278480653"/>
      <w:r w:rsidRPr="00013857">
        <w:rPr>
          <w:rFonts w:ascii="Arial" w:hAnsi="Arial" w:cs="Arial"/>
        </w:rPr>
        <w:t>Conclusion</w:t>
      </w:r>
      <w:bookmarkEnd w:id="91"/>
    </w:p>
    <w:p w:rsidR="00F81E34" w:rsidRPr="005E6149" w:rsidRDefault="00742732" w:rsidP="00857306">
      <w:pPr>
        <w:spacing w:before="120" w:after="120"/>
        <w:rPr>
          <w:rFonts w:ascii="Arial" w:hAnsi="Arial" w:cs="Arial"/>
          <w:sz w:val="22"/>
          <w:szCs w:val="22"/>
        </w:rPr>
      </w:pPr>
      <w:r w:rsidRPr="005E6149">
        <w:rPr>
          <w:rFonts w:ascii="Arial" w:hAnsi="Arial" w:cs="Arial"/>
          <w:sz w:val="22"/>
          <w:szCs w:val="22"/>
        </w:rPr>
        <w:t>Analysis of the NHCD</w:t>
      </w:r>
      <w:r w:rsidR="0062298C">
        <w:rPr>
          <w:rFonts w:ascii="Arial" w:hAnsi="Arial" w:cs="Arial"/>
          <w:sz w:val="22"/>
          <w:szCs w:val="22"/>
        </w:rPr>
        <w:t>C</w:t>
      </w:r>
      <w:r w:rsidRPr="005E6149">
        <w:rPr>
          <w:rFonts w:ascii="Arial" w:hAnsi="Arial" w:cs="Arial"/>
          <w:sz w:val="22"/>
          <w:szCs w:val="22"/>
        </w:rPr>
        <w:t xml:space="preserve"> Round 16 and 17 datasets has enabled some conclusions to be drawn with respect to:</w:t>
      </w:r>
    </w:p>
    <w:p w:rsidR="00742732" w:rsidRPr="005E6149" w:rsidRDefault="00742732" w:rsidP="00E86862">
      <w:pPr>
        <w:pStyle w:val="ListParagraph"/>
        <w:numPr>
          <w:ilvl w:val="0"/>
          <w:numId w:val="38"/>
        </w:numPr>
        <w:spacing w:before="120" w:after="120"/>
        <w:rPr>
          <w:rFonts w:ascii="Arial" w:hAnsi="Arial" w:cs="Arial"/>
          <w:sz w:val="22"/>
          <w:szCs w:val="22"/>
        </w:rPr>
      </w:pPr>
      <w:r w:rsidRPr="005E6149">
        <w:rPr>
          <w:rFonts w:ascii="Arial" w:hAnsi="Arial" w:cs="Arial"/>
          <w:sz w:val="22"/>
          <w:szCs w:val="22"/>
        </w:rPr>
        <w:t xml:space="preserve">whether a differential exists in the cost of treating an Indigenous patient compared to a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 for the same condition</w:t>
      </w:r>
      <w:r w:rsidR="00C66158">
        <w:rPr>
          <w:rFonts w:ascii="Arial" w:hAnsi="Arial" w:cs="Arial"/>
          <w:sz w:val="22"/>
          <w:szCs w:val="22"/>
        </w:rPr>
        <w:t>;</w:t>
      </w:r>
    </w:p>
    <w:p w:rsidR="00742732" w:rsidRPr="005E6149" w:rsidRDefault="002A4454" w:rsidP="00E86862">
      <w:pPr>
        <w:pStyle w:val="ListParagraph"/>
        <w:numPr>
          <w:ilvl w:val="0"/>
          <w:numId w:val="38"/>
        </w:numPr>
        <w:spacing w:before="120" w:after="120"/>
        <w:rPr>
          <w:rFonts w:ascii="Arial" w:hAnsi="Arial" w:cs="Arial"/>
          <w:sz w:val="22"/>
          <w:szCs w:val="22"/>
        </w:rPr>
      </w:pPr>
      <w:r w:rsidRPr="005E6149">
        <w:rPr>
          <w:rFonts w:ascii="Arial" w:hAnsi="Arial" w:cs="Arial"/>
          <w:sz w:val="22"/>
          <w:szCs w:val="22"/>
        </w:rPr>
        <w:t>what magnitude is the cost differential, and</w:t>
      </w:r>
    </w:p>
    <w:p w:rsidR="002A4454" w:rsidRPr="005E6149" w:rsidRDefault="002A4454" w:rsidP="00E86862">
      <w:pPr>
        <w:pStyle w:val="ListParagraph"/>
        <w:numPr>
          <w:ilvl w:val="0"/>
          <w:numId w:val="38"/>
        </w:numPr>
        <w:spacing w:before="120" w:after="120"/>
        <w:rPr>
          <w:rFonts w:ascii="Arial" w:hAnsi="Arial" w:cs="Arial"/>
          <w:sz w:val="22"/>
          <w:szCs w:val="22"/>
        </w:rPr>
      </w:pPr>
      <w:proofErr w:type="gramStart"/>
      <w:r w:rsidRPr="005E6149">
        <w:rPr>
          <w:rFonts w:ascii="Arial" w:hAnsi="Arial" w:cs="Arial"/>
          <w:sz w:val="22"/>
          <w:szCs w:val="22"/>
        </w:rPr>
        <w:t>what</w:t>
      </w:r>
      <w:proofErr w:type="gramEnd"/>
      <w:r w:rsidRPr="005E6149">
        <w:rPr>
          <w:rFonts w:ascii="Arial" w:hAnsi="Arial" w:cs="Arial"/>
          <w:sz w:val="22"/>
          <w:szCs w:val="22"/>
        </w:rPr>
        <w:t xml:space="preserve"> is driving the cost differential.</w:t>
      </w:r>
    </w:p>
    <w:p w:rsidR="002A4454" w:rsidRPr="005E6149" w:rsidRDefault="00F76DDD" w:rsidP="00857306">
      <w:pPr>
        <w:spacing w:before="120" w:after="120"/>
        <w:rPr>
          <w:rFonts w:ascii="Arial" w:hAnsi="Arial" w:cs="Arial"/>
          <w:sz w:val="22"/>
          <w:szCs w:val="22"/>
        </w:rPr>
      </w:pPr>
      <w:r w:rsidRPr="005E6149">
        <w:rPr>
          <w:rFonts w:ascii="Arial" w:hAnsi="Arial" w:cs="Arial"/>
          <w:sz w:val="22"/>
          <w:szCs w:val="22"/>
        </w:rPr>
        <w:t xml:space="preserve">A cost differential does exist </w:t>
      </w:r>
      <w:r w:rsidR="00013857">
        <w:rPr>
          <w:rFonts w:ascii="Arial" w:hAnsi="Arial" w:cs="Arial"/>
          <w:sz w:val="22"/>
          <w:szCs w:val="22"/>
        </w:rPr>
        <w:t xml:space="preserve">between Indigenous and </w:t>
      </w:r>
      <w:r w:rsidR="007A097D">
        <w:rPr>
          <w:rFonts w:ascii="Arial" w:hAnsi="Arial" w:cs="Arial"/>
          <w:sz w:val="22"/>
          <w:szCs w:val="22"/>
        </w:rPr>
        <w:t>non-Indigenous</w:t>
      </w:r>
      <w:r w:rsidR="00013857">
        <w:rPr>
          <w:rFonts w:ascii="Arial" w:hAnsi="Arial" w:cs="Arial"/>
          <w:sz w:val="22"/>
          <w:szCs w:val="22"/>
        </w:rPr>
        <w:t xml:space="preserve"> cohorts </w:t>
      </w:r>
      <w:r w:rsidRPr="005E6149">
        <w:rPr>
          <w:rFonts w:ascii="Arial" w:hAnsi="Arial" w:cs="Arial"/>
          <w:sz w:val="22"/>
          <w:szCs w:val="22"/>
        </w:rPr>
        <w:t>for a subset of AR-DRGs for both same-day and overnight admitted cases</w:t>
      </w:r>
      <w:r w:rsidR="00D873D2">
        <w:rPr>
          <w:rFonts w:ascii="Arial" w:hAnsi="Arial" w:cs="Arial"/>
          <w:sz w:val="22"/>
          <w:szCs w:val="22"/>
        </w:rPr>
        <w:t xml:space="preserve">. </w:t>
      </w:r>
      <w:r w:rsidRPr="005E6149">
        <w:rPr>
          <w:rFonts w:ascii="Arial" w:hAnsi="Arial" w:cs="Arial"/>
          <w:sz w:val="22"/>
          <w:szCs w:val="22"/>
        </w:rPr>
        <w:t>For those AR</w:t>
      </w:r>
      <w:r w:rsidR="006D0B78">
        <w:rPr>
          <w:rFonts w:ascii="Arial" w:hAnsi="Arial" w:cs="Arial"/>
          <w:sz w:val="22"/>
          <w:szCs w:val="22"/>
        </w:rPr>
        <w:noBreakHyphen/>
      </w:r>
      <w:r w:rsidRPr="005E6149">
        <w:rPr>
          <w:rFonts w:ascii="Arial" w:hAnsi="Arial" w:cs="Arial"/>
          <w:sz w:val="22"/>
          <w:szCs w:val="22"/>
        </w:rPr>
        <w:t>DRGs where a cost differential exists</w:t>
      </w:r>
      <w:r w:rsidR="006D0B78">
        <w:rPr>
          <w:rFonts w:ascii="Arial" w:hAnsi="Arial" w:cs="Arial"/>
          <w:sz w:val="22"/>
          <w:szCs w:val="22"/>
        </w:rPr>
        <w:t>,</w:t>
      </w:r>
      <w:r w:rsidRPr="005E6149">
        <w:rPr>
          <w:rFonts w:ascii="Arial" w:hAnsi="Arial" w:cs="Arial"/>
          <w:sz w:val="22"/>
          <w:szCs w:val="22"/>
        </w:rPr>
        <w:t xml:space="preserve"> it </w:t>
      </w:r>
      <w:r w:rsidR="006D0B78">
        <w:rPr>
          <w:rFonts w:ascii="Arial" w:hAnsi="Arial" w:cs="Arial"/>
          <w:sz w:val="22"/>
          <w:szCs w:val="22"/>
        </w:rPr>
        <w:t xml:space="preserve">costs </w:t>
      </w:r>
      <w:r w:rsidRPr="005E6149">
        <w:rPr>
          <w:rFonts w:ascii="Arial" w:hAnsi="Arial" w:cs="Arial"/>
          <w:sz w:val="22"/>
          <w:szCs w:val="22"/>
        </w:rPr>
        <w:t xml:space="preserve">approximately 20% </w:t>
      </w:r>
      <w:r w:rsidR="006D0B78">
        <w:rPr>
          <w:rFonts w:ascii="Arial" w:hAnsi="Arial" w:cs="Arial"/>
          <w:sz w:val="22"/>
          <w:szCs w:val="22"/>
        </w:rPr>
        <w:t>more</w:t>
      </w:r>
      <w:r w:rsidRPr="005E6149">
        <w:rPr>
          <w:rFonts w:ascii="Arial" w:hAnsi="Arial" w:cs="Arial"/>
          <w:sz w:val="22"/>
          <w:szCs w:val="22"/>
        </w:rPr>
        <w:t xml:space="preserve"> to treat </w:t>
      </w:r>
      <w:r w:rsidRPr="005E6149">
        <w:rPr>
          <w:rFonts w:ascii="Arial" w:hAnsi="Arial" w:cs="Arial"/>
          <w:sz w:val="22"/>
          <w:szCs w:val="22"/>
        </w:rPr>
        <w:lastRenderedPageBreak/>
        <w:t xml:space="preserve">Indigenous patients than </w:t>
      </w:r>
      <w:r w:rsidR="0018326F">
        <w:rPr>
          <w:rFonts w:ascii="Arial" w:hAnsi="Arial" w:cs="Arial"/>
          <w:sz w:val="22"/>
          <w:szCs w:val="22"/>
        </w:rPr>
        <w:t>n</w:t>
      </w:r>
      <w:r w:rsidR="007A097D">
        <w:rPr>
          <w:rFonts w:ascii="Arial" w:hAnsi="Arial" w:cs="Arial"/>
          <w:sz w:val="22"/>
          <w:szCs w:val="22"/>
        </w:rPr>
        <w:t>on-Indigenous</w:t>
      </w:r>
      <w:r w:rsidRPr="005E6149">
        <w:rPr>
          <w:rFonts w:ascii="Arial" w:hAnsi="Arial" w:cs="Arial"/>
          <w:sz w:val="22"/>
          <w:szCs w:val="22"/>
        </w:rPr>
        <w:t xml:space="preserve"> patients</w:t>
      </w:r>
      <w:r w:rsidR="00D873D2">
        <w:rPr>
          <w:rFonts w:ascii="Arial" w:hAnsi="Arial" w:cs="Arial"/>
          <w:sz w:val="22"/>
          <w:szCs w:val="22"/>
        </w:rPr>
        <w:t xml:space="preserve">. </w:t>
      </w:r>
      <w:r w:rsidR="00E5257C" w:rsidRPr="005E6149">
        <w:rPr>
          <w:rFonts w:ascii="Arial" w:hAnsi="Arial" w:cs="Arial"/>
          <w:sz w:val="22"/>
          <w:szCs w:val="22"/>
        </w:rPr>
        <w:t>However, when re-calibrated to cover all AR-DRGs, the differential is diluted to approximately 6% for admitted patients</w:t>
      </w:r>
      <w:r w:rsidR="00D873D2">
        <w:rPr>
          <w:rFonts w:ascii="Arial" w:hAnsi="Arial" w:cs="Arial"/>
          <w:sz w:val="22"/>
          <w:szCs w:val="22"/>
        </w:rPr>
        <w:t xml:space="preserve">. </w:t>
      </w:r>
    </w:p>
    <w:p w:rsidR="00E5257C" w:rsidRPr="005E6149" w:rsidRDefault="00E5257C" w:rsidP="00857306">
      <w:pPr>
        <w:spacing w:before="120" w:after="120"/>
        <w:rPr>
          <w:rFonts w:ascii="Arial" w:hAnsi="Arial" w:cs="Arial"/>
          <w:sz w:val="22"/>
          <w:szCs w:val="22"/>
        </w:rPr>
      </w:pPr>
      <w:r w:rsidRPr="005E6149">
        <w:rPr>
          <w:rFonts w:ascii="Arial" w:hAnsi="Arial" w:cs="Arial"/>
          <w:sz w:val="22"/>
          <w:szCs w:val="22"/>
        </w:rPr>
        <w:t xml:space="preserve">For </w:t>
      </w:r>
      <w:proofErr w:type="spellStart"/>
      <w:r w:rsidR="00190E37">
        <w:rPr>
          <w:rFonts w:ascii="Arial" w:hAnsi="Arial" w:cs="Arial"/>
          <w:sz w:val="22"/>
          <w:szCs w:val="22"/>
        </w:rPr>
        <w:t>subacute</w:t>
      </w:r>
      <w:proofErr w:type="spellEnd"/>
      <w:r w:rsidRPr="005E6149">
        <w:rPr>
          <w:rFonts w:ascii="Arial" w:hAnsi="Arial" w:cs="Arial"/>
          <w:sz w:val="22"/>
          <w:szCs w:val="22"/>
        </w:rPr>
        <w:t xml:space="preserve"> care, the differential is approximately 5%</w:t>
      </w:r>
      <w:r w:rsidR="006D0B78">
        <w:rPr>
          <w:rFonts w:ascii="Arial" w:hAnsi="Arial" w:cs="Arial"/>
          <w:sz w:val="22"/>
          <w:szCs w:val="22"/>
        </w:rPr>
        <w:t>,</w:t>
      </w:r>
      <w:r w:rsidRPr="005E6149">
        <w:rPr>
          <w:rFonts w:ascii="Arial" w:hAnsi="Arial" w:cs="Arial"/>
          <w:sz w:val="22"/>
          <w:szCs w:val="22"/>
        </w:rPr>
        <w:t xml:space="preserve"> and when considering all care types</w:t>
      </w:r>
      <w:r w:rsidR="006D0B78">
        <w:rPr>
          <w:rFonts w:ascii="Arial" w:hAnsi="Arial" w:cs="Arial"/>
          <w:sz w:val="22"/>
          <w:szCs w:val="22"/>
        </w:rPr>
        <w:t>,</w:t>
      </w:r>
      <w:r w:rsidRPr="005E6149">
        <w:rPr>
          <w:rFonts w:ascii="Arial" w:hAnsi="Arial" w:cs="Arial"/>
          <w:sz w:val="22"/>
          <w:szCs w:val="22"/>
        </w:rPr>
        <w:t xml:space="preserve"> slightly lower at </w:t>
      </w:r>
      <w:r w:rsidR="00971B90">
        <w:rPr>
          <w:rFonts w:ascii="Arial" w:hAnsi="Arial" w:cs="Arial"/>
          <w:sz w:val="22"/>
          <w:szCs w:val="22"/>
        </w:rPr>
        <w:t>3.35</w:t>
      </w:r>
      <w:r w:rsidRPr="005E6149">
        <w:rPr>
          <w:rFonts w:ascii="Arial" w:hAnsi="Arial" w:cs="Arial"/>
          <w:sz w:val="22"/>
          <w:szCs w:val="22"/>
        </w:rPr>
        <w:t>.</w:t>
      </w:r>
    </w:p>
    <w:p w:rsidR="00E42C65" w:rsidRDefault="00E42C65" w:rsidP="00857306">
      <w:pPr>
        <w:spacing w:before="120" w:after="120"/>
        <w:rPr>
          <w:rFonts w:ascii="Arial" w:hAnsi="Arial" w:cs="Arial"/>
          <w:sz w:val="22"/>
          <w:szCs w:val="22"/>
        </w:rPr>
      </w:pPr>
      <w:r>
        <w:rPr>
          <w:rFonts w:ascii="Arial" w:hAnsi="Arial" w:cs="Arial"/>
          <w:sz w:val="22"/>
          <w:szCs w:val="22"/>
        </w:rPr>
        <w:t>A number of factors proposed throughout the study were speculated as</w:t>
      </w:r>
      <w:r w:rsidRPr="005E6149">
        <w:rPr>
          <w:rFonts w:ascii="Arial" w:hAnsi="Arial" w:cs="Arial"/>
          <w:sz w:val="22"/>
          <w:szCs w:val="22"/>
        </w:rPr>
        <w:t xml:space="preserve"> to </w:t>
      </w:r>
      <w:r>
        <w:rPr>
          <w:rFonts w:ascii="Arial" w:hAnsi="Arial" w:cs="Arial"/>
          <w:sz w:val="22"/>
          <w:szCs w:val="22"/>
        </w:rPr>
        <w:t xml:space="preserve">what caused </w:t>
      </w:r>
      <w:r w:rsidRPr="005E6149">
        <w:rPr>
          <w:rFonts w:ascii="Arial" w:hAnsi="Arial" w:cs="Arial"/>
          <w:sz w:val="22"/>
          <w:szCs w:val="22"/>
        </w:rPr>
        <w:t>this cost differential</w:t>
      </w:r>
      <w:r>
        <w:rPr>
          <w:rFonts w:ascii="Arial" w:hAnsi="Arial" w:cs="Arial"/>
          <w:sz w:val="22"/>
          <w:szCs w:val="22"/>
        </w:rPr>
        <w:t>. For example, t</w:t>
      </w:r>
      <w:r w:rsidRPr="005E6149">
        <w:rPr>
          <w:rFonts w:ascii="Arial" w:hAnsi="Arial" w:cs="Arial"/>
          <w:sz w:val="22"/>
          <w:szCs w:val="22"/>
        </w:rPr>
        <w:t xml:space="preserve">he level of social support available to Indigenous patients coupled with the geography of their usual place of </w:t>
      </w:r>
      <w:r>
        <w:rPr>
          <w:rFonts w:ascii="Arial" w:hAnsi="Arial" w:cs="Arial"/>
          <w:sz w:val="22"/>
          <w:szCs w:val="22"/>
        </w:rPr>
        <w:t xml:space="preserve">residence, were thought to </w:t>
      </w:r>
      <w:r w:rsidRPr="005E6149">
        <w:rPr>
          <w:rFonts w:ascii="Arial" w:hAnsi="Arial" w:cs="Arial"/>
          <w:sz w:val="22"/>
          <w:szCs w:val="22"/>
        </w:rPr>
        <w:t xml:space="preserve">potentially drive costs and service access </w:t>
      </w:r>
      <w:proofErr w:type="spellStart"/>
      <w:r w:rsidRPr="005E6149">
        <w:rPr>
          <w:rFonts w:ascii="Arial" w:hAnsi="Arial" w:cs="Arial"/>
          <w:sz w:val="22"/>
          <w:szCs w:val="22"/>
        </w:rPr>
        <w:t>behaviours</w:t>
      </w:r>
      <w:proofErr w:type="spellEnd"/>
      <w:r>
        <w:rPr>
          <w:rFonts w:ascii="Arial" w:hAnsi="Arial" w:cs="Arial"/>
          <w:sz w:val="22"/>
          <w:szCs w:val="22"/>
        </w:rPr>
        <w:t xml:space="preserve">. </w:t>
      </w:r>
    </w:p>
    <w:p w:rsidR="00E5257C" w:rsidRPr="005E6149" w:rsidRDefault="00E42C65" w:rsidP="00857306">
      <w:pPr>
        <w:spacing w:before="120" w:after="120"/>
        <w:rPr>
          <w:rFonts w:ascii="Arial" w:hAnsi="Arial" w:cs="Arial"/>
          <w:sz w:val="22"/>
          <w:szCs w:val="22"/>
        </w:rPr>
      </w:pPr>
      <w:r>
        <w:rPr>
          <w:rFonts w:ascii="Arial" w:hAnsi="Arial" w:cs="Arial"/>
          <w:sz w:val="22"/>
          <w:szCs w:val="22"/>
        </w:rPr>
        <w:t>However, t</w:t>
      </w:r>
      <w:r w:rsidR="00E5257C" w:rsidRPr="005E6149">
        <w:rPr>
          <w:rFonts w:ascii="Arial" w:hAnsi="Arial" w:cs="Arial"/>
          <w:sz w:val="22"/>
          <w:szCs w:val="22"/>
        </w:rPr>
        <w:t xml:space="preserve">he driving </w:t>
      </w:r>
      <w:r>
        <w:rPr>
          <w:rFonts w:ascii="Arial" w:hAnsi="Arial" w:cs="Arial"/>
          <w:sz w:val="22"/>
          <w:szCs w:val="22"/>
        </w:rPr>
        <w:t xml:space="preserve">factors identified in this study to contribute to these </w:t>
      </w:r>
      <w:r w:rsidR="00E5257C" w:rsidRPr="005E6149">
        <w:rPr>
          <w:rFonts w:ascii="Arial" w:hAnsi="Arial" w:cs="Arial"/>
          <w:sz w:val="22"/>
          <w:szCs w:val="22"/>
        </w:rPr>
        <w:t xml:space="preserve">cost differentials </w:t>
      </w:r>
      <w:r w:rsidR="00857306" w:rsidRPr="005E6149">
        <w:rPr>
          <w:rFonts w:ascii="Arial" w:hAnsi="Arial" w:cs="Arial"/>
          <w:sz w:val="22"/>
          <w:szCs w:val="22"/>
        </w:rPr>
        <w:t>support</w:t>
      </w:r>
      <w:r>
        <w:rPr>
          <w:rFonts w:ascii="Arial" w:hAnsi="Arial" w:cs="Arial"/>
          <w:sz w:val="22"/>
          <w:szCs w:val="22"/>
        </w:rPr>
        <w:t>ed</w:t>
      </w:r>
      <w:r w:rsidR="00857306" w:rsidRPr="005E6149">
        <w:rPr>
          <w:rFonts w:ascii="Arial" w:hAnsi="Arial" w:cs="Arial"/>
          <w:sz w:val="22"/>
          <w:szCs w:val="22"/>
        </w:rPr>
        <w:t xml:space="preserve"> the opinion</w:t>
      </w:r>
      <w:r>
        <w:rPr>
          <w:rFonts w:ascii="Arial" w:hAnsi="Arial" w:cs="Arial"/>
          <w:sz w:val="22"/>
          <w:szCs w:val="22"/>
        </w:rPr>
        <w:t>s</w:t>
      </w:r>
      <w:r w:rsidR="00857306" w:rsidRPr="005E6149">
        <w:rPr>
          <w:rFonts w:ascii="Arial" w:hAnsi="Arial" w:cs="Arial"/>
          <w:sz w:val="22"/>
          <w:szCs w:val="22"/>
        </w:rPr>
        <w:t xml:space="preserve"> of </w:t>
      </w:r>
      <w:r>
        <w:rPr>
          <w:rFonts w:ascii="Arial" w:hAnsi="Arial" w:cs="Arial"/>
          <w:sz w:val="22"/>
          <w:szCs w:val="22"/>
        </w:rPr>
        <w:t xml:space="preserve">participating </w:t>
      </w:r>
      <w:r w:rsidR="00857306" w:rsidRPr="005E6149">
        <w:rPr>
          <w:rFonts w:ascii="Arial" w:hAnsi="Arial" w:cs="Arial"/>
          <w:sz w:val="22"/>
          <w:szCs w:val="22"/>
        </w:rPr>
        <w:t xml:space="preserve">clinicians </w:t>
      </w:r>
      <w:r w:rsidR="006D0B78">
        <w:rPr>
          <w:rFonts w:ascii="Arial" w:hAnsi="Arial" w:cs="Arial"/>
          <w:sz w:val="22"/>
          <w:szCs w:val="22"/>
        </w:rPr>
        <w:t xml:space="preserve">and </w:t>
      </w:r>
      <w:r>
        <w:rPr>
          <w:rFonts w:ascii="Arial" w:hAnsi="Arial" w:cs="Arial"/>
          <w:sz w:val="22"/>
          <w:szCs w:val="22"/>
        </w:rPr>
        <w:t xml:space="preserve">the </w:t>
      </w:r>
      <w:r w:rsidR="006D0B78">
        <w:rPr>
          <w:rFonts w:ascii="Arial" w:hAnsi="Arial" w:cs="Arial"/>
          <w:sz w:val="22"/>
          <w:szCs w:val="22"/>
        </w:rPr>
        <w:t>documented literature.</w:t>
      </w:r>
      <w:r w:rsidR="00857306" w:rsidRPr="005E6149">
        <w:rPr>
          <w:rFonts w:ascii="Arial" w:hAnsi="Arial" w:cs="Arial"/>
          <w:sz w:val="22"/>
          <w:szCs w:val="22"/>
        </w:rPr>
        <w:t xml:space="preserve"> Namely</w:t>
      </w:r>
      <w:r w:rsidR="006D0B78">
        <w:rPr>
          <w:rFonts w:ascii="Arial" w:hAnsi="Arial" w:cs="Arial"/>
          <w:sz w:val="22"/>
          <w:szCs w:val="22"/>
        </w:rPr>
        <w:t>,</w:t>
      </w:r>
      <w:r w:rsidR="00857306" w:rsidRPr="005E6149">
        <w:rPr>
          <w:rFonts w:ascii="Arial" w:hAnsi="Arial" w:cs="Arial"/>
          <w:sz w:val="22"/>
          <w:szCs w:val="22"/>
        </w:rPr>
        <w:t xml:space="preserve"> </w:t>
      </w:r>
      <w:r>
        <w:rPr>
          <w:rFonts w:ascii="Arial" w:hAnsi="Arial" w:cs="Arial"/>
          <w:sz w:val="22"/>
          <w:szCs w:val="22"/>
        </w:rPr>
        <w:t>the key factors that</w:t>
      </w:r>
      <w:r w:rsidRPr="005E6149">
        <w:rPr>
          <w:rFonts w:ascii="Arial" w:hAnsi="Arial" w:cs="Arial"/>
          <w:sz w:val="22"/>
          <w:szCs w:val="22"/>
        </w:rPr>
        <w:t xml:space="preserve"> have a higher impact upon treatment costs in </w:t>
      </w:r>
      <w:r>
        <w:rPr>
          <w:rFonts w:ascii="Arial" w:hAnsi="Arial" w:cs="Arial"/>
          <w:sz w:val="22"/>
          <w:szCs w:val="22"/>
        </w:rPr>
        <w:t xml:space="preserve">the Indigenous </w:t>
      </w:r>
      <w:r w:rsidRPr="005E6149">
        <w:rPr>
          <w:rFonts w:ascii="Arial" w:hAnsi="Arial" w:cs="Arial"/>
          <w:sz w:val="22"/>
          <w:szCs w:val="22"/>
        </w:rPr>
        <w:t>patient cohort compared to their counterparts</w:t>
      </w:r>
      <w:r>
        <w:rPr>
          <w:rFonts w:ascii="Arial" w:hAnsi="Arial" w:cs="Arial"/>
          <w:sz w:val="22"/>
          <w:szCs w:val="22"/>
        </w:rPr>
        <w:t xml:space="preserve"> were found to be</w:t>
      </w:r>
      <w:r w:rsidR="00857306" w:rsidRPr="005E6149">
        <w:rPr>
          <w:rFonts w:ascii="Arial" w:hAnsi="Arial" w:cs="Arial"/>
          <w:sz w:val="22"/>
          <w:szCs w:val="22"/>
        </w:rPr>
        <w:t xml:space="preserve"> </w:t>
      </w:r>
      <w:r>
        <w:rPr>
          <w:rFonts w:ascii="Arial" w:hAnsi="Arial" w:cs="Arial"/>
          <w:sz w:val="22"/>
          <w:szCs w:val="22"/>
        </w:rPr>
        <w:t xml:space="preserve">the </w:t>
      </w:r>
      <w:r w:rsidR="00857306" w:rsidRPr="005E6149">
        <w:rPr>
          <w:rFonts w:ascii="Arial" w:hAnsi="Arial" w:cs="Arial"/>
          <w:sz w:val="22"/>
          <w:szCs w:val="22"/>
        </w:rPr>
        <w:t xml:space="preserve">level of comorbidities, the separation mode </w:t>
      </w:r>
      <w:r w:rsidR="006D0B78">
        <w:rPr>
          <w:rFonts w:ascii="Arial" w:hAnsi="Arial" w:cs="Arial"/>
          <w:sz w:val="22"/>
          <w:szCs w:val="22"/>
        </w:rPr>
        <w:t xml:space="preserve">and </w:t>
      </w:r>
      <w:r w:rsidR="00857306" w:rsidRPr="005E6149">
        <w:rPr>
          <w:rFonts w:ascii="Arial" w:hAnsi="Arial" w:cs="Arial"/>
          <w:sz w:val="22"/>
          <w:szCs w:val="22"/>
        </w:rPr>
        <w:t>the number of procedures and length of stay.</w:t>
      </w:r>
    </w:p>
    <w:p w:rsidR="00F77CAF" w:rsidRDefault="00E42C65" w:rsidP="00E42C65">
      <w:pPr>
        <w:spacing w:before="120"/>
        <w:rPr>
          <w:rFonts w:ascii="Arial" w:hAnsi="Arial" w:cs="Arial"/>
          <w:sz w:val="22"/>
          <w:szCs w:val="22"/>
        </w:rPr>
        <w:sectPr w:rsidR="00F77CAF" w:rsidSect="00F77CAF">
          <w:pgSz w:w="12240" w:h="15840"/>
          <w:pgMar w:top="1440" w:right="1800" w:bottom="1440" w:left="1800" w:header="720" w:footer="720" w:gutter="0"/>
          <w:cols w:space="720"/>
          <w:docGrid w:linePitch="326"/>
        </w:sectPr>
      </w:pPr>
      <w:r>
        <w:rPr>
          <w:rFonts w:ascii="Arial" w:hAnsi="Arial" w:cs="Arial"/>
          <w:sz w:val="22"/>
          <w:szCs w:val="22"/>
        </w:rPr>
        <w:t>S</w:t>
      </w:r>
      <w:r w:rsidRPr="005E6149">
        <w:rPr>
          <w:rFonts w:ascii="Arial" w:hAnsi="Arial" w:cs="Arial"/>
          <w:sz w:val="22"/>
          <w:szCs w:val="22"/>
        </w:rPr>
        <w:t xml:space="preserve">ome stability in the profile of patient classes recording substantial cost differences is evidenced </w:t>
      </w:r>
      <w:r>
        <w:rPr>
          <w:rFonts w:ascii="Arial" w:hAnsi="Arial" w:cs="Arial"/>
          <w:sz w:val="22"/>
          <w:szCs w:val="22"/>
        </w:rPr>
        <w:t>from</w:t>
      </w:r>
      <w:r w:rsidRPr="005E6149">
        <w:rPr>
          <w:rFonts w:ascii="Arial" w:hAnsi="Arial" w:cs="Arial"/>
          <w:sz w:val="22"/>
          <w:szCs w:val="22"/>
        </w:rPr>
        <w:t xml:space="preserve"> the two years </w:t>
      </w:r>
      <w:r>
        <w:rPr>
          <w:rFonts w:ascii="Arial" w:hAnsi="Arial" w:cs="Arial"/>
          <w:sz w:val="22"/>
          <w:szCs w:val="22"/>
        </w:rPr>
        <w:t xml:space="preserve">of NHCDC data </w:t>
      </w:r>
      <w:proofErr w:type="spellStart"/>
      <w:r>
        <w:rPr>
          <w:rFonts w:ascii="Arial" w:hAnsi="Arial" w:cs="Arial"/>
          <w:sz w:val="22"/>
          <w:szCs w:val="22"/>
        </w:rPr>
        <w:t>analysed</w:t>
      </w:r>
      <w:proofErr w:type="spellEnd"/>
      <w:r>
        <w:rPr>
          <w:rFonts w:ascii="Arial" w:hAnsi="Arial" w:cs="Arial"/>
          <w:sz w:val="22"/>
          <w:szCs w:val="22"/>
        </w:rPr>
        <w:t xml:space="preserve">. However, the introduction of </w:t>
      </w:r>
      <w:r w:rsidRPr="005E6149">
        <w:rPr>
          <w:rFonts w:ascii="Arial" w:hAnsi="Arial" w:cs="Arial"/>
          <w:sz w:val="22"/>
          <w:szCs w:val="22"/>
        </w:rPr>
        <w:t xml:space="preserve">new data items and </w:t>
      </w:r>
      <w:r w:rsidRPr="00E42C65">
        <w:rPr>
          <w:rFonts w:ascii="Arial" w:hAnsi="Arial" w:cs="Arial"/>
          <w:sz w:val="22"/>
          <w:szCs w:val="22"/>
        </w:rPr>
        <w:t>the developmen</w:t>
      </w:r>
      <w:r>
        <w:rPr>
          <w:rFonts w:ascii="Arial" w:hAnsi="Arial" w:cs="Arial"/>
          <w:sz w:val="22"/>
          <w:szCs w:val="22"/>
        </w:rPr>
        <w:t xml:space="preserve">t of costing methodologies and </w:t>
      </w:r>
      <w:r w:rsidRPr="00E42C65">
        <w:rPr>
          <w:rFonts w:ascii="Arial" w:hAnsi="Arial" w:cs="Arial"/>
          <w:sz w:val="22"/>
          <w:szCs w:val="22"/>
        </w:rPr>
        <w:t xml:space="preserve">standards </w:t>
      </w:r>
      <w:r>
        <w:rPr>
          <w:rFonts w:ascii="Arial" w:hAnsi="Arial" w:cs="Arial"/>
          <w:sz w:val="22"/>
          <w:szCs w:val="22"/>
        </w:rPr>
        <w:t xml:space="preserve">will improve the quality of NHCDC data. With this, the </w:t>
      </w:r>
      <w:r w:rsidRPr="005E6149">
        <w:rPr>
          <w:rFonts w:ascii="Arial" w:hAnsi="Arial" w:cs="Arial"/>
          <w:sz w:val="22"/>
          <w:szCs w:val="22"/>
        </w:rPr>
        <w:t xml:space="preserve">relationship between identified cost drivers and </w:t>
      </w:r>
      <w:r>
        <w:rPr>
          <w:rFonts w:ascii="Arial" w:hAnsi="Arial" w:cs="Arial"/>
          <w:sz w:val="22"/>
          <w:szCs w:val="22"/>
        </w:rPr>
        <w:t xml:space="preserve">cost differentials more defined, and more </w:t>
      </w:r>
      <w:r w:rsidRPr="005E6149">
        <w:rPr>
          <w:rFonts w:ascii="Arial" w:hAnsi="Arial" w:cs="Arial"/>
          <w:sz w:val="22"/>
          <w:szCs w:val="22"/>
        </w:rPr>
        <w:t>closely linked to service consumption patterns</w:t>
      </w:r>
      <w:r>
        <w:rPr>
          <w:rFonts w:ascii="Arial" w:hAnsi="Arial" w:cs="Arial"/>
          <w:sz w:val="22"/>
          <w:szCs w:val="22"/>
        </w:rPr>
        <w:t>.</w:t>
      </w:r>
    </w:p>
    <w:p w:rsidR="006C44B6" w:rsidRDefault="006C44B6" w:rsidP="00287791">
      <w:pPr>
        <w:pStyle w:val="EYHeading1"/>
        <w:numPr>
          <w:ilvl w:val="0"/>
          <w:numId w:val="0"/>
        </w:numPr>
        <w:ind w:left="850"/>
      </w:pPr>
      <w:bookmarkStart w:id="92" w:name="_Toc426115411"/>
      <w:bookmarkStart w:id="93" w:name="_Toc426117647"/>
      <w:r>
        <w:lastRenderedPageBreak/>
        <w:t xml:space="preserve">Appendix A: Distribution of Same-day Trimmed datasets </w:t>
      </w:r>
      <w:bookmarkEnd w:id="92"/>
      <w:bookmarkEnd w:id="93"/>
    </w:p>
    <w:tbl>
      <w:tblPr>
        <w:tblW w:w="13995"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Appendix A: Distribution of Same-day Trimmed datasets "/>
      </w:tblPr>
      <w:tblGrid>
        <w:gridCol w:w="661"/>
        <w:gridCol w:w="1416"/>
        <w:gridCol w:w="1276"/>
        <w:gridCol w:w="1145"/>
        <w:gridCol w:w="1275"/>
        <w:gridCol w:w="1134"/>
        <w:gridCol w:w="1276"/>
        <w:gridCol w:w="1266"/>
        <w:gridCol w:w="1134"/>
        <w:gridCol w:w="1002"/>
        <w:gridCol w:w="1134"/>
        <w:gridCol w:w="1276"/>
      </w:tblGrid>
      <w:tr w:rsidR="006C44B6" w:rsidTr="00C434EC">
        <w:trPr>
          <w:cantSplit/>
          <w:trHeight w:val="300"/>
          <w:tblHeader/>
          <w:jc w:val="center"/>
        </w:trPr>
        <w:tc>
          <w:tcPr>
            <w:tcW w:w="13995" w:type="dxa"/>
            <w:gridSpan w:val="12"/>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sz w:val="18"/>
                <w:szCs w:val="18"/>
                <w:lang w:val="en-AU" w:eastAsia="en-AU"/>
              </w:rPr>
            </w:pPr>
            <w:r>
              <w:rPr>
                <w:rFonts w:ascii="Arial" w:eastAsia="Times New Roman" w:hAnsi="Arial" w:cs="Arial"/>
                <w:b/>
                <w:sz w:val="18"/>
                <w:szCs w:val="18"/>
                <w:lang w:val="en-AU" w:eastAsia="en-AU"/>
              </w:rPr>
              <w:t>Round 16 Same-day Trimmed Dataset</w:t>
            </w:r>
          </w:p>
        </w:tc>
      </w:tr>
      <w:tr w:rsidR="006C44B6" w:rsidTr="00C434EC">
        <w:trPr>
          <w:cantSplit/>
          <w:trHeight w:val="300"/>
          <w:tblHeader/>
          <w:jc w:val="center"/>
        </w:trPr>
        <w:tc>
          <w:tcPr>
            <w:tcW w:w="661"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MDC</w:t>
            </w:r>
          </w:p>
        </w:tc>
        <w:tc>
          <w:tcPr>
            <w:tcW w:w="1416" w:type="dxa"/>
            <w:tcBorders>
              <w:top w:val="single" w:sz="4" w:space="0" w:color="B0B7BB"/>
              <w:left w:val="single" w:sz="4" w:space="0" w:color="B0B7BB"/>
              <w:bottom w:val="single" w:sz="4" w:space="0" w:color="B0B7BB"/>
              <w:right w:val="single" w:sz="4" w:space="0" w:color="B0B7BB"/>
            </w:tcBorders>
            <w:shd w:val="clear" w:color="auto" w:fill="CCCCCC"/>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Description</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Indigenous</w:t>
            </w:r>
          </w:p>
        </w:tc>
        <w:tc>
          <w:tcPr>
            <w:tcW w:w="1145"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proofErr w:type="spellStart"/>
            <w:r>
              <w:rPr>
                <w:rFonts w:ascii="Arial" w:eastAsia="Times New Roman" w:hAnsi="Arial" w:cs="Arial"/>
                <w:b/>
                <w:sz w:val="18"/>
                <w:szCs w:val="18"/>
                <w:lang w:val="en-AU" w:eastAsia="en-AU"/>
              </w:rPr>
              <w:t>Avg</w:t>
            </w:r>
            <w:proofErr w:type="spellEnd"/>
            <w:r>
              <w:rPr>
                <w:rFonts w:ascii="Arial" w:eastAsia="Times New Roman" w:hAnsi="Arial" w:cs="Arial"/>
                <w:b/>
                <w:sz w:val="18"/>
                <w:szCs w:val="18"/>
                <w:lang w:val="en-AU" w:eastAsia="en-AU"/>
              </w:rPr>
              <w:t xml:space="preserve"> $/SD </w:t>
            </w:r>
            <w:proofErr w:type="spellStart"/>
            <w:r>
              <w:rPr>
                <w:rFonts w:ascii="Arial" w:eastAsia="Times New Roman" w:hAnsi="Arial" w:cs="Arial"/>
                <w:b/>
                <w:sz w:val="18"/>
                <w:szCs w:val="18"/>
                <w:lang w:val="en-AU" w:eastAsia="en-AU"/>
              </w:rPr>
              <w:t>sep</w:t>
            </w:r>
            <w:proofErr w:type="spellEnd"/>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 xml:space="preserve">Min $/SD </w:t>
            </w:r>
            <w:proofErr w:type="spellStart"/>
            <w:r>
              <w:rPr>
                <w:rFonts w:ascii="Arial" w:eastAsia="Times New Roman" w:hAnsi="Arial" w:cs="Arial"/>
                <w:b/>
                <w:sz w:val="18"/>
                <w:szCs w:val="18"/>
                <w:lang w:val="en-AU" w:eastAsia="en-AU"/>
              </w:rPr>
              <w:t>sep</w:t>
            </w:r>
            <w:proofErr w:type="spellEnd"/>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 xml:space="preserve">Max $/SD </w:t>
            </w:r>
            <w:proofErr w:type="spellStart"/>
            <w:r>
              <w:rPr>
                <w:rFonts w:ascii="Arial" w:eastAsia="Times New Roman" w:hAnsi="Arial" w:cs="Arial"/>
                <w:b/>
                <w:sz w:val="18"/>
                <w:szCs w:val="18"/>
                <w:lang w:val="en-AU" w:eastAsia="en-AU"/>
              </w:rPr>
              <w:t>sep</w:t>
            </w:r>
            <w:proofErr w:type="spellEnd"/>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proofErr w:type="spellStart"/>
            <w:r>
              <w:rPr>
                <w:rFonts w:ascii="Arial" w:eastAsia="Times New Roman" w:hAnsi="Arial" w:cs="Arial"/>
                <w:b/>
                <w:sz w:val="18"/>
                <w:szCs w:val="18"/>
                <w:lang w:val="en-AU" w:eastAsia="en-AU"/>
              </w:rPr>
              <w:t>StDev</w:t>
            </w:r>
            <w:proofErr w:type="spellEnd"/>
            <w:r>
              <w:rPr>
                <w:rFonts w:ascii="Arial" w:eastAsia="Times New Roman" w:hAnsi="Arial" w:cs="Arial"/>
                <w:b/>
                <w:sz w:val="18"/>
                <w:szCs w:val="18"/>
                <w:lang w:val="en-AU" w:eastAsia="en-AU"/>
              </w:rPr>
              <w:t xml:space="preserve"> Total $/SD </w:t>
            </w:r>
            <w:proofErr w:type="spellStart"/>
            <w:r>
              <w:rPr>
                <w:rFonts w:ascii="Arial" w:eastAsia="Times New Roman" w:hAnsi="Arial" w:cs="Arial"/>
                <w:b/>
                <w:sz w:val="18"/>
                <w:szCs w:val="18"/>
                <w:lang w:val="en-AU" w:eastAsia="en-AU"/>
              </w:rPr>
              <w:t>sep</w:t>
            </w:r>
            <w:proofErr w:type="spellEnd"/>
          </w:p>
        </w:tc>
        <w:tc>
          <w:tcPr>
            <w:tcW w:w="126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Non- Indigenous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proofErr w:type="spellStart"/>
            <w:r>
              <w:rPr>
                <w:rFonts w:ascii="Arial" w:eastAsia="Times New Roman" w:hAnsi="Arial" w:cs="Arial"/>
                <w:b/>
                <w:sz w:val="18"/>
                <w:szCs w:val="18"/>
                <w:lang w:val="en-AU" w:eastAsia="en-AU"/>
              </w:rPr>
              <w:t>Avg</w:t>
            </w:r>
            <w:proofErr w:type="spellEnd"/>
            <w:r>
              <w:rPr>
                <w:rFonts w:ascii="Arial" w:eastAsia="Times New Roman" w:hAnsi="Arial" w:cs="Arial"/>
                <w:b/>
                <w:sz w:val="18"/>
                <w:szCs w:val="18"/>
                <w:lang w:val="en-AU" w:eastAsia="en-AU"/>
              </w:rPr>
              <w:t xml:space="preserve"> $/SD </w:t>
            </w:r>
            <w:proofErr w:type="spellStart"/>
            <w:r>
              <w:rPr>
                <w:rFonts w:ascii="Arial" w:eastAsia="Times New Roman" w:hAnsi="Arial" w:cs="Arial"/>
                <w:b/>
                <w:sz w:val="18"/>
                <w:szCs w:val="18"/>
                <w:lang w:val="en-AU" w:eastAsia="en-AU"/>
              </w:rPr>
              <w:t>sep</w:t>
            </w:r>
            <w:proofErr w:type="spellEnd"/>
          </w:p>
        </w:tc>
        <w:tc>
          <w:tcPr>
            <w:tcW w:w="1002"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 xml:space="preserve">Min $/SD </w:t>
            </w:r>
            <w:proofErr w:type="spellStart"/>
            <w:r>
              <w:rPr>
                <w:rFonts w:ascii="Arial" w:eastAsia="Times New Roman" w:hAnsi="Arial" w:cs="Arial"/>
                <w:b/>
                <w:sz w:val="18"/>
                <w:szCs w:val="18"/>
                <w:lang w:val="en-AU" w:eastAsia="en-AU"/>
              </w:rPr>
              <w:t>sep</w:t>
            </w:r>
            <w:proofErr w:type="spellEnd"/>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 xml:space="preserve">Max $/SD </w:t>
            </w:r>
            <w:proofErr w:type="spellStart"/>
            <w:r>
              <w:rPr>
                <w:rFonts w:ascii="Arial" w:eastAsia="Times New Roman" w:hAnsi="Arial" w:cs="Arial"/>
                <w:b/>
                <w:sz w:val="18"/>
                <w:szCs w:val="18"/>
                <w:lang w:val="en-AU" w:eastAsia="en-AU"/>
              </w:rPr>
              <w:t>sep</w:t>
            </w:r>
            <w:proofErr w:type="spellEnd"/>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rsidP="00413CE5">
            <w:pPr>
              <w:jc w:val="center"/>
              <w:rPr>
                <w:rFonts w:ascii="Arial" w:eastAsia="Times New Roman" w:hAnsi="Arial" w:cs="Arial"/>
                <w:b/>
                <w:sz w:val="18"/>
                <w:szCs w:val="18"/>
                <w:lang w:val="en-AU" w:eastAsia="en-AU"/>
              </w:rPr>
            </w:pPr>
            <w:proofErr w:type="spellStart"/>
            <w:r>
              <w:rPr>
                <w:rFonts w:ascii="Arial" w:eastAsia="Times New Roman" w:hAnsi="Arial" w:cs="Arial"/>
                <w:b/>
                <w:sz w:val="18"/>
                <w:szCs w:val="18"/>
                <w:lang w:val="en-AU" w:eastAsia="en-AU"/>
              </w:rPr>
              <w:t>StDev</w:t>
            </w:r>
            <w:proofErr w:type="spellEnd"/>
            <w:r>
              <w:rPr>
                <w:rFonts w:ascii="Arial" w:eastAsia="Times New Roman" w:hAnsi="Arial" w:cs="Arial"/>
                <w:b/>
                <w:sz w:val="18"/>
                <w:szCs w:val="18"/>
                <w:lang w:val="en-AU" w:eastAsia="en-AU"/>
              </w:rPr>
              <w:t xml:space="preserve"> Total $/SD </w:t>
            </w:r>
            <w:proofErr w:type="spellStart"/>
            <w:r>
              <w:rPr>
                <w:rFonts w:ascii="Arial" w:eastAsia="Times New Roman" w:hAnsi="Arial" w:cs="Arial"/>
                <w:b/>
                <w:sz w:val="18"/>
                <w:szCs w:val="18"/>
                <w:lang w:val="en-AU" w:eastAsia="en-AU"/>
              </w:rPr>
              <w:t>sep</w:t>
            </w:r>
            <w:proofErr w:type="spellEnd"/>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Error DRGs Unrelated Operating Room DRGs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187</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$812.02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$51.27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$5,900.45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$844.51</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3541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$809.12</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$6,496.21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$890.16</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0</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Pre-MDC</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320</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$1,220.84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$94.83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$5,069.47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$973.04</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2205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$1,333.18</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$51.06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$6,568.50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$1,121.61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nervous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2255</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$1,074.49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$50.23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$6,667.08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$1,101.34</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70756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$1,087.74</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$6,718.41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$1,067.25</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eye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1471</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$2,372.15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$51.35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$6,672.07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$1,362.12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66382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$2,316.00</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$6,721.72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$1,075.46</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3</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ear, nose, mouth and throat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4153</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$1,956.62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$53.33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$6,712.65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$1,385.09</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57496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$1,697.19</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$6,724.43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$1,365.01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4</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respiratory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1560</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$901.25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$50.14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$6,304.25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$898.82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29728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$1,036.81</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$6,708.20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$1,026.79</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5</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circulatory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2738</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$1,209.17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$1,288.52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84539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$1,201.20</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$6,724.51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$1,360.53</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6</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digestive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C434EC">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4411</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$1,337.12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$6,490.75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$1,129.98</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168914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$1,404.47</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$6,722.83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$1,060.68</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lastRenderedPageBreak/>
              <w:t>7</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hepatobiliary system and pancreas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490</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$1,390.40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$52.10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$6,512.92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$1,439.17</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13437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$1,492.57</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$6,716.65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$1,302.91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8</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musculoskeletal system and connective tissue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3229</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$1,723.68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$50.78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$6,680.94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$1,446.90</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96339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$1,764.88</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$6,725.00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$1,451.67</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9</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skin, subcutaneous tissue and breast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1958</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$1,386.39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$50.63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$6,669.73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$1,216.88</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69991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$1,784.09</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$6,724.25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$1,284.18</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10</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Endocrine, nutritional and metabolic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577</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$1,089.95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$62.93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$6,006.71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$1,157.89</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16979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$1,048.39</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$50.11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$6,708.09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$996.70</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11</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kidney and urinary tract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2819</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$1,022.02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$52.06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$6,670.78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$1,066.55</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89824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$971.40</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$6,720.37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$1,009.53</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12</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553</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$2,295.68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$60.89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$6,692.11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$1,329.08</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18567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$1,916.45</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$50.78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$6,722.24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$1,184.31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lastRenderedPageBreak/>
              <w:t>13</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female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1977</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$2,121.76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$58.95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$6,630.40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$1,322.40</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57201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$2,126.56</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$1,273.77</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14</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Pregnancy, childbirth and the </w:t>
            </w:r>
            <w:proofErr w:type="spellStart"/>
            <w:r>
              <w:rPr>
                <w:rFonts w:ascii="Arial" w:eastAsia="Times New Roman" w:hAnsi="Arial" w:cs="Arial"/>
                <w:sz w:val="18"/>
                <w:szCs w:val="18"/>
                <w:lang w:val="en-AU" w:eastAsia="en-AU"/>
              </w:rPr>
              <w:t>puerperium</w:t>
            </w:r>
            <w:proofErr w:type="spellEnd"/>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4993</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$892.87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$51.08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$6,668.59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$841.94</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68243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$981.32</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$6,723.84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$899.91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15</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Newborns and other neonates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187</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$969.55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$54.86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$5,465.24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$943.61</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2094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$898.67</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$51.58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$6,721.63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$1,056.78</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16</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blood and blood forming organs and immunological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851</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$1,153.68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$59.63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$6,609.90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$1,101.17</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55602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$938.26</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$50.40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$6,724.43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$915.14</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17</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Neoplastic disorders (Haematological and solid neoplasms)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1463</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$1,458.58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$54.61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$6,520.66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$1,095.02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150264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$1,329.26</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$6,725.21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$1,162.89</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18</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Infectious and parasitic diseases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314</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$1,073.65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$55.03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$6,526.51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$1,235.17</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6404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$754.85</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$50.14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$6,680.34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$839.46</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19</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Mental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1012</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$778.27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$52.32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$6,274.23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$1,052.96</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24710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$757.59</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$50.31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$6,615.31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$1,062.49</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20</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Alcohol/drug use and alcohol/drug induced organic mental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1160</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$696.97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$6,143.29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$756.92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4759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$619.53</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$6,287.28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$532.80</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lastRenderedPageBreak/>
              <w:t>21</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Injuries, poisoning and toxic effects of drugs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2133</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$898.57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$51.31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$6,715.28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$955.37</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31781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$929.32</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$6,724.61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$971.96</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22</w:t>
            </w:r>
          </w:p>
        </w:tc>
        <w:tc>
          <w:tcPr>
            <w:tcW w:w="141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Burns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121</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$1,281.15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$54.50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$5,682.00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$1,209.10</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1816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$1,435.87</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$52.19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$6,689.10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$1,272.88</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23</w:t>
            </w:r>
          </w:p>
        </w:tc>
        <w:tc>
          <w:tcPr>
            <w:tcW w:w="1416" w:type="dxa"/>
            <w:tcBorders>
              <w:top w:val="single" w:sz="4" w:space="0" w:color="B0B7BB"/>
              <w:left w:val="single" w:sz="4" w:space="0" w:color="B0B7BB"/>
              <w:bottom w:val="single" w:sz="4" w:space="0" w:color="B0B7BB"/>
              <w:right w:val="single" w:sz="4" w:space="0" w:color="B0B7BB"/>
            </w:tcBorders>
            <w:hideMark/>
          </w:tcPr>
          <w:p w:rsidR="006C44B6" w:rsidRDefault="006C44B6" w:rsidP="00C434EC">
            <w:pPr>
              <w:rPr>
                <w:rFonts w:ascii="Arial" w:eastAsia="Times New Roman" w:hAnsi="Arial" w:cs="Arial"/>
                <w:sz w:val="18"/>
                <w:szCs w:val="18"/>
                <w:lang w:val="en-AU" w:eastAsia="en-AU"/>
              </w:rPr>
            </w:pPr>
            <w:r>
              <w:rPr>
                <w:rFonts w:ascii="Arial" w:eastAsia="Times New Roman" w:hAnsi="Arial" w:cs="Arial"/>
                <w:sz w:val="18"/>
                <w:szCs w:val="18"/>
                <w:lang w:val="en-AU" w:eastAsia="en-AU"/>
              </w:rPr>
              <w:t>Factors influencing health status and other contacts with health services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1546</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$1,063.88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$50.77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$6,558.86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$1,031.12</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76286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$1,107.68</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$6,721.72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$965.41</w:t>
            </w:r>
          </w:p>
        </w:tc>
      </w:tr>
      <w:tr w:rsidR="006C44B6" w:rsidTr="00C434EC">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Total</w:t>
            </w:r>
          </w:p>
        </w:tc>
        <w:tc>
          <w:tcPr>
            <w:tcW w:w="1416" w:type="dxa"/>
            <w:tcBorders>
              <w:top w:val="single" w:sz="4" w:space="0" w:color="B0B7BB"/>
              <w:left w:val="single" w:sz="4" w:space="0" w:color="B0B7BB"/>
              <w:bottom w:val="single" w:sz="4" w:space="0" w:color="B0B7BB"/>
              <w:right w:val="single" w:sz="4" w:space="0" w:color="B0B7BB"/>
            </w:tcBorders>
          </w:tcPr>
          <w:p w:rsidR="006C44B6" w:rsidRDefault="006C44B6">
            <w:pPr>
              <w:jc w:val="right"/>
              <w:rPr>
                <w:rFonts w:ascii="Arial" w:eastAsia="Times New Roman" w:hAnsi="Arial" w:cs="Arial"/>
                <w:sz w:val="18"/>
                <w:szCs w:val="18"/>
                <w:lang w:val="en-AU" w:eastAsia="en-AU"/>
              </w:rPr>
            </w:pP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42,478</w:t>
            </w:r>
          </w:p>
        </w:tc>
        <w:tc>
          <w:tcPr>
            <w:tcW w:w="114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$1,330.95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$1,242.13</w:t>
            </w:r>
          </w:p>
        </w:tc>
        <w:tc>
          <w:tcPr>
            <w:tcW w:w="12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1,267,858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$1,376.21</w:t>
            </w:r>
          </w:p>
        </w:tc>
        <w:tc>
          <w:tcPr>
            <w:tcW w:w="100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$50.00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$6,725.46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$1,213.99</w:t>
            </w:r>
          </w:p>
        </w:tc>
      </w:tr>
    </w:tbl>
    <w:p w:rsidR="006C44B6" w:rsidRDefault="006C44B6" w:rsidP="006C44B6">
      <w:pPr>
        <w:rPr>
          <w:rFonts w:ascii="Arial" w:hAnsi="Arial" w:cs="Arial"/>
        </w:rPr>
      </w:pPr>
    </w:p>
    <w:p w:rsidR="006C44B6" w:rsidRDefault="006C44B6" w:rsidP="006C44B6">
      <w:pPr>
        <w:rPr>
          <w:rFonts w:ascii="Arial" w:hAnsi="Arial" w:cs="Arial"/>
        </w:rPr>
      </w:pPr>
      <w:r>
        <w:rPr>
          <w:rFonts w:ascii="Arial" w:hAnsi="Arial" w:cs="Arial"/>
        </w:rPr>
        <w:br w:type="page"/>
      </w:r>
    </w:p>
    <w:tbl>
      <w:tblPr>
        <w:tblW w:w="14940"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Round 17 Same-day Trimmed Dataset"/>
      </w:tblPr>
      <w:tblGrid>
        <w:gridCol w:w="723"/>
        <w:gridCol w:w="1983"/>
        <w:gridCol w:w="1261"/>
        <w:gridCol w:w="1146"/>
        <w:gridCol w:w="1276"/>
        <w:gridCol w:w="1275"/>
        <w:gridCol w:w="1418"/>
        <w:gridCol w:w="1264"/>
        <w:gridCol w:w="1146"/>
        <w:gridCol w:w="1134"/>
        <w:gridCol w:w="1134"/>
        <w:gridCol w:w="1180"/>
      </w:tblGrid>
      <w:tr w:rsidR="006C44B6" w:rsidTr="005C4770">
        <w:trPr>
          <w:trHeight w:val="280"/>
          <w:tblHeader/>
          <w:jc w:val="center"/>
        </w:trPr>
        <w:tc>
          <w:tcPr>
            <w:tcW w:w="14940" w:type="dxa"/>
            <w:gridSpan w:val="12"/>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b/>
                <w:sz w:val="18"/>
                <w:szCs w:val="18"/>
                <w:lang w:val="en-AU" w:eastAsia="en-AU"/>
              </w:rPr>
              <w:lastRenderedPageBreak/>
              <w:t>Round 17 Same-day Trimmed Dataset</w:t>
            </w:r>
          </w:p>
        </w:tc>
      </w:tr>
      <w:tr w:rsidR="006C44B6" w:rsidTr="005C4770">
        <w:trPr>
          <w:trHeight w:val="300"/>
          <w:tblHeader/>
          <w:jc w:val="center"/>
        </w:trPr>
        <w:tc>
          <w:tcPr>
            <w:tcW w:w="723"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sz w:val="18"/>
                <w:szCs w:val="18"/>
                <w:lang w:val="en-AU"/>
              </w:rPr>
            </w:pPr>
            <w:r>
              <w:rPr>
                <w:rFonts w:ascii="Arial" w:eastAsia="Times New Roman" w:hAnsi="Arial" w:cs="Arial"/>
                <w:b/>
                <w:sz w:val="18"/>
                <w:szCs w:val="18"/>
                <w:lang w:val="en-AU"/>
              </w:rPr>
              <w:t>MDC</w:t>
            </w:r>
          </w:p>
        </w:tc>
        <w:tc>
          <w:tcPr>
            <w:tcW w:w="1983"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sz w:val="18"/>
                <w:szCs w:val="18"/>
                <w:lang w:val="en-AU"/>
              </w:rPr>
            </w:pPr>
            <w:r>
              <w:rPr>
                <w:rFonts w:ascii="Arial" w:eastAsia="Times New Roman" w:hAnsi="Arial" w:cs="Arial"/>
                <w:b/>
                <w:sz w:val="18"/>
                <w:szCs w:val="18"/>
                <w:lang w:val="en-AU"/>
              </w:rPr>
              <w:t>Description</w:t>
            </w:r>
          </w:p>
        </w:tc>
        <w:tc>
          <w:tcPr>
            <w:tcW w:w="1261"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sz w:val="18"/>
                <w:szCs w:val="18"/>
                <w:lang w:val="en-AU"/>
              </w:rPr>
            </w:pPr>
            <w:r>
              <w:rPr>
                <w:rFonts w:ascii="Arial" w:eastAsia="Times New Roman" w:hAnsi="Arial" w:cs="Arial"/>
                <w:b/>
                <w:sz w:val="18"/>
                <w:szCs w:val="18"/>
                <w:lang w:val="en-AU"/>
              </w:rPr>
              <w:t>Indigenous</w:t>
            </w:r>
          </w:p>
        </w:tc>
        <w:tc>
          <w:tcPr>
            <w:tcW w:w="1146"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proofErr w:type="spellStart"/>
            <w:r>
              <w:rPr>
                <w:rFonts w:ascii="Arial" w:eastAsia="Times New Roman" w:hAnsi="Arial" w:cs="Arial"/>
                <w:b/>
                <w:sz w:val="18"/>
                <w:szCs w:val="18"/>
                <w:lang w:val="en-AU" w:eastAsia="en-AU"/>
              </w:rPr>
              <w:t>Avg</w:t>
            </w:r>
            <w:proofErr w:type="spellEnd"/>
            <w:r>
              <w:rPr>
                <w:rFonts w:ascii="Arial" w:eastAsia="Times New Roman" w:hAnsi="Arial" w:cs="Arial"/>
                <w:b/>
                <w:sz w:val="18"/>
                <w:szCs w:val="18"/>
                <w:lang w:val="en-AU" w:eastAsia="en-AU"/>
              </w:rPr>
              <w:t xml:space="preserve"> $/SD </w:t>
            </w:r>
            <w:proofErr w:type="spellStart"/>
            <w:r>
              <w:rPr>
                <w:rFonts w:ascii="Arial" w:eastAsia="Times New Roman" w:hAnsi="Arial" w:cs="Arial"/>
                <w:b/>
                <w:sz w:val="18"/>
                <w:szCs w:val="18"/>
                <w:lang w:val="en-AU" w:eastAsia="en-AU"/>
              </w:rPr>
              <w:t>sep</w:t>
            </w:r>
            <w:proofErr w:type="spellEnd"/>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b/>
                <w:sz w:val="18"/>
                <w:szCs w:val="18"/>
                <w:lang w:val="en-AU" w:eastAsia="en-AU"/>
              </w:rPr>
              <w:t xml:space="preserve">Min $/SD </w:t>
            </w:r>
            <w:proofErr w:type="spellStart"/>
            <w:r>
              <w:rPr>
                <w:rFonts w:ascii="Arial" w:eastAsia="Times New Roman" w:hAnsi="Arial" w:cs="Arial"/>
                <w:b/>
                <w:sz w:val="18"/>
                <w:szCs w:val="18"/>
                <w:lang w:val="en-AU" w:eastAsia="en-AU"/>
              </w:rPr>
              <w:t>sep</w:t>
            </w:r>
            <w:proofErr w:type="spellEnd"/>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b/>
                <w:sz w:val="18"/>
                <w:szCs w:val="18"/>
                <w:lang w:val="en-AU" w:eastAsia="en-AU"/>
              </w:rPr>
              <w:t xml:space="preserve">Max $/SD </w:t>
            </w:r>
            <w:proofErr w:type="spellStart"/>
            <w:r>
              <w:rPr>
                <w:rFonts w:ascii="Arial" w:eastAsia="Times New Roman" w:hAnsi="Arial" w:cs="Arial"/>
                <w:b/>
                <w:sz w:val="18"/>
                <w:szCs w:val="18"/>
                <w:lang w:val="en-AU" w:eastAsia="en-AU"/>
              </w:rPr>
              <w:t>sep</w:t>
            </w:r>
            <w:proofErr w:type="spellEnd"/>
          </w:p>
        </w:tc>
        <w:tc>
          <w:tcPr>
            <w:tcW w:w="1418"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proofErr w:type="spellStart"/>
            <w:r>
              <w:rPr>
                <w:rFonts w:ascii="Arial" w:eastAsia="Times New Roman" w:hAnsi="Arial" w:cs="Arial"/>
                <w:b/>
                <w:sz w:val="18"/>
                <w:szCs w:val="18"/>
                <w:lang w:val="en-AU" w:eastAsia="en-AU"/>
              </w:rPr>
              <w:t>StDev</w:t>
            </w:r>
            <w:proofErr w:type="spellEnd"/>
            <w:r>
              <w:rPr>
                <w:rFonts w:ascii="Arial" w:eastAsia="Times New Roman" w:hAnsi="Arial" w:cs="Arial"/>
                <w:b/>
                <w:sz w:val="18"/>
                <w:szCs w:val="18"/>
                <w:lang w:val="en-AU" w:eastAsia="en-AU"/>
              </w:rPr>
              <w:t xml:space="preserve"> Total $/SD </w:t>
            </w:r>
            <w:proofErr w:type="spellStart"/>
            <w:r>
              <w:rPr>
                <w:rFonts w:ascii="Arial" w:eastAsia="Times New Roman" w:hAnsi="Arial" w:cs="Arial"/>
                <w:b/>
                <w:sz w:val="18"/>
                <w:szCs w:val="18"/>
                <w:lang w:val="en-AU" w:eastAsia="en-AU"/>
              </w:rPr>
              <w:t>sep</w:t>
            </w:r>
            <w:proofErr w:type="spellEnd"/>
          </w:p>
        </w:tc>
        <w:tc>
          <w:tcPr>
            <w:tcW w:w="1264"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7A097D">
            <w:pPr>
              <w:rPr>
                <w:rFonts w:ascii="Arial" w:eastAsia="Times New Roman" w:hAnsi="Arial" w:cs="Arial"/>
                <w:b/>
                <w:sz w:val="18"/>
                <w:szCs w:val="18"/>
                <w:lang w:val="en-AU"/>
              </w:rPr>
            </w:pPr>
            <w:r>
              <w:rPr>
                <w:rFonts w:ascii="Arial" w:eastAsia="Times New Roman" w:hAnsi="Arial" w:cs="Arial"/>
                <w:b/>
                <w:sz w:val="18"/>
                <w:szCs w:val="18"/>
                <w:lang w:val="en-AU"/>
              </w:rPr>
              <w:t>Non-Indigenous</w:t>
            </w:r>
          </w:p>
        </w:tc>
        <w:tc>
          <w:tcPr>
            <w:tcW w:w="1146"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proofErr w:type="spellStart"/>
            <w:r>
              <w:rPr>
                <w:rFonts w:ascii="Arial" w:eastAsia="Times New Roman" w:hAnsi="Arial" w:cs="Arial"/>
                <w:b/>
                <w:sz w:val="18"/>
                <w:szCs w:val="18"/>
                <w:lang w:val="en-AU" w:eastAsia="en-AU"/>
              </w:rPr>
              <w:t>Avg</w:t>
            </w:r>
            <w:proofErr w:type="spellEnd"/>
            <w:r>
              <w:rPr>
                <w:rFonts w:ascii="Arial" w:eastAsia="Times New Roman" w:hAnsi="Arial" w:cs="Arial"/>
                <w:b/>
                <w:sz w:val="18"/>
                <w:szCs w:val="18"/>
                <w:lang w:val="en-AU" w:eastAsia="en-AU"/>
              </w:rPr>
              <w:t xml:space="preserve"> $/SD </w:t>
            </w:r>
            <w:proofErr w:type="spellStart"/>
            <w:r>
              <w:rPr>
                <w:rFonts w:ascii="Arial" w:eastAsia="Times New Roman" w:hAnsi="Arial" w:cs="Arial"/>
                <w:b/>
                <w:sz w:val="18"/>
                <w:szCs w:val="18"/>
                <w:lang w:val="en-AU" w:eastAsia="en-AU"/>
              </w:rPr>
              <w:t>sep</w:t>
            </w:r>
            <w:proofErr w:type="spellEnd"/>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b/>
                <w:sz w:val="18"/>
                <w:szCs w:val="18"/>
                <w:lang w:val="en-AU" w:eastAsia="en-AU"/>
              </w:rPr>
              <w:t xml:space="preserve">Min $/SD </w:t>
            </w:r>
            <w:proofErr w:type="spellStart"/>
            <w:r>
              <w:rPr>
                <w:rFonts w:ascii="Arial" w:eastAsia="Times New Roman" w:hAnsi="Arial" w:cs="Arial"/>
                <w:b/>
                <w:sz w:val="18"/>
                <w:szCs w:val="18"/>
                <w:lang w:val="en-AU" w:eastAsia="en-AU"/>
              </w:rPr>
              <w:t>sep</w:t>
            </w:r>
            <w:proofErr w:type="spellEnd"/>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b/>
                <w:sz w:val="18"/>
                <w:szCs w:val="18"/>
                <w:lang w:val="en-AU" w:eastAsia="en-AU"/>
              </w:rPr>
              <w:t xml:space="preserve">Max $/SD </w:t>
            </w:r>
            <w:proofErr w:type="spellStart"/>
            <w:r>
              <w:rPr>
                <w:rFonts w:ascii="Arial" w:eastAsia="Times New Roman" w:hAnsi="Arial" w:cs="Arial"/>
                <w:b/>
                <w:sz w:val="18"/>
                <w:szCs w:val="18"/>
                <w:lang w:val="en-AU" w:eastAsia="en-AU"/>
              </w:rPr>
              <w:t>sep</w:t>
            </w:r>
            <w:proofErr w:type="spellEnd"/>
          </w:p>
        </w:tc>
        <w:tc>
          <w:tcPr>
            <w:tcW w:w="1180"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sz w:val="18"/>
                <w:szCs w:val="18"/>
                <w:lang w:val="en-AU"/>
              </w:rPr>
            </w:pPr>
            <w:proofErr w:type="spellStart"/>
            <w:r>
              <w:rPr>
                <w:rFonts w:ascii="Arial" w:eastAsia="Times New Roman" w:hAnsi="Arial" w:cs="Arial"/>
                <w:b/>
                <w:sz w:val="18"/>
                <w:szCs w:val="18"/>
                <w:lang w:val="en-AU" w:eastAsia="en-AU"/>
              </w:rPr>
              <w:t>StDev</w:t>
            </w:r>
            <w:proofErr w:type="spellEnd"/>
            <w:r>
              <w:rPr>
                <w:rFonts w:ascii="Arial" w:eastAsia="Times New Roman" w:hAnsi="Arial" w:cs="Arial"/>
                <w:b/>
                <w:sz w:val="18"/>
                <w:szCs w:val="18"/>
                <w:lang w:val="en-AU" w:eastAsia="en-AU"/>
              </w:rPr>
              <w:t xml:space="preserve"> Total $/SD </w:t>
            </w:r>
            <w:proofErr w:type="spellStart"/>
            <w:r>
              <w:rPr>
                <w:rFonts w:ascii="Arial" w:eastAsia="Times New Roman" w:hAnsi="Arial" w:cs="Arial"/>
                <w:b/>
                <w:sz w:val="18"/>
                <w:szCs w:val="18"/>
                <w:lang w:val="en-AU" w:eastAsia="en-AU"/>
              </w:rPr>
              <w:t>sep</w:t>
            </w:r>
            <w:proofErr w:type="spellEnd"/>
          </w:p>
        </w:tc>
      </w:tr>
      <w:tr w:rsidR="006C44B6" w:rsidTr="005C4770">
        <w:trPr>
          <w:trHeight w:val="9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Error DRGs Unrelated Operating Room DRGs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29024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$1,077.07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$8,185.19</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$1,117.18</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218413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$1,362.14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$8,213.56</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$1,388.99</w:t>
            </w:r>
          </w:p>
        </w:tc>
      </w:tr>
      <w:tr w:rsidR="006C44B6" w:rsidTr="005C4770">
        <w:trPr>
          <w:trHeight w:val="30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00</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Pre-MDC</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35</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$1,911.60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$126.54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$3,988.73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$588.30</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425</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$2,393.98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$56.33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$7,739.38</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$1,199.78</w:t>
            </w:r>
          </w:p>
        </w:tc>
      </w:tr>
      <w:tr w:rsidR="006C44B6" w:rsidTr="005C4770">
        <w:trPr>
          <w:trHeight w:val="9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01</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nervous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2530</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$1,332.91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$51.45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$7,920.25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$1,201.69</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74292</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$1,270.80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$50.35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$8,212.33</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$1,166.23</w:t>
            </w:r>
          </w:p>
        </w:tc>
      </w:tr>
      <w:tr w:rsidR="006C44B6" w:rsidTr="005C4770">
        <w:trPr>
          <w:trHeight w:val="74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02</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eye</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1848</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$2,440.98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$58.07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$7,918.40</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$1,545.69</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63015</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$2,479.68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$50.20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$8,216.10</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$1,198.06</w:t>
            </w:r>
          </w:p>
        </w:tc>
      </w:tr>
      <w:tr w:rsidR="006C44B6" w:rsidTr="005C4770">
        <w:trPr>
          <w:trHeight w:val="122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03</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ear, nose, mouth and throat</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4155</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$2,052.00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$51.21</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$8,162.68</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$1,505.27</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57596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$1,731.34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$8,214.83</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$1,306.43</w:t>
            </w:r>
          </w:p>
        </w:tc>
      </w:tr>
      <w:tr w:rsidR="006C44B6" w:rsidTr="005C4770">
        <w:trPr>
          <w:trHeight w:val="9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04</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respiratory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1734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$1,284.40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$59.99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$7,996.82</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$1,144.87</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32174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$1,299.70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$51.23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$8,174.65</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$1,054.08</w:t>
            </w:r>
          </w:p>
        </w:tc>
      </w:tr>
      <w:tr w:rsidR="006C44B6" w:rsidTr="005C4770">
        <w:trPr>
          <w:trHeight w:val="9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05</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circulatory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3058</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$1,664.59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$51.27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$8,183.61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$1,464.94</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90560</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$1,572.70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$8,216.85</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$1,380.62</w:t>
            </w:r>
          </w:p>
        </w:tc>
      </w:tr>
      <w:tr w:rsidR="006C44B6" w:rsidTr="005C4770">
        <w:trPr>
          <w:trHeight w:val="9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06</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C434EC">
            <w:pPr>
              <w:rPr>
                <w:rFonts w:ascii="Arial" w:eastAsia="Times New Roman" w:hAnsi="Arial" w:cs="Arial"/>
                <w:sz w:val="18"/>
                <w:szCs w:val="18"/>
                <w:lang w:val="en-AU"/>
              </w:rPr>
            </w:pPr>
            <w:r>
              <w:rPr>
                <w:rFonts w:ascii="Arial" w:eastAsia="Times New Roman" w:hAnsi="Arial" w:cs="Arial"/>
                <w:sz w:val="18"/>
                <w:szCs w:val="18"/>
                <w:lang w:val="en-AU"/>
              </w:rPr>
              <w:t>Diseases and disorders of the digestive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4553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$1,508.11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$50.56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$8,195.12</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$1,220.68</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160061</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$1,549.17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$8,217.16</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$1,143.03</w:t>
            </w:r>
          </w:p>
        </w:tc>
      </w:tr>
      <w:tr w:rsidR="006C44B6" w:rsidTr="005C4770">
        <w:trPr>
          <w:trHeight w:val="914"/>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lastRenderedPageBreak/>
              <w:t>07</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hepatobiliary system and pancreas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586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$1,644.55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$56.06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$7,998.74</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$1,621.27</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13313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$1,742.48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$51.29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$8,205.41</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$1,439.56</w:t>
            </w:r>
          </w:p>
        </w:tc>
      </w:tr>
      <w:tr w:rsidR="006C44B6" w:rsidTr="005C4770">
        <w:trPr>
          <w:trHeight w:val="1125"/>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08</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musculoskeletal system and connective tissue</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3503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$1,818.06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$50.19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$8,206.64</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$1,519.35</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96781</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$1,923.49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$50.11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$8,214.59</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$1,529.91</w:t>
            </w:r>
          </w:p>
        </w:tc>
      </w:tr>
      <w:tr w:rsidR="006C44B6" w:rsidTr="005C4770">
        <w:trPr>
          <w:trHeight w:val="971"/>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09</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skin, subcutaneous tissue and breast</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2167</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$1,511.47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$51.07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$7,941.63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$1,321.18</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68863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$1,929.92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$8,216.89</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$1,394.35</w:t>
            </w:r>
          </w:p>
        </w:tc>
      </w:tr>
      <w:tr w:rsidR="006C44B6" w:rsidTr="005C4770">
        <w:trPr>
          <w:trHeight w:val="985"/>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10</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Endocrine, nutritional and metabolic diseases and disorders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724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$1,155.62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$55.16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$6,271.99</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$913.83</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16436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$1,039.93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$50.46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$8,172.95</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$936.81</w:t>
            </w:r>
          </w:p>
        </w:tc>
      </w:tr>
      <w:tr w:rsidR="006C44B6" w:rsidTr="005C4770">
        <w:trPr>
          <w:trHeight w:val="701"/>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11</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kidney and urinary tract</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2364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$1,455.12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$54.78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$8,149.20</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$1,294.14</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69289</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$1,347.34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$8,208.84</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$1,168.29</w:t>
            </w:r>
          </w:p>
        </w:tc>
      </w:tr>
      <w:tr w:rsidR="006C44B6" w:rsidTr="005C4770">
        <w:trPr>
          <w:trHeight w:val="714"/>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12</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male reproductive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552</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$2,347.06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$55.67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$7,226.50</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$1,273.92</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17236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$2,041.81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$8,202.89</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$1,219.04</w:t>
            </w:r>
          </w:p>
        </w:tc>
      </w:tr>
      <w:tr w:rsidR="006C44B6" w:rsidTr="005C4770">
        <w:trPr>
          <w:trHeight w:val="851"/>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13</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female reproductive system</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1938</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$2,247.18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$55.45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$8,213.63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$1,394.25</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54500</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$2,294.38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$50.80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$8,215.93</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$1,368.48</w:t>
            </w:r>
          </w:p>
        </w:tc>
      </w:tr>
      <w:tr w:rsidR="006C44B6" w:rsidTr="005C4770">
        <w:trPr>
          <w:trHeight w:val="552"/>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14</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 xml:space="preserve">Pregnancy, childbirth and the </w:t>
            </w:r>
            <w:proofErr w:type="spellStart"/>
            <w:r>
              <w:rPr>
                <w:rFonts w:ascii="Arial" w:eastAsia="Times New Roman" w:hAnsi="Arial" w:cs="Arial"/>
                <w:sz w:val="18"/>
                <w:szCs w:val="18"/>
                <w:lang w:val="en-AU"/>
              </w:rPr>
              <w:t>puerperium</w:t>
            </w:r>
            <w:proofErr w:type="spellEnd"/>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5259</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$907.53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$50.78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$8,168.21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$934.17</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70127</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$1,047.18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$8,208.62</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$1,000.46</w:t>
            </w:r>
          </w:p>
        </w:tc>
      </w:tr>
      <w:tr w:rsidR="006C44B6" w:rsidTr="005C4770">
        <w:trPr>
          <w:trHeight w:val="50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15</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Newborns and other neonates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$910.71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$50.77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$6,628.40</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$1,025.08</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2364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$1,072.62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$51.11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$8,180.21</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$1,153.20</w:t>
            </w:r>
          </w:p>
        </w:tc>
      </w:tr>
      <w:tr w:rsidR="006C44B6" w:rsidTr="005C4770">
        <w:trPr>
          <w:trHeight w:val="1198"/>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lastRenderedPageBreak/>
              <w:t>16</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Diseases and disorders of the blood and blood forming organs and immunological disorders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841</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$1,197.09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$61.47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$6,342.23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$1,040.34</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52267</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$884.81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$50.21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$8,211.77</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$909.78</w:t>
            </w:r>
          </w:p>
        </w:tc>
      </w:tr>
      <w:tr w:rsidR="006C44B6" w:rsidTr="005C4770">
        <w:trPr>
          <w:trHeight w:val="803"/>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17</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Neoplastic disorders (Haematological and solid neoplasms)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1358</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$1,506.37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$72.90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$8,042.53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$1,435.12</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124530</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$1,409.98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$50.41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$8,216.54</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$1,367.08</w:t>
            </w:r>
          </w:p>
        </w:tc>
      </w:tr>
      <w:tr w:rsidR="006C44B6" w:rsidTr="005C4770">
        <w:trPr>
          <w:trHeight w:val="546"/>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18</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Infectious and parasitic diseases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508</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$1,005.29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$50.81</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$6,880.43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$1,179.56</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7069</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$1,082.03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$50.62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$8,066.34</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$950.24</w:t>
            </w:r>
          </w:p>
        </w:tc>
      </w:tr>
      <w:tr w:rsidR="006C44B6" w:rsidTr="005C4770">
        <w:trPr>
          <w:trHeight w:val="412"/>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19</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Mental diseases and disorders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1267</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$811.38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$50.46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$7,663.66</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$887.85</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25803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$836.28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$50.26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$8,152.59</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$630.51</w:t>
            </w:r>
          </w:p>
        </w:tc>
      </w:tr>
      <w:tr w:rsidR="006C44B6" w:rsidTr="005C4770">
        <w:trPr>
          <w:trHeight w:val="843"/>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20</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Alcohol/drug use and alcohol/drug induced organic mental disorders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1283</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$896.12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$53.23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$8,153.17</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$922.70</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4545</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$973.17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$50.46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$5,888.74</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$714.53</w:t>
            </w:r>
          </w:p>
        </w:tc>
      </w:tr>
      <w:tr w:rsidR="006C44B6" w:rsidTr="005C4770">
        <w:trPr>
          <w:trHeight w:val="70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21</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Injuries, poisoning and toxic effects of drugs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2419</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$1,160.48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$52.03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$8,096.95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$1,120.78</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36166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$1,231.51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$50.50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$8,124.81</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$1,012.23</w:t>
            </w:r>
          </w:p>
        </w:tc>
      </w:tr>
      <w:tr w:rsidR="006C44B6" w:rsidTr="005C4770">
        <w:trPr>
          <w:trHeight w:val="30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22</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Burns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132</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$1,202.74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$50.36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$6,318.82</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$1,376.83</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1884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$1,581.90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$50.11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$8,148.12</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$1,283.94</w:t>
            </w:r>
          </w:p>
        </w:tc>
      </w:tr>
      <w:tr w:rsidR="006C44B6" w:rsidTr="005C4770">
        <w:trPr>
          <w:trHeight w:val="955"/>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23</w:t>
            </w:r>
          </w:p>
        </w:tc>
        <w:tc>
          <w:tcPr>
            <w:tcW w:w="198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51EEE">
            <w:pPr>
              <w:rPr>
                <w:rFonts w:ascii="Arial" w:eastAsia="Times New Roman" w:hAnsi="Arial" w:cs="Arial"/>
                <w:sz w:val="18"/>
                <w:szCs w:val="18"/>
                <w:lang w:val="en-AU"/>
              </w:rPr>
            </w:pPr>
            <w:r>
              <w:rPr>
                <w:rFonts w:ascii="Arial" w:eastAsia="Times New Roman" w:hAnsi="Arial" w:cs="Arial"/>
                <w:sz w:val="18"/>
                <w:szCs w:val="18"/>
                <w:lang w:val="en-AU"/>
              </w:rPr>
              <w:t>Factors influencing health status and other contacts with health services</w:t>
            </w: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1706</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$1,088.60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$50.46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$8,094.87</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$1,128.34</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67792</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$1,181.00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$50.28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$8,216.15</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$1,053.04</w:t>
            </w:r>
          </w:p>
        </w:tc>
      </w:tr>
      <w:tr w:rsidR="006C44B6" w:rsidTr="005C4770">
        <w:trPr>
          <w:trHeight w:val="2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24</w:t>
            </w:r>
          </w:p>
        </w:tc>
        <w:tc>
          <w:tcPr>
            <w:tcW w:w="198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4</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$1,004.76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$262.07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$1,735.84</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$601.86</w:t>
            </w: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59</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$957.56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$57.48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$3,685.43</w:t>
            </w: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$753.01</w:t>
            </w:r>
          </w:p>
        </w:tc>
      </w:tr>
      <w:tr w:rsidR="006C44B6" w:rsidTr="005C4770">
        <w:trPr>
          <w:trHeight w:val="280"/>
          <w:jc w:val="center"/>
        </w:trPr>
        <w:tc>
          <w:tcPr>
            <w:tcW w:w="72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rPr>
            </w:pPr>
            <w:r>
              <w:rPr>
                <w:rFonts w:ascii="Arial" w:eastAsia="Times New Roman" w:hAnsi="Arial" w:cs="Arial"/>
                <w:sz w:val="18"/>
                <w:szCs w:val="18"/>
                <w:lang w:val="en-AU"/>
              </w:rPr>
              <w:t>Total</w:t>
            </w:r>
          </w:p>
        </w:tc>
        <w:tc>
          <w:tcPr>
            <w:tcW w:w="1983"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73722</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6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rPr>
            </w:pPr>
            <w:r>
              <w:rPr>
                <w:rFonts w:ascii="Arial" w:eastAsia="Times New Roman" w:hAnsi="Arial" w:cs="Arial"/>
                <w:sz w:val="18"/>
                <w:szCs w:val="18"/>
                <w:lang w:val="en-AU"/>
              </w:rPr>
              <w:t>1425560</w:t>
            </w:r>
          </w:p>
        </w:tc>
        <w:tc>
          <w:tcPr>
            <w:tcW w:w="114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18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r>
    </w:tbl>
    <w:p w:rsidR="006C44B6" w:rsidRDefault="006C44B6" w:rsidP="006C44B6">
      <w:pPr>
        <w:rPr>
          <w:rFonts w:ascii="Arial" w:hAnsi="Arial" w:cs="Arial"/>
        </w:rPr>
      </w:pPr>
    </w:p>
    <w:p w:rsidR="006C44B6" w:rsidRDefault="006C44B6" w:rsidP="006C44B6">
      <w:pPr>
        <w:rPr>
          <w:rFonts w:ascii="Arial" w:hAnsi="Arial" w:cs="Arial"/>
        </w:rPr>
      </w:pPr>
      <w:r>
        <w:rPr>
          <w:rFonts w:ascii="Arial" w:hAnsi="Arial" w:cs="Arial"/>
        </w:rPr>
        <w:br w:type="page"/>
      </w:r>
    </w:p>
    <w:p w:rsidR="006C44B6" w:rsidRDefault="006C44B6" w:rsidP="00287791">
      <w:pPr>
        <w:pStyle w:val="EYHeading1"/>
        <w:numPr>
          <w:ilvl w:val="0"/>
          <w:numId w:val="0"/>
        </w:numPr>
        <w:ind w:left="850"/>
      </w:pPr>
      <w:bookmarkStart w:id="94" w:name="_Toc426115412"/>
      <w:bookmarkStart w:id="95" w:name="_Toc426117648"/>
      <w:r>
        <w:lastRenderedPageBreak/>
        <w:t>Appendix B: T Statistics for Same-day Services by Major Diagnostic Category</w:t>
      </w:r>
      <w:bookmarkEnd w:id="94"/>
      <w:bookmarkEnd w:id="95"/>
    </w:p>
    <w:tbl>
      <w:tblPr>
        <w:tblW w:w="13410"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Appendix B: T Statistics for Same-day Services by Major Diagnostic Category"/>
      </w:tblPr>
      <w:tblGrid>
        <w:gridCol w:w="661"/>
        <w:gridCol w:w="3003"/>
        <w:gridCol w:w="1239"/>
        <w:gridCol w:w="1184"/>
        <w:gridCol w:w="1275"/>
        <w:gridCol w:w="1134"/>
        <w:gridCol w:w="1134"/>
        <w:gridCol w:w="1134"/>
        <w:gridCol w:w="1134"/>
        <w:gridCol w:w="1512"/>
      </w:tblGrid>
      <w:tr w:rsidR="006C44B6" w:rsidTr="00071C09">
        <w:trPr>
          <w:cantSplit/>
          <w:trHeight w:val="300"/>
          <w:tblHeader/>
          <w:jc w:val="center"/>
        </w:trPr>
        <w:tc>
          <w:tcPr>
            <w:tcW w:w="661"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MDC</w:t>
            </w:r>
          </w:p>
        </w:tc>
        <w:tc>
          <w:tcPr>
            <w:tcW w:w="3003" w:type="dxa"/>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Description</w:t>
            </w:r>
          </w:p>
        </w:tc>
        <w:tc>
          <w:tcPr>
            <w:tcW w:w="1239"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Indigenous</w:t>
            </w:r>
          </w:p>
        </w:tc>
        <w:tc>
          <w:tcPr>
            <w:tcW w:w="118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Average Cost</w:t>
            </w:r>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7A097D">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Non-Indigenous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sz w:val="18"/>
                <w:szCs w:val="18"/>
                <w:lang w:val="en-AU" w:eastAsia="en-AU"/>
              </w:rPr>
              <w:t>Average Cost</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color w:val="000000"/>
                <w:sz w:val="18"/>
                <w:szCs w:val="18"/>
                <w:lang w:val="en-AU"/>
              </w:rPr>
              <w:t>T Value</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proofErr w:type="spellStart"/>
            <w:r>
              <w:rPr>
                <w:rFonts w:ascii="Arial" w:eastAsia="Times New Roman" w:hAnsi="Arial" w:cs="Arial"/>
                <w:b/>
                <w:color w:val="000000"/>
                <w:sz w:val="18"/>
                <w:szCs w:val="18"/>
                <w:lang w:val="en-AU"/>
              </w:rPr>
              <w:t>Pr</w:t>
            </w:r>
            <w:proofErr w:type="spellEnd"/>
            <w:r>
              <w:rPr>
                <w:rFonts w:ascii="Arial" w:eastAsia="Times New Roman" w:hAnsi="Arial" w:cs="Arial"/>
                <w:b/>
                <w:color w:val="000000"/>
                <w:sz w:val="18"/>
                <w:szCs w:val="18"/>
                <w:lang w:val="en-AU"/>
              </w:rPr>
              <w:t xml:space="preserve"> &gt; |t|</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color w:val="000000"/>
                <w:sz w:val="18"/>
                <w:szCs w:val="18"/>
              </w:rPr>
              <w:t>Hypothesis (</w:t>
            </w:r>
            <w:r>
              <w:rPr>
                <w:rFonts w:ascii="Arial" w:hAnsi="Arial" w:cs="Arial"/>
                <w:b/>
                <w:sz w:val="18"/>
                <w:szCs w:val="18"/>
              </w:rPr>
              <w:t>H</w:t>
            </w:r>
            <w:r>
              <w:rPr>
                <w:rFonts w:ascii="Arial" w:hAnsi="Arial" w:cs="Arial"/>
                <w:b/>
                <w:sz w:val="18"/>
                <w:szCs w:val="18"/>
                <w:vertAlign w:val="subscript"/>
              </w:rPr>
              <w:t>0</w:t>
            </w:r>
            <w:r>
              <w:rPr>
                <w:rFonts w:ascii="Arial" w:hAnsi="Arial" w:cs="Arial"/>
                <w:b/>
                <w:sz w:val="18"/>
                <w:szCs w:val="18"/>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hAnsi="Arial" w:cs="Arial"/>
                <w:b/>
                <w:sz w:val="18"/>
                <w:szCs w:val="18"/>
              </w:rPr>
              <w:t>)</w:t>
            </w:r>
          </w:p>
        </w:tc>
        <w:tc>
          <w:tcPr>
            <w:tcW w:w="1512"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sz w:val="18"/>
                <w:szCs w:val="18"/>
                <w:lang w:val="en-AU" w:eastAsia="en-AU"/>
              </w:rPr>
            </w:pPr>
            <w:r>
              <w:rPr>
                <w:rFonts w:ascii="Arial" w:eastAsia="Times New Roman" w:hAnsi="Arial" w:cs="Arial"/>
                <w:b/>
                <w:color w:val="000000"/>
                <w:sz w:val="18"/>
                <w:szCs w:val="18"/>
              </w:rPr>
              <w:t xml:space="preserve">Interpretation (Indigenous cost relative to </w:t>
            </w:r>
            <w:r w:rsidR="007A097D">
              <w:rPr>
                <w:rFonts w:ascii="Arial" w:eastAsia="Times New Roman" w:hAnsi="Arial" w:cs="Arial"/>
                <w:b/>
                <w:color w:val="000000"/>
                <w:sz w:val="18"/>
                <w:szCs w:val="18"/>
              </w:rPr>
              <w:t>Non-Indigenous</w:t>
            </w:r>
            <w:r>
              <w:rPr>
                <w:rFonts w:ascii="Arial" w:eastAsia="Times New Roman" w:hAnsi="Arial" w:cs="Arial"/>
                <w:b/>
                <w:color w:val="000000"/>
                <w:sz w:val="18"/>
                <w:szCs w:val="18"/>
              </w:rPr>
              <w:t xml:space="preserve"> Cost)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Error DRGs Unrelated Operating Room DRGs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187</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$812.02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3541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$809.12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0.04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0.9652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0</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Pre-MDC</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320</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$1,220.84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2205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$1,333.18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0.0593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nervous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2255</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$1,074.49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70756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$1,087.74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0.5735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eye</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1471</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$2,372.15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66382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$2,316.00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0.1166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3</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ear, nose, mouth and throat</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4153</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$1,956.62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57496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$1,697.19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11.82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4</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respiratory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1560</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$901.25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29728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$1,036.81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Lower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5</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circulatory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2738</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$1,209.17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84539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$1,201.20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0.32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0.7505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6</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digestive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4411</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$1,337.12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168914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$1,404.47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-3.91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D45D56">
            <w:pPr>
              <w:jc w:val="right"/>
              <w:rPr>
                <w:rFonts w:ascii="Arial" w:eastAsia="Times New Roman" w:hAnsi="Arial" w:cs="Arial"/>
                <w:sz w:val="18"/>
                <w:szCs w:val="18"/>
                <w:lang w:val="en-AU" w:eastAsia="en-AU"/>
              </w:rPr>
            </w:pPr>
            <w:r>
              <w:rPr>
                <w:rFonts w:ascii="Arial" w:eastAsia="Times New Roman" w:hAnsi="Arial" w:cs="Arial"/>
                <w:color w:val="000000"/>
                <w:sz w:val="18"/>
                <w:szCs w:val="18"/>
              </w:rPr>
              <w:t>Lower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7</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hepatobiliary system and pancreas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490</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$1,390.40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13437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$1,492.57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0.1221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lastRenderedPageBreak/>
              <w:t>8</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musculoskeletal system and connective tissue</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3229</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$1,723.68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96339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$1,764.88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0.1126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9</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skin, subcutaneous tissue and breast</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1958</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$1,386.39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69991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$1,784.09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-14.24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Lower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10</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Endocrine, nutritional and metabolic diseases and disorders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577</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$1,089.95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16979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$1,048.39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0.85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.3948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11</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kidney and urinary tract</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2819</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$1,022.02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89824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$971.40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2.49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0.0130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Higher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12</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male reproductive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553</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$2,295.68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18567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$1,916.45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6.63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13</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female reproductive system</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1977</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$2,121.76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57201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$2,126.56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0.8739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14</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Pregnancy, childbirth and the </w:t>
            </w:r>
            <w:proofErr w:type="spellStart"/>
            <w:r>
              <w:rPr>
                <w:rFonts w:ascii="Arial" w:eastAsia="Times New Roman" w:hAnsi="Arial" w:cs="Arial"/>
                <w:sz w:val="18"/>
                <w:szCs w:val="18"/>
                <w:lang w:val="en-AU" w:eastAsia="en-AU"/>
              </w:rPr>
              <w:t>puerperium</w:t>
            </w:r>
            <w:proofErr w:type="spellEnd"/>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4993</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$892.87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68243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$981.32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-7.13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Lower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15</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Newborns and other neonates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187</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$969.55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2094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$898.67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0.97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0.3310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16</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Diseases and disorders of the blood and blood forming organs and immunological disorders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851</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$1,153.68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55602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$938.26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5.68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17</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Neoplastic disorders (Haematological and solid neoplasms)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1463</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$1,458.58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150264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$1,329.26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4.49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18</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Infectious and parasitic diseases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314</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$1,073.65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6404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$754.85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4.52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&lt;.0001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D04C3">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w:t>
            </w:r>
            <w:r>
              <w:rPr>
                <w:rFonts w:ascii="Arial" w:eastAsia="Times New Roman" w:hAnsi="Arial" w:cs="Arial"/>
                <w:color w:val="000000"/>
                <w:sz w:val="18"/>
                <w:szCs w:val="18"/>
              </w:rPr>
              <w:b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19</w:t>
            </w:r>
          </w:p>
        </w:tc>
        <w:tc>
          <w:tcPr>
            <w:tcW w:w="3003" w:type="dxa"/>
            <w:tcBorders>
              <w:top w:val="single" w:sz="4" w:space="0" w:color="B0B7BB"/>
              <w:left w:val="single" w:sz="4" w:space="0" w:color="B0B7BB"/>
              <w:bottom w:val="single" w:sz="4" w:space="0" w:color="B0B7BB"/>
              <w:right w:val="single" w:sz="4" w:space="0" w:color="B0B7BB"/>
            </w:tcBorders>
            <w:hideMark/>
          </w:tcPr>
          <w:p w:rsidR="006C44B6" w:rsidRDefault="006C44B6" w:rsidP="000D04C3">
            <w:pPr>
              <w:rPr>
                <w:rFonts w:ascii="Arial" w:eastAsia="Times New Roman" w:hAnsi="Arial" w:cs="Arial"/>
                <w:sz w:val="18"/>
                <w:szCs w:val="18"/>
                <w:lang w:val="en-AU" w:eastAsia="en-AU"/>
              </w:rPr>
            </w:pPr>
            <w:r>
              <w:rPr>
                <w:rFonts w:ascii="Arial" w:eastAsia="Times New Roman" w:hAnsi="Arial" w:cs="Arial"/>
                <w:sz w:val="18"/>
                <w:szCs w:val="18"/>
                <w:lang w:val="en-AU" w:eastAsia="en-AU"/>
              </w:rPr>
              <w:t>Mental diseases and disorders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1012</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$778.27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24710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$757.59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0.61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0.5438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1</w:t>
            </w:r>
            <w:r w:rsidR="000D04C3">
              <w:rPr>
                <w:rStyle w:val="IntenseReference"/>
                <w:rFonts w:asciiTheme="majorHAnsi" w:hAnsiTheme="majorHAnsi" w:cs="Times New Roman"/>
                <w:b w:val="0"/>
                <w:bCs w:val="0"/>
                <w:smallCaps w:val="0"/>
                <w:color w:val="000000" w:themeColor="text1"/>
                <w:sz w:val="22"/>
                <w:szCs w:val="22"/>
                <w:vertAlign w:val="subscript"/>
              </w:rPr>
              <w:t xml:space="preserve"> </w:t>
            </w:r>
            <w:r w:rsidR="000D04C3" w:rsidRPr="009D7F6D">
              <w:rPr>
                <w:rStyle w:val="IntenseReference"/>
                <w:rFonts w:asciiTheme="majorHAnsi" w:hAnsiTheme="majorHAnsi" w:cs="Times New Roman"/>
                <w:b w:val="0"/>
                <w:bCs w:val="0"/>
                <w:smallCaps w:val="0"/>
                <w:color w:val="000000" w:themeColor="text1"/>
                <w:sz w:val="20"/>
                <w:szCs w:val="20"/>
              </w:rPr>
              <w:t>=</w:t>
            </w:r>
            <w:r w:rsidR="000D04C3">
              <w:rPr>
                <w:rStyle w:val="IntenseReference"/>
                <w:rFonts w:asciiTheme="majorHAnsi" w:hAnsiTheme="majorHAnsi" w:cs="Times New Roman"/>
                <w:b w:val="0"/>
                <w:bCs w:val="0"/>
                <w:smallCaps w:val="0"/>
                <w:color w:val="000000" w:themeColor="text1"/>
                <w:sz w:val="20"/>
                <w:szCs w:val="20"/>
              </w:rPr>
              <w:t xml:space="preserve"> </w:t>
            </w:r>
            <w:r w:rsidR="000D04C3" w:rsidRPr="009D7F6D">
              <w:rPr>
                <w:rStyle w:val="IntenseReference"/>
                <w:rFonts w:asciiTheme="majorHAnsi" w:hAnsiTheme="majorHAnsi" w:cs="Times New Roman"/>
                <w:b w:val="0"/>
                <w:bCs w:val="0"/>
                <w:smallCaps w:val="0"/>
                <w:color w:val="000000" w:themeColor="text1"/>
                <w:sz w:val="22"/>
                <w:szCs w:val="22"/>
              </w:rPr>
              <w:t>µ</w:t>
            </w:r>
            <w:r w:rsidR="000D04C3"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lastRenderedPageBreak/>
              <w:t>20</w:t>
            </w:r>
          </w:p>
        </w:tc>
        <w:tc>
          <w:tcPr>
            <w:tcW w:w="300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104BD">
            <w:pPr>
              <w:rPr>
                <w:rFonts w:ascii="Arial" w:eastAsia="Times New Roman" w:hAnsi="Arial" w:cs="Arial"/>
                <w:sz w:val="18"/>
                <w:szCs w:val="18"/>
                <w:lang w:val="en-AU" w:eastAsia="en-AU"/>
              </w:rPr>
            </w:pPr>
            <w:r>
              <w:rPr>
                <w:rFonts w:ascii="Arial" w:eastAsia="Times New Roman" w:hAnsi="Arial" w:cs="Arial"/>
                <w:sz w:val="18"/>
                <w:szCs w:val="18"/>
                <w:lang w:val="en-AU" w:eastAsia="en-AU"/>
              </w:rPr>
              <w:t>Alcohol/drug use and alcohol/drug induced organic mental disorders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1160</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$696.97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4759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$619.53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3.29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0.0010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reject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9104BD">
            <w:pPr>
              <w:jc w:val="right"/>
              <w:rPr>
                <w:rFonts w:ascii="Arial" w:eastAsia="Times New Roman" w:hAnsi="Arial" w:cs="Arial"/>
                <w:sz w:val="18"/>
                <w:szCs w:val="18"/>
                <w:lang w:val="en-AU" w:eastAsia="en-AU"/>
              </w:rPr>
            </w:pPr>
            <w:r>
              <w:rPr>
                <w:rFonts w:ascii="Arial" w:eastAsia="Times New Roman" w:hAnsi="Arial" w:cs="Arial"/>
                <w:color w:val="000000"/>
                <w:sz w:val="18"/>
                <w:szCs w:val="18"/>
              </w:rPr>
              <w:t>Higher</w:t>
            </w:r>
            <w:r>
              <w:rPr>
                <w:rFonts w:ascii="Arial" w:eastAsia="Times New Roman" w:hAnsi="Arial" w:cs="Arial"/>
                <w:color w:val="000000"/>
                <w:sz w:val="18"/>
                <w:szCs w:val="18"/>
              </w:rPr>
              <w:br/>
              <w:t xml:space="preserve"> (</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1</w:t>
            </w:r>
            <w:r w:rsidR="009104BD">
              <w:rPr>
                <w:rStyle w:val="IntenseReference"/>
                <w:rFonts w:asciiTheme="majorHAnsi" w:hAnsiTheme="majorHAnsi" w:cs="Times New Roman"/>
                <w:b w:val="0"/>
                <w:bCs w:val="0"/>
                <w:smallCaps w:val="0"/>
                <w:color w:val="000000" w:themeColor="text1"/>
                <w:sz w:val="22"/>
                <w:szCs w:val="22"/>
                <w:vertAlign w:val="subscript"/>
              </w:rPr>
              <w:t xml:space="preserve"> </w:t>
            </w:r>
            <w:r w:rsidR="009104BD">
              <w:rPr>
                <w:rStyle w:val="IntenseReference"/>
                <w:rFonts w:asciiTheme="majorHAnsi" w:hAnsiTheme="majorHAnsi" w:cs="Times New Roman"/>
                <w:b w:val="0"/>
                <w:bCs w:val="0"/>
                <w:smallCaps w:val="0"/>
                <w:color w:val="000000" w:themeColor="text1"/>
                <w:sz w:val="20"/>
                <w:szCs w:val="20"/>
              </w:rPr>
              <w:t xml:space="preserve">˃ </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21</w:t>
            </w:r>
          </w:p>
        </w:tc>
        <w:tc>
          <w:tcPr>
            <w:tcW w:w="300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104BD">
            <w:pPr>
              <w:rPr>
                <w:rFonts w:ascii="Arial" w:eastAsia="Times New Roman" w:hAnsi="Arial" w:cs="Arial"/>
                <w:sz w:val="18"/>
                <w:szCs w:val="18"/>
                <w:lang w:val="en-AU" w:eastAsia="en-AU"/>
              </w:rPr>
            </w:pPr>
            <w:r>
              <w:rPr>
                <w:rFonts w:ascii="Arial" w:eastAsia="Times New Roman" w:hAnsi="Arial" w:cs="Arial"/>
                <w:sz w:val="18"/>
                <w:szCs w:val="18"/>
                <w:lang w:val="en-AU" w:eastAsia="en-AU"/>
              </w:rPr>
              <w:t>Injuries, poisoning and toxic effects of drugs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2133</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$898.57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31781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$929.32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0.1568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9104BD">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1</w:t>
            </w:r>
            <w:r w:rsidR="009104BD">
              <w:rPr>
                <w:rStyle w:val="IntenseReference"/>
                <w:rFonts w:asciiTheme="majorHAnsi" w:hAnsiTheme="majorHAnsi" w:cs="Times New Roman"/>
                <w:b w:val="0"/>
                <w:bCs w:val="0"/>
                <w:smallCaps w:val="0"/>
                <w:color w:val="000000" w:themeColor="text1"/>
                <w:sz w:val="22"/>
                <w:szCs w:val="22"/>
                <w:vertAlign w:val="subscript"/>
              </w:rPr>
              <w:t xml:space="preserve"> </w:t>
            </w:r>
            <w:r w:rsidR="009104BD" w:rsidRPr="009D7F6D">
              <w:rPr>
                <w:rStyle w:val="IntenseReference"/>
                <w:rFonts w:asciiTheme="majorHAnsi" w:hAnsiTheme="majorHAnsi" w:cs="Times New Roman"/>
                <w:b w:val="0"/>
                <w:bCs w:val="0"/>
                <w:smallCaps w:val="0"/>
                <w:color w:val="000000" w:themeColor="text1"/>
                <w:sz w:val="20"/>
                <w:szCs w:val="20"/>
              </w:rPr>
              <w:t>=</w:t>
            </w:r>
            <w:r w:rsidR="009104BD">
              <w:rPr>
                <w:rStyle w:val="IntenseReference"/>
                <w:rFonts w:asciiTheme="majorHAnsi" w:hAnsiTheme="majorHAnsi" w:cs="Times New Roman"/>
                <w:b w:val="0"/>
                <w:bCs w:val="0"/>
                <w:smallCaps w:val="0"/>
                <w:color w:val="000000" w:themeColor="text1"/>
                <w:sz w:val="20"/>
                <w:szCs w:val="20"/>
              </w:rPr>
              <w:t xml:space="preserve"> </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22</w:t>
            </w:r>
          </w:p>
        </w:tc>
        <w:tc>
          <w:tcPr>
            <w:tcW w:w="300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104BD">
            <w:pPr>
              <w:rPr>
                <w:rFonts w:ascii="Arial" w:eastAsia="Times New Roman" w:hAnsi="Arial" w:cs="Arial"/>
                <w:sz w:val="18"/>
                <w:szCs w:val="18"/>
                <w:lang w:val="en-AU" w:eastAsia="en-AU"/>
              </w:rPr>
            </w:pPr>
            <w:r>
              <w:rPr>
                <w:rFonts w:ascii="Arial" w:eastAsia="Times New Roman" w:hAnsi="Arial" w:cs="Arial"/>
                <w:sz w:val="18"/>
                <w:szCs w:val="18"/>
                <w:lang w:val="en-AU" w:eastAsia="en-AU"/>
              </w:rPr>
              <w:t>Burns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121</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$1,281.15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1816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$1,435.87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-1.30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0.1943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1</w:t>
            </w:r>
            <w:r w:rsidR="009104BD">
              <w:rPr>
                <w:rStyle w:val="IntenseReference"/>
                <w:rFonts w:asciiTheme="majorHAnsi" w:hAnsiTheme="majorHAnsi" w:cs="Times New Roman"/>
                <w:b w:val="0"/>
                <w:bCs w:val="0"/>
                <w:smallCaps w:val="0"/>
                <w:color w:val="000000" w:themeColor="text1"/>
                <w:sz w:val="22"/>
                <w:szCs w:val="22"/>
                <w:vertAlign w:val="subscript"/>
              </w:rPr>
              <w:t xml:space="preserve"> </w:t>
            </w:r>
            <w:r w:rsidR="009104BD" w:rsidRPr="009D7F6D">
              <w:rPr>
                <w:rStyle w:val="IntenseReference"/>
                <w:rFonts w:asciiTheme="majorHAnsi" w:hAnsiTheme="majorHAnsi" w:cs="Times New Roman"/>
                <w:b w:val="0"/>
                <w:bCs w:val="0"/>
                <w:smallCaps w:val="0"/>
                <w:color w:val="000000" w:themeColor="text1"/>
                <w:sz w:val="20"/>
                <w:szCs w:val="20"/>
              </w:rPr>
              <w:t>=</w:t>
            </w:r>
            <w:r w:rsidR="009104BD">
              <w:rPr>
                <w:rStyle w:val="IntenseReference"/>
                <w:rFonts w:asciiTheme="majorHAnsi" w:hAnsiTheme="majorHAnsi" w:cs="Times New Roman"/>
                <w:b w:val="0"/>
                <w:bCs w:val="0"/>
                <w:smallCaps w:val="0"/>
                <w:color w:val="000000" w:themeColor="text1"/>
                <w:sz w:val="20"/>
                <w:szCs w:val="20"/>
              </w:rPr>
              <w:t xml:space="preserve"> </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71C09">
        <w:trPr>
          <w:cantSplit/>
          <w:trHeight w:val="300"/>
          <w:jc w:val="center"/>
        </w:trPr>
        <w:tc>
          <w:tcPr>
            <w:tcW w:w="66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Arial" w:eastAsia="Times New Roman" w:hAnsi="Arial" w:cs="Arial"/>
                <w:sz w:val="18"/>
                <w:szCs w:val="18"/>
                <w:lang w:val="en-AU" w:eastAsia="en-AU"/>
              </w:rPr>
            </w:pPr>
            <w:r>
              <w:rPr>
                <w:rFonts w:ascii="Arial" w:eastAsia="Times New Roman" w:hAnsi="Arial" w:cs="Arial"/>
                <w:sz w:val="18"/>
                <w:szCs w:val="18"/>
                <w:lang w:val="en-AU" w:eastAsia="en-AU"/>
              </w:rPr>
              <w:t>23</w:t>
            </w:r>
          </w:p>
        </w:tc>
        <w:tc>
          <w:tcPr>
            <w:tcW w:w="3003"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104BD">
            <w:pPr>
              <w:rPr>
                <w:rFonts w:ascii="Arial" w:eastAsia="Times New Roman" w:hAnsi="Arial" w:cs="Arial"/>
                <w:sz w:val="18"/>
                <w:szCs w:val="18"/>
                <w:lang w:val="en-AU" w:eastAsia="en-AU"/>
              </w:rPr>
            </w:pPr>
            <w:r>
              <w:rPr>
                <w:rFonts w:ascii="Arial" w:eastAsia="Times New Roman" w:hAnsi="Arial" w:cs="Arial"/>
                <w:sz w:val="18"/>
                <w:szCs w:val="18"/>
                <w:lang w:val="en-AU" w:eastAsia="en-AU"/>
              </w:rPr>
              <w:t>Factors influencing health status and other contacts with health services</w:t>
            </w:r>
          </w:p>
        </w:tc>
        <w:tc>
          <w:tcPr>
            <w:tcW w:w="1239"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1546</w:t>
            </w:r>
          </w:p>
        </w:tc>
        <w:tc>
          <w:tcPr>
            <w:tcW w:w="118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$1,063.88</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76286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$1,107.68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-1.66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0.0980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sz w:val="18"/>
                <w:szCs w:val="18"/>
                <w:lang w:val="en-AU" w:eastAsia="en-AU"/>
              </w:rPr>
              <w:t>accept</w:t>
            </w:r>
          </w:p>
        </w:tc>
        <w:tc>
          <w:tcPr>
            <w:tcW w:w="151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sz w:val="18"/>
                <w:szCs w:val="18"/>
                <w:lang w:val="en-AU" w:eastAsia="en-AU"/>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1</w:t>
            </w:r>
            <w:r w:rsidR="009104BD">
              <w:rPr>
                <w:rStyle w:val="IntenseReference"/>
                <w:rFonts w:asciiTheme="majorHAnsi" w:hAnsiTheme="majorHAnsi" w:cs="Times New Roman"/>
                <w:b w:val="0"/>
                <w:bCs w:val="0"/>
                <w:smallCaps w:val="0"/>
                <w:color w:val="000000" w:themeColor="text1"/>
                <w:sz w:val="22"/>
                <w:szCs w:val="22"/>
                <w:vertAlign w:val="subscript"/>
              </w:rPr>
              <w:t xml:space="preserve"> </w:t>
            </w:r>
            <w:r w:rsidR="009104BD" w:rsidRPr="009D7F6D">
              <w:rPr>
                <w:rStyle w:val="IntenseReference"/>
                <w:rFonts w:asciiTheme="majorHAnsi" w:hAnsiTheme="majorHAnsi" w:cs="Times New Roman"/>
                <w:b w:val="0"/>
                <w:bCs w:val="0"/>
                <w:smallCaps w:val="0"/>
                <w:color w:val="000000" w:themeColor="text1"/>
                <w:sz w:val="20"/>
                <w:szCs w:val="20"/>
              </w:rPr>
              <w:t>=</w:t>
            </w:r>
            <w:r w:rsidR="009104BD">
              <w:rPr>
                <w:rStyle w:val="IntenseReference"/>
                <w:rFonts w:asciiTheme="majorHAnsi" w:hAnsiTheme="majorHAnsi" w:cs="Times New Roman"/>
                <w:b w:val="0"/>
                <w:bCs w:val="0"/>
                <w:smallCaps w:val="0"/>
                <w:color w:val="000000" w:themeColor="text1"/>
                <w:sz w:val="20"/>
                <w:szCs w:val="20"/>
              </w:rPr>
              <w:t xml:space="preserve"> </w:t>
            </w:r>
            <w:r w:rsidR="009104BD" w:rsidRPr="009D7F6D">
              <w:rPr>
                <w:rStyle w:val="IntenseReference"/>
                <w:rFonts w:asciiTheme="majorHAnsi" w:hAnsiTheme="majorHAnsi" w:cs="Times New Roman"/>
                <w:b w:val="0"/>
                <w:bCs w:val="0"/>
                <w:smallCaps w:val="0"/>
                <w:color w:val="000000" w:themeColor="text1"/>
                <w:sz w:val="22"/>
                <w:szCs w:val="22"/>
              </w:rPr>
              <w:t>µ</w:t>
            </w:r>
            <w:r w:rsidR="009104BD"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bl>
    <w:p w:rsidR="006C44B6" w:rsidRDefault="006C44B6" w:rsidP="006C44B6">
      <w:pPr>
        <w:rPr>
          <w:rFonts w:ascii="Arial" w:hAnsi="Arial" w:cs="Arial"/>
        </w:rPr>
      </w:pPr>
    </w:p>
    <w:p w:rsidR="006C44B6" w:rsidRDefault="006C44B6" w:rsidP="006C44B6">
      <w:pPr>
        <w:rPr>
          <w:rFonts w:ascii="Arial" w:hAnsi="Arial" w:cs="Arial"/>
        </w:rPr>
      </w:pPr>
      <w:r>
        <w:rPr>
          <w:rFonts w:ascii="Arial" w:hAnsi="Arial" w:cs="Arial"/>
        </w:rPr>
        <w:br w:type="page"/>
      </w:r>
    </w:p>
    <w:p w:rsidR="006C44B6" w:rsidRDefault="006C44B6" w:rsidP="006C44B6">
      <w:pPr>
        <w:rPr>
          <w:rFonts w:ascii="Arial" w:hAnsi="Arial" w:cs="Arial"/>
        </w:rPr>
      </w:pPr>
    </w:p>
    <w:tbl>
      <w:tblPr>
        <w:tblW w:w="13230"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Pr>
      <w:tblGrid>
        <w:gridCol w:w="759"/>
        <w:gridCol w:w="2564"/>
        <w:gridCol w:w="1276"/>
        <w:gridCol w:w="1276"/>
        <w:gridCol w:w="1276"/>
        <w:gridCol w:w="1275"/>
        <w:gridCol w:w="851"/>
        <w:gridCol w:w="992"/>
        <w:gridCol w:w="1276"/>
        <w:gridCol w:w="1685"/>
      </w:tblGrid>
      <w:tr w:rsidR="006C44B6" w:rsidTr="0072405C">
        <w:trPr>
          <w:cantSplit/>
          <w:trHeight w:val="320"/>
          <w:tblHeader/>
          <w:jc w:val="center"/>
        </w:trPr>
        <w:tc>
          <w:tcPr>
            <w:tcW w:w="760"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MDC</w:t>
            </w:r>
          </w:p>
        </w:tc>
        <w:tc>
          <w:tcPr>
            <w:tcW w:w="256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Description</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Indigenous</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Average Cost</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7A097D">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Non-Indigenous</w:t>
            </w:r>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Average Cost</w:t>
            </w:r>
          </w:p>
        </w:tc>
        <w:tc>
          <w:tcPr>
            <w:tcW w:w="851"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lang w:val="en-AU"/>
              </w:rPr>
              <w:t>T Value</w:t>
            </w:r>
          </w:p>
        </w:tc>
        <w:tc>
          <w:tcPr>
            <w:tcW w:w="992"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proofErr w:type="spellStart"/>
            <w:r>
              <w:rPr>
                <w:rFonts w:ascii="Arial" w:eastAsia="Times New Roman" w:hAnsi="Arial" w:cs="Arial"/>
                <w:b/>
                <w:color w:val="000000"/>
                <w:sz w:val="18"/>
                <w:szCs w:val="18"/>
                <w:lang w:val="en-AU"/>
              </w:rPr>
              <w:t>Pr</w:t>
            </w:r>
            <w:proofErr w:type="spellEnd"/>
            <w:r>
              <w:rPr>
                <w:rFonts w:ascii="Arial" w:eastAsia="Times New Roman" w:hAnsi="Arial" w:cs="Arial"/>
                <w:b/>
                <w:color w:val="000000"/>
                <w:sz w:val="18"/>
                <w:szCs w:val="18"/>
                <w:lang w:val="en-AU"/>
              </w:rPr>
              <w:t xml:space="preserve"> &gt; |t|</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18"/>
                <w:szCs w:val="18"/>
                <w:lang w:val="en-AU"/>
              </w:rPr>
            </w:pPr>
            <w:r>
              <w:rPr>
                <w:rFonts w:ascii="Arial" w:eastAsia="Times New Roman" w:hAnsi="Arial" w:cs="Arial"/>
                <w:b/>
                <w:color w:val="000000"/>
                <w:sz w:val="18"/>
                <w:szCs w:val="18"/>
              </w:rPr>
              <w:t>Hypothesis (</w:t>
            </w:r>
            <w:r>
              <w:rPr>
                <w:rFonts w:ascii="Arial" w:hAnsi="Arial" w:cs="Arial"/>
                <w:b/>
                <w:sz w:val="18"/>
                <w:szCs w:val="18"/>
              </w:rPr>
              <w:t>H</w:t>
            </w:r>
            <w:r>
              <w:rPr>
                <w:rFonts w:ascii="Arial" w:hAnsi="Arial" w:cs="Arial"/>
                <w:b/>
                <w:sz w:val="18"/>
                <w:szCs w:val="18"/>
                <w:vertAlign w:val="subscript"/>
              </w:rPr>
              <w:t>0</w:t>
            </w:r>
            <w:r>
              <w:rPr>
                <w:rFonts w:ascii="Arial" w:hAnsi="Arial" w:cs="Arial"/>
                <w:b/>
                <w:sz w:val="18"/>
                <w:szCs w:val="18"/>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sidRPr="009D7F6D">
              <w:rPr>
                <w:rStyle w:val="IntenseReference"/>
                <w:rFonts w:asciiTheme="majorHAnsi" w:hAnsiTheme="majorHAnsi" w:cs="Times New Roman"/>
                <w:b w:val="0"/>
                <w:bCs w:val="0"/>
                <w:smallCaps w:val="0"/>
                <w:color w:val="000000" w:themeColor="text1"/>
                <w:sz w:val="20"/>
                <w:szCs w:val="20"/>
              </w:rPr>
              <w:t>=</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hAnsi="Arial" w:cs="Arial"/>
                <w:b/>
                <w:sz w:val="18"/>
                <w:szCs w:val="18"/>
              </w:rPr>
              <w:t>)</w:t>
            </w:r>
          </w:p>
        </w:tc>
        <w:tc>
          <w:tcPr>
            <w:tcW w:w="1685" w:type="dxa"/>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jc w:val="center"/>
              <w:rPr>
                <w:rFonts w:ascii="Arial" w:eastAsia="Times New Roman" w:hAnsi="Arial" w:cs="Arial"/>
                <w:b/>
                <w:color w:val="000000"/>
                <w:sz w:val="18"/>
                <w:szCs w:val="18"/>
              </w:rPr>
            </w:pPr>
            <w:r>
              <w:rPr>
                <w:rFonts w:ascii="Arial" w:eastAsia="Times New Roman" w:hAnsi="Arial" w:cs="Arial"/>
                <w:b/>
                <w:color w:val="000000"/>
                <w:sz w:val="18"/>
                <w:szCs w:val="18"/>
              </w:rPr>
              <w:t xml:space="preserve">Interpretation (Indigenous cost relative to </w:t>
            </w:r>
            <w:r w:rsidR="007A097D">
              <w:rPr>
                <w:rFonts w:ascii="Arial" w:eastAsia="Times New Roman" w:hAnsi="Arial" w:cs="Arial"/>
                <w:b/>
                <w:color w:val="000000"/>
                <w:sz w:val="18"/>
                <w:szCs w:val="18"/>
              </w:rPr>
              <w:t>Non-Indigenous</w:t>
            </w:r>
            <w:r>
              <w:rPr>
                <w:rFonts w:ascii="Arial" w:eastAsia="Times New Roman" w:hAnsi="Arial" w:cs="Arial"/>
                <w:b/>
                <w:color w:val="000000"/>
                <w:sz w:val="18"/>
                <w:szCs w:val="18"/>
              </w:rPr>
              <w:t xml:space="preserve"> Cost)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Error DRGs Unrelated Operating Room DRGs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29024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$1,077.07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218413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$1,362.14</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-39.59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Pre-MDC</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$1,911.60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425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$2,393.98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60.709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01</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nervous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2530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$1,332.91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74292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$1,270.80</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2.56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0.0106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Higher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02</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eye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1848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$2,440.98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63015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$2,479.68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0.2861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sidRPr="009D7F6D">
              <w:rPr>
                <w:rStyle w:val="IntenseReference"/>
                <w:rFonts w:asciiTheme="majorHAnsi" w:hAnsiTheme="majorHAnsi" w:cs="Times New Roman"/>
                <w:b w:val="0"/>
                <w:bCs w:val="0"/>
                <w:smallCaps w:val="0"/>
                <w:color w:val="000000" w:themeColor="text1"/>
                <w:sz w:val="20"/>
                <w:szCs w:val="20"/>
              </w:rPr>
              <w:t>=</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03</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ear, nose, mouth and throat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4155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$2,052.00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57596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$1,731.34</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13.37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Higher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04</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respiratory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1734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$1,284.40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32174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$1,299.70</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-0.54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0.5863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18"/>
                <w:szCs w:val="18"/>
              </w:rPr>
            </w:pPr>
            <w:r>
              <w:rPr>
                <w:rFonts w:ascii="Arial" w:eastAsia="Times New Roman" w:hAnsi="Arial" w:cs="Arial"/>
                <w:color w:val="000000"/>
                <w:sz w:val="18"/>
                <w:szCs w:val="18"/>
              </w:rPr>
              <w:t>No significant difference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sidRPr="009D7F6D">
              <w:rPr>
                <w:rStyle w:val="IntenseReference"/>
                <w:rFonts w:asciiTheme="majorHAnsi" w:hAnsiTheme="majorHAnsi" w:cs="Times New Roman"/>
                <w:b w:val="0"/>
                <w:bCs w:val="0"/>
                <w:smallCaps w:val="0"/>
                <w:color w:val="000000" w:themeColor="text1"/>
                <w:sz w:val="20"/>
                <w:szCs w:val="20"/>
              </w:rPr>
              <w:t>=</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05</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circulatory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3058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$1,664.59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90560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$1,572.70</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3.42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Higher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06</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digestive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4553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$1,508.11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160061</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$1,549.17</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-2.24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0.025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07</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hepatobiliary system and pancreas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586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$1,644.55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13313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$1,742.48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0.1511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sidRPr="009D7F6D">
              <w:rPr>
                <w:rStyle w:val="IntenseReference"/>
                <w:rFonts w:asciiTheme="majorHAnsi" w:hAnsiTheme="majorHAnsi" w:cs="Times New Roman"/>
                <w:b w:val="0"/>
                <w:bCs w:val="0"/>
                <w:smallCaps w:val="0"/>
                <w:color w:val="000000" w:themeColor="text1"/>
                <w:sz w:val="20"/>
                <w:szCs w:val="20"/>
              </w:rPr>
              <w:t>=</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08</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musculoskeletal system and connective tissue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3503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$1,818.06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96781</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$1,923.49</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4.01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071C09">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09</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rPr>
                <w:rFonts w:ascii="Arial" w:eastAsia="Times New Roman" w:hAnsi="Arial" w:cs="Arial"/>
                <w:sz w:val="18"/>
                <w:szCs w:val="18"/>
                <w:lang w:val="en-AU"/>
              </w:rPr>
            </w:pPr>
            <w:r>
              <w:rPr>
                <w:rFonts w:ascii="Arial" w:eastAsia="Times New Roman" w:hAnsi="Arial" w:cs="Arial"/>
                <w:sz w:val="18"/>
                <w:szCs w:val="18"/>
                <w:lang w:val="en-AU"/>
              </w:rPr>
              <w:t>Diseases and disorders of the skin, subcutaneous tissue and breast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2167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$1,511.47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68863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$1,929.92</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-14.49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71C09">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1</w:t>
            </w:r>
            <w:r w:rsidR="00071C09">
              <w:rPr>
                <w:rStyle w:val="IntenseReference"/>
                <w:rFonts w:asciiTheme="majorHAnsi" w:hAnsiTheme="majorHAnsi" w:cs="Times New Roman"/>
                <w:b w:val="0"/>
                <w:bCs w:val="0"/>
                <w:smallCaps w:val="0"/>
                <w:color w:val="000000" w:themeColor="text1"/>
                <w:sz w:val="22"/>
                <w:szCs w:val="22"/>
                <w:vertAlign w:val="subscript"/>
              </w:rPr>
              <w:t xml:space="preserve"> </w:t>
            </w:r>
            <w:r w:rsidR="00071C09">
              <w:rPr>
                <w:rStyle w:val="IntenseReference"/>
                <w:rFonts w:asciiTheme="majorHAnsi" w:hAnsiTheme="majorHAnsi" w:cs="Times New Roman"/>
                <w:b w:val="0"/>
                <w:bCs w:val="0"/>
                <w:smallCaps w:val="0"/>
                <w:color w:val="000000" w:themeColor="text1"/>
                <w:sz w:val="20"/>
                <w:szCs w:val="20"/>
              </w:rPr>
              <w:t xml:space="preserve">˂ </w:t>
            </w:r>
            <w:r w:rsidR="00071C09" w:rsidRPr="009D7F6D">
              <w:rPr>
                <w:rStyle w:val="IntenseReference"/>
                <w:rFonts w:asciiTheme="majorHAnsi" w:hAnsiTheme="majorHAnsi" w:cs="Times New Roman"/>
                <w:b w:val="0"/>
                <w:bCs w:val="0"/>
                <w:smallCaps w:val="0"/>
                <w:color w:val="000000" w:themeColor="text1"/>
                <w:sz w:val="22"/>
                <w:szCs w:val="22"/>
              </w:rPr>
              <w:t>µ</w:t>
            </w:r>
            <w:r w:rsidR="00071C0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lastRenderedPageBreak/>
              <w:t>10</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Endocrine, nutritional and metabolic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724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$1,155.62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16436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$1,039.93</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3.26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Higher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11</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Diseases and disorders of the kidney and urinary tract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2364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$1,455.12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69289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$1,347.34</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3.99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Higher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Diseases and disorders of the 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552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$2,347.06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17236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$2,041.81</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5.78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Higher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Diseases and disorders of the female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1938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$2,247.18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54500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$2,294.38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0.1359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hideMark/>
          </w:tcPr>
          <w:p w:rsidR="006C44B6" w:rsidRDefault="006C44B6">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significant difference </w:t>
            </w:r>
            <w:r>
              <w:rPr>
                <w:rFonts w:ascii="Arial" w:eastAsia="Times New Roman" w:hAnsi="Arial" w:cs="Arial"/>
                <w:color w:val="000000"/>
                <w:sz w:val="18"/>
                <w:szCs w:val="18"/>
              </w:rPr>
              <w:br/>
              <w:t>(</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 xml:space="preserve">Pregnancy, childbirth and the </w:t>
            </w:r>
            <w:proofErr w:type="spellStart"/>
            <w:r>
              <w:rPr>
                <w:rFonts w:ascii="Arial" w:eastAsia="Times New Roman" w:hAnsi="Arial" w:cs="Arial"/>
                <w:sz w:val="18"/>
                <w:szCs w:val="18"/>
                <w:lang w:val="en-AU"/>
              </w:rPr>
              <w:t>puerperium</w:t>
            </w:r>
            <w:proofErr w:type="spellEnd"/>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5259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$907.53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70127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$1,047.18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Lower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Newborns and other neonates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$910.71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2364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$1,072.62</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0.0476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Lower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16</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Diseases and disorders of the blood and blood forming organs and immunological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841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$1,197.09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52267</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$884.81</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8.65</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&lt; 0.0001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Higher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Neoplastic disorders (Haematological and solid neoplasms)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1358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$1,506.37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124530</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$1,409.98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2.46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0.0139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Higher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18</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Infectious and parasitic diseases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508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$1,005.29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7069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$1,082.03</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-1.43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0.1524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hideMark/>
          </w:tcPr>
          <w:p w:rsidR="00A61468" w:rsidRDefault="006C44B6" w:rsidP="00A61468">
            <w:pPr>
              <w:jc w:val="center"/>
              <w:rPr>
                <w:rFonts w:ascii="Arial" w:eastAsia="Times New Roman" w:hAnsi="Arial" w:cs="Arial"/>
                <w:color w:val="000000"/>
                <w:sz w:val="18"/>
                <w:szCs w:val="18"/>
              </w:rPr>
            </w:pPr>
            <w:r>
              <w:rPr>
                <w:rFonts w:ascii="Arial" w:eastAsia="Times New Roman" w:hAnsi="Arial" w:cs="Arial"/>
                <w:color w:val="000000"/>
                <w:sz w:val="18"/>
                <w:szCs w:val="18"/>
              </w:rPr>
              <w:t>No significant difference</w:t>
            </w:r>
          </w:p>
          <w:p w:rsidR="006C44B6" w:rsidRDefault="006C44B6" w:rsidP="00A61468">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19</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Mental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1267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$811.38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25803</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$836.28</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-0.99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0.3242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accept</w:t>
            </w:r>
          </w:p>
        </w:tc>
        <w:tc>
          <w:tcPr>
            <w:tcW w:w="1685" w:type="dxa"/>
            <w:tcBorders>
              <w:top w:val="single" w:sz="4" w:space="0" w:color="B0B7BB"/>
              <w:left w:val="single" w:sz="4" w:space="0" w:color="B0B7BB"/>
              <w:bottom w:val="single" w:sz="4" w:space="0" w:color="B0B7BB"/>
              <w:right w:val="single" w:sz="4" w:space="0" w:color="B0B7BB"/>
            </w:tcBorders>
            <w:hideMark/>
          </w:tcPr>
          <w:p w:rsidR="00A61468" w:rsidRDefault="006C44B6">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significant difference </w:t>
            </w:r>
          </w:p>
          <w:p w:rsidR="006C44B6" w:rsidRDefault="006C44B6" w:rsidP="0072405C">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20</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sz w:val="18"/>
                <w:szCs w:val="18"/>
                <w:lang w:val="en-AU"/>
              </w:rPr>
            </w:pPr>
            <w:r>
              <w:rPr>
                <w:rFonts w:ascii="Arial" w:eastAsia="Times New Roman" w:hAnsi="Arial" w:cs="Arial"/>
                <w:sz w:val="18"/>
                <w:szCs w:val="18"/>
                <w:lang w:val="en-AU"/>
              </w:rPr>
              <w:t>Alcohol/drug use and alcohol/drug induced organic mental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1283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$896.12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4545</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$973.17</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-2.77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0.0057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72405C">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72405C">
            <w:pPr>
              <w:rPr>
                <w:rFonts w:ascii="Arial" w:eastAsia="Times New Roman" w:hAnsi="Arial" w:cs="Arial"/>
                <w:color w:val="000000"/>
                <w:sz w:val="18"/>
                <w:szCs w:val="18"/>
              </w:rPr>
            </w:pPr>
            <w:r>
              <w:rPr>
                <w:rFonts w:ascii="Arial" w:eastAsia="Times New Roman" w:hAnsi="Arial" w:cs="Arial"/>
                <w:color w:val="000000"/>
                <w:sz w:val="18"/>
                <w:szCs w:val="18"/>
              </w:rPr>
              <w:t>Lower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1</w:t>
            </w:r>
            <w:r w:rsidR="0072405C">
              <w:rPr>
                <w:rStyle w:val="IntenseReference"/>
                <w:rFonts w:asciiTheme="majorHAnsi" w:hAnsiTheme="majorHAnsi" w:cs="Times New Roman"/>
                <w:b w:val="0"/>
                <w:bCs w:val="0"/>
                <w:smallCaps w:val="0"/>
                <w:color w:val="000000" w:themeColor="text1"/>
                <w:sz w:val="22"/>
                <w:szCs w:val="22"/>
                <w:vertAlign w:val="subscript"/>
              </w:rPr>
              <w:t xml:space="preserve"> </w:t>
            </w:r>
            <w:r w:rsidR="0072405C">
              <w:rPr>
                <w:rStyle w:val="IntenseReference"/>
                <w:rFonts w:asciiTheme="majorHAnsi" w:hAnsiTheme="majorHAnsi" w:cs="Times New Roman"/>
                <w:b w:val="0"/>
                <w:bCs w:val="0"/>
                <w:smallCaps w:val="0"/>
                <w:color w:val="000000" w:themeColor="text1"/>
                <w:sz w:val="20"/>
                <w:szCs w:val="20"/>
              </w:rPr>
              <w:t xml:space="preserve">˂ </w:t>
            </w:r>
            <w:r w:rsidR="0072405C" w:rsidRPr="009D7F6D">
              <w:rPr>
                <w:rStyle w:val="IntenseReference"/>
                <w:rFonts w:asciiTheme="majorHAnsi" w:hAnsiTheme="majorHAnsi" w:cs="Times New Roman"/>
                <w:b w:val="0"/>
                <w:bCs w:val="0"/>
                <w:smallCaps w:val="0"/>
                <w:color w:val="000000" w:themeColor="text1"/>
                <w:sz w:val="22"/>
                <w:szCs w:val="22"/>
              </w:rPr>
              <w:t>µ</w:t>
            </w:r>
            <w:r w:rsidR="0072405C"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EB6296">
        <w:trPr>
          <w:cantSplit/>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EB6296">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lastRenderedPageBreak/>
              <w:t>21</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rPr>
                <w:rFonts w:ascii="Arial" w:eastAsia="Times New Roman" w:hAnsi="Arial" w:cs="Arial"/>
                <w:sz w:val="18"/>
                <w:szCs w:val="18"/>
                <w:lang w:val="en-AU"/>
              </w:rPr>
            </w:pPr>
            <w:r>
              <w:rPr>
                <w:rFonts w:ascii="Arial" w:eastAsia="Times New Roman" w:hAnsi="Arial" w:cs="Arial"/>
                <w:sz w:val="18"/>
                <w:szCs w:val="18"/>
                <w:lang w:val="en-AU"/>
              </w:rPr>
              <w:t>Injuries, poisoning and toxic effects of drugs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2419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$1,160.48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36166</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$1,231.51</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-3.04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0.0024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1</w:t>
            </w:r>
            <w:r w:rsidR="00EB6296">
              <w:rPr>
                <w:rStyle w:val="IntenseReference"/>
                <w:rFonts w:asciiTheme="majorHAnsi" w:hAnsiTheme="majorHAnsi" w:cs="Times New Roman"/>
                <w:b w:val="0"/>
                <w:bCs w:val="0"/>
                <w:smallCaps w:val="0"/>
                <w:color w:val="000000" w:themeColor="text1"/>
                <w:sz w:val="22"/>
                <w:szCs w:val="22"/>
                <w:vertAlign w:val="subscript"/>
              </w:rPr>
              <w:t xml:space="preserve"> </w:t>
            </w:r>
            <w:r w:rsidR="00EB6296">
              <w:rPr>
                <w:rStyle w:val="IntenseReference"/>
                <w:rFonts w:asciiTheme="majorHAnsi" w:hAnsiTheme="majorHAnsi" w:cs="Times New Roman"/>
                <w:b w:val="0"/>
                <w:bCs w:val="0"/>
                <w:smallCaps w:val="0"/>
                <w:color w:val="000000" w:themeColor="text1"/>
                <w:sz w:val="20"/>
                <w:szCs w:val="20"/>
              </w:rPr>
              <w:t xml:space="preserve">˂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EB6296">
        <w:trPr>
          <w:cantSplit/>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EB6296">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22</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rPr>
                <w:rFonts w:ascii="Arial" w:eastAsia="Times New Roman" w:hAnsi="Arial" w:cs="Arial"/>
                <w:sz w:val="18"/>
                <w:szCs w:val="18"/>
                <w:lang w:val="en-AU"/>
              </w:rPr>
            </w:pPr>
            <w:r>
              <w:rPr>
                <w:rFonts w:ascii="Arial" w:eastAsia="Times New Roman" w:hAnsi="Arial" w:cs="Arial"/>
                <w:sz w:val="18"/>
                <w:szCs w:val="18"/>
                <w:lang w:val="en-AU"/>
              </w:rPr>
              <w:t>Burns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132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$1,202.74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1884</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$1,581.90</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-3.26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1</w:t>
            </w:r>
            <w:r w:rsidR="00EB6296">
              <w:rPr>
                <w:rStyle w:val="IntenseReference"/>
                <w:rFonts w:asciiTheme="majorHAnsi" w:hAnsiTheme="majorHAnsi" w:cs="Times New Roman"/>
                <w:b w:val="0"/>
                <w:bCs w:val="0"/>
                <w:smallCaps w:val="0"/>
                <w:color w:val="000000" w:themeColor="text1"/>
                <w:sz w:val="22"/>
                <w:szCs w:val="22"/>
                <w:vertAlign w:val="subscript"/>
              </w:rPr>
              <w:t xml:space="preserve"> </w:t>
            </w:r>
            <w:r w:rsidR="00EB6296">
              <w:rPr>
                <w:rStyle w:val="IntenseReference"/>
                <w:rFonts w:asciiTheme="majorHAnsi" w:hAnsiTheme="majorHAnsi" w:cs="Times New Roman"/>
                <w:b w:val="0"/>
                <w:bCs w:val="0"/>
                <w:smallCaps w:val="0"/>
                <w:color w:val="000000" w:themeColor="text1"/>
                <w:sz w:val="20"/>
                <w:szCs w:val="20"/>
              </w:rPr>
              <w:t xml:space="preserve">˂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EB6296">
        <w:trPr>
          <w:cantSplit/>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EB6296">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23</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rPr>
                <w:rFonts w:ascii="Arial" w:eastAsia="Times New Roman" w:hAnsi="Arial" w:cs="Arial"/>
                <w:sz w:val="18"/>
                <w:szCs w:val="18"/>
                <w:lang w:val="en-AU"/>
              </w:rPr>
            </w:pPr>
            <w:r>
              <w:rPr>
                <w:rFonts w:ascii="Arial" w:eastAsia="Times New Roman" w:hAnsi="Arial" w:cs="Arial"/>
                <w:sz w:val="18"/>
                <w:szCs w:val="18"/>
                <w:lang w:val="en-AU"/>
              </w:rPr>
              <w:t>Factors influencing health status and other contacts with health services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1706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$1,088.60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67792</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$1,181.00</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-3.35</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0.0008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rPr>
              <w:t>reject</w:t>
            </w:r>
          </w:p>
        </w:tc>
        <w:tc>
          <w:tcPr>
            <w:tcW w:w="168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EB6296">
            <w:pPr>
              <w:jc w:val="center"/>
              <w:rPr>
                <w:rFonts w:ascii="Arial" w:eastAsia="Times New Roman" w:hAnsi="Arial" w:cs="Arial"/>
                <w:color w:val="000000"/>
                <w:sz w:val="18"/>
                <w:szCs w:val="18"/>
              </w:rPr>
            </w:pPr>
            <w:r>
              <w:rPr>
                <w:rFonts w:ascii="Arial" w:eastAsia="Times New Roman" w:hAnsi="Arial" w:cs="Arial"/>
                <w:color w:val="000000"/>
                <w:sz w:val="18"/>
                <w:szCs w:val="18"/>
              </w:rPr>
              <w:t>Lower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1</w:t>
            </w:r>
            <w:r w:rsidR="00EB6296">
              <w:rPr>
                <w:rStyle w:val="IntenseReference"/>
                <w:rFonts w:asciiTheme="majorHAnsi" w:hAnsiTheme="majorHAnsi" w:cs="Times New Roman"/>
                <w:b w:val="0"/>
                <w:bCs w:val="0"/>
                <w:smallCaps w:val="0"/>
                <w:color w:val="000000" w:themeColor="text1"/>
                <w:sz w:val="22"/>
                <w:szCs w:val="22"/>
                <w:vertAlign w:val="subscript"/>
              </w:rPr>
              <w:t xml:space="preserve"> </w:t>
            </w:r>
            <w:r w:rsidR="00EB6296">
              <w:rPr>
                <w:rStyle w:val="IntenseReference"/>
                <w:rFonts w:asciiTheme="majorHAnsi" w:hAnsiTheme="majorHAnsi" w:cs="Times New Roman"/>
                <w:b w:val="0"/>
                <w:bCs w:val="0"/>
                <w:smallCaps w:val="0"/>
                <w:color w:val="000000" w:themeColor="text1"/>
                <w:sz w:val="20"/>
                <w:szCs w:val="20"/>
              </w:rPr>
              <w:t xml:space="preserve">˂ </w:t>
            </w:r>
            <w:r w:rsidR="00EB6296" w:rsidRPr="009D7F6D">
              <w:rPr>
                <w:rStyle w:val="IntenseReference"/>
                <w:rFonts w:asciiTheme="majorHAnsi" w:hAnsiTheme="majorHAnsi" w:cs="Times New Roman"/>
                <w:b w:val="0"/>
                <w:bCs w:val="0"/>
                <w:smallCaps w:val="0"/>
                <w:color w:val="000000" w:themeColor="text1"/>
                <w:sz w:val="22"/>
                <w:szCs w:val="22"/>
              </w:rPr>
              <w:t>µ</w:t>
            </w:r>
            <w:r w:rsidR="00EB629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72405C">
        <w:trPr>
          <w:cantSplit/>
          <w:trHeight w:val="3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rsidP="00EB6296">
            <w:pPr>
              <w:rPr>
                <w:rFonts w:ascii="Arial" w:eastAsia="Times New Roman" w:hAnsi="Arial" w:cs="Arial"/>
                <w:color w:val="000000"/>
                <w:sz w:val="18"/>
                <w:szCs w:val="18"/>
                <w:lang w:val="en-AU"/>
              </w:rPr>
            </w:pPr>
            <w:r>
              <w:rPr>
                <w:rFonts w:ascii="Arial" w:eastAsia="Times New Roman" w:hAnsi="Arial" w:cs="Arial"/>
                <w:color w:val="000000"/>
                <w:sz w:val="18"/>
                <w:szCs w:val="18"/>
                <w:lang w:val="en-AU"/>
              </w:rPr>
              <w:t>24</w:t>
            </w:r>
          </w:p>
        </w:tc>
        <w:tc>
          <w:tcPr>
            <w:tcW w:w="25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$1,004.76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59</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$957.56</w:t>
            </w:r>
          </w:p>
        </w:tc>
        <w:tc>
          <w:tcPr>
            <w:tcW w:w="851"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18"/>
                <w:szCs w:val="18"/>
                <w:lang w:val="en-AU"/>
              </w:rPr>
            </w:pPr>
            <w:r>
              <w:rPr>
                <w:rFonts w:ascii="Arial" w:eastAsia="Times New Roman" w:hAnsi="Arial" w:cs="Arial"/>
                <w:color w:val="000000"/>
                <w:sz w:val="18"/>
                <w:szCs w:val="18"/>
                <w:lang w:val="en-AU"/>
              </w:rPr>
              <w:t>-</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685" w:type="dxa"/>
            <w:tcBorders>
              <w:top w:val="single" w:sz="4" w:space="0" w:color="B0B7BB"/>
              <w:left w:val="single" w:sz="4" w:space="0" w:color="B0B7BB"/>
              <w:bottom w:val="single" w:sz="4" w:space="0" w:color="B0B7BB"/>
              <w:right w:val="single" w:sz="4" w:space="0" w:color="B0B7BB"/>
            </w:tcBorders>
            <w:vAlign w:val="bottom"/>
          </w:tcPr>
          <w:p w:rsidR="006C44B6" w:rsidRDefault="006C44B6">
            <w:pPr>
              <w:jc w:val="center"/>
              <w:rPr>
                <w:rFonts w:ascii="Arial" w:eastAsia="Times New Roman" w:hAnsi="Arial" w:cs="Arial"/>
                <w:color w:val="000000"/>
                <w:sz w:val="18"/>
                <w:szCs w:val="18"/>
                <w:lang w:val="en-AU"/>
              </w:rPr>
            </w:pPr>
          </w:p>
        </w:tc>
      </w:tr>
    </w:tbl>
    <w:p w:rsidR="006C44B6" w:rsidRDefault="006C44B6" w:rsidP="006C44B6">
      <w:pPr>
        <w:rPr>
          <w:rFonts w:ascii="Arial" w:hAnsi="Arial" w:cs="Arial"/>
        </w:rPr>
      </w:pPr>
    </w:p>
    <w:p w:rsidR="006C44B6" w:rsidRDefault="006C44B6" w:rsidP="006C44B6">
      <w:pPr>
        <w:rPr>
          <w:rFonts w:ascii="Arial" w:hAnsi="Arial" w:cs="Arial"/>
        </w:rPr>
      </w:pPr>
    </w:p>
    <w:p w:rsidR="006C44B6" w:rsidRDefault="006C44B6" w:rsidP="006C44B6">
      <w:pPr>
        <w:rPr>
          <w:rFonts w:ascii="Arial" w:hAnsi="Arial" w:cs="Arial"/>
        </w:rPr>
      </w:pPr>
    </w:p>
    <w:p w:rsidR="006C44B6" w:rsidRDefault="006C44B6" w:rsidP="006C44B6">
      <w:pPr>
        <w:rPr>
          <w:rFonts w:ascii="Arial" w:hAnsi="Arial" w:cs="Arial"/>
        </w:rPr>
        <w:sectPr w:rsidR="006C44B6">
          <w:pgSz w:w="15840" w:h="12240" w:orient="landscape"/>
          <w:pgMar w:top="1800" w:right="1440" w:bottom="1800" w:left="1440" w:header="720" w:footer="720" w:gutter="0"/>
          <w:cols w:space="720"/>
        </w:sectPr>
      </w:pPr>
    </w:p>
    <w:p w:rsidR="006C44B6" w:rsidRDefault="006C44B6" w:rsidP="00287791">
      <w:pPr>
        <w:pStyle w:val="EYHeading1"/>
        <w:numPr>
          <w:ilvl w:val="0"/>
          <w:numId w:val="0"/>
        </w:numPr>
        <w:ind w:left="850"/>
      </w:pPr>
      <w:bookmarkStart w:id="96" w:name="_Toc426115413"/>
      <w:bookmarkStart w:id="97" w:name="_Toc426117649"/>
      <w:r>
        <w:lastRenderedPageBreak/>
        <w:t>Appendix C: T Statistics for Same-day Services by Diagnostic Related Group</w:t>
      </w:r>
      <w:bookmarkEnd w:id="96"/>
      <w:bookmarkEnd w:id="97"/>
    </w:p>
    <w:p w:rsidR="006C44B6" w:rsidRDefault="006C44B6" w:rsidP="006C44B6">
      <w:pPr>
        <w:rPr>
          <w:rFonts w:ascii="Arial" w:hAnsi="Arial" w:cs="Arial"/>
          <w:sz w:val="22"/>
          <w:szCs w:val="22"/>
          <w:lang w:val="en-AU" w:eastAsia="en-AU"/>
        </w:rPr>
      </w:pPr>
      <w:r>
        <w:rPr>
          <w:rFonts w:ascii="Arial" w:hAnsi="Arial" w:cs="Arial"/>
          <w:sz w:val="22"/>
          <w:szCs w:val="22"/>
          <w:lang w:val="en-AU" w:eastAsia="en-AU"/>
        </w:rPr>
        <w:t xml:space="preserve">AR-DRG classes where the population size was five or less for either the Indigenous population, or the </w:t>
      </w:r>
      <w:r w:rsidR="007A097D">
        <w:rPr>
          <w:rFonts w:ascii="Arial" w:hAnsi="Arial" w:cs="Arial"/>
          <w:sz w:val="22"/>
          <w:szCs w:val="22"/>
          <w:lang w:val="en-AU" w:eastAsia="en-AU"/>
        </w:rPr>
        <w:t>Non-Indigenous</w:t>
      </w:r>
      <w:r>
        <w:rPr>
          <w:rFonts w:ascii="Arial" w:hAnsi="Arial" w:cs="Arial"/>
          <w:sz w:val="22"/>
          <w:szCs w:val="22"/>
          <w:lang w:val="en-AU" w:eastAsia="en-AU"/>
        </w:rPr>
        <w:t xml:space="preserve"> population, or both patient cohorts have not been reported upon.</w:t>
      </w:r>
    </w:p>
    <w:p w:rsidR="006C44B6" w:rsidRDefault="006C44B6" w:rsidP="006C44B6">
      <w:pPr>
        <w:rPr>
          <w:rFonts w:ascii="Arial" w:hAnsi="Arial" w:cs="Arial"/>
          <w:lang w:val="en-AU" w:eastAsia="en-AU"/>
        </w:rPr>
      </w:pPr>
    </w:p>
    <w:tbl>
      <w:tblPr>
        <w:tblW w:w="14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ppendix C: T Statistics for Same-day Services by Diagnostic Related Group"/>
      </w:tblPr>
      <w:tblGrid>
        <w:gridCol w:w="1377"/>
        <w:gridCol w:w="3603"/>
        <w:gridCol w:w="1135"/>
        <w:gridCol w:w="1134"/>
        <w:gridCol w:w="289"/>
        <w:gridCol w:w="992"/>
        <w:gridCol w:w="1276"/>
        <w:gridCol w:w="946"/>
        <w:gridCol w:w="992"/>
        <w:gridCol w:w="1559"/>
        <w:gridCol w:w="992"/>
      </w:tblGrid>
      <w:tr w:rsidR="006C44B6" w:rsidTr="005C4770">
        <w:trPr>
          <w:trHeight w:val="763"/>
          <w:tblHeader/>
          <w:jc w:val="center"/>
        </w:trPr>
        <w:tc>
          <w:tcPr>
            <w:tcW w:w="4980" w:type="dxa"/>
            <w:gridSpan w:val="2"/>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bCs/>
                <w:sz w:val="20"/>
                <w:szCs w:val="20"/>
                <w:lang w:val="en-AU"/>
              </w:rPr>
              <w:t>Round 17</w:t>
            </w:r>
          </w:p>
        </w:tc>
        <w:tc>
          <w:tcPr>
            <w:tcW w:w="2269" w:type="dxa"/>
            <w:gridSpan w:val="2"/>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bCs/>
                <w:sz w:val="20"/>
                <w:szCs w:val="20"/>
                <w:lang w:val="en-AU"/>
              </w:rPr>
              <w:t>Indigenous</w:t>
            </w:r>
          </w:p>
        </w:tc>
        <w:tc>
          <w:tcPr>
            <w:tcW w:w="289" w:type="dxa"/>
            <w:tcBorders>
              <w:top w:val="single" w:sz="4" w:space="0" w:color="auto"/>
              <w:left w:val="single" w:sz="4" w:space="0" w:color="auto"/>
              <w:bottom w:val="single" w:sz="4" w:space="0" w:color="auto"/>
              <w:right w:val="single" w:sz="4" w:space="0" w:color="auto"/>
            </w:tcBorders>
            <w:shd w:val="clear" w:color="auto" w:fill="CCCCCC"/>
          </w:tcPr>
          <w:p w:rsidR="006C44B6" w:rsidRDefault="006C44B6">
            <w:pPr>
              <w:jc w:val="center"/>
              <w:rPr>
                <w:rFonts w:ascii="Arial" w:eastAsia="Times New Roman" w:hAnsi="Arial" w:cs="Arial"/>
                <w:b/>
                <w:bCs/>
                <w:sz w:val="20"/>
                <w:szCs w:val="20"/>
                <w:lang w:val="en-A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7A097D">
            <w:pPr>
              <w:jc w:val="center"/>
              <w:rPr>
                <w:rFonts w:ascii="Arial" w:eastAsia="Times New Roman" w:hAnsi="Arial" w:cs="Arial"/>
                <w:b/>
                <w:bCs/>
                <w:sz w:val="20"/>
                <w:szCs w:val="20"/>
                <w:lang w:val="en-AU"/>
              </w:rPr>
            </w:pPr>
            <w:r>
              <w:rPr>
                <w:rFonts w:ascii="Arial" w:eastAsia="Times New Roman" w:hAnsi="Arial" w:cs="Arial"/>
                <w:b/>
                <w:bCs/>
                <w:sz w:val="20"/>
                <w:szCs w:val="20"/>
                <w:lang w:val="en-AU"/>
              </w:rPr>
              <w:t>Non-Indigenous</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bCs/>
                <w:sz w:val="20"/>
                <w:szCs w:val="20"/>
                <w:lang w:val="en-AU"/>
              </w:rPr>
              <w:t>T Value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proofErr w:type="spellStart"/>
            <w:r>
              <w:rPr>
                <w:rFonts w:ascii="Arial" w:eastAsia="Times New Roman" w:hAnsi="Arial" w:cs="Arial"/>
                <w:b/>
                <w:bCs/>
                <w:sz w:val="20"/>
                <w:szCs w:val="20"/>
                <w:lang w:val="en-AU"/>
              </w:rPr>
              <w:t>Pr</w:t>
            </w:r>
            <w:proofErr w:type="spellEnd"/>
            <w:r>
              <w:rPr>
                <w:rFonts w:ascii="Arial" w:eastAsia="Times New Roman" w:hAnsi="Arial" w:cs="Arial"/>
                <w:b/>
                <w:bCs/>
                <w:sz w:val="20"/>
                <w:szCs w:val="20"/>
                <w:lang w:val="en-AU"/>
              </w:rPr>
              <w:t xml:space="preserve"> &gt; [t]</w:t>
            </w:r>
          </w:p>
        </w:tc>
        <w:tc>
          <w:tcPr>
            <w:tcW w:w="1559" w:type="dxa"/>
            <w:tcBorders>
              <w:top w:val="single" w:sz="4" w:space="0" w:color="auto"/>
              <w:left w:val="single" w:sz="4" w:space="0" w:color="auto"/>
              <w:bottom w:val="single" w:sz="4" w:space="0" w:color="auto"/>
              <w:right w:val="single" w:sz="4" w:space="0" w:color="auto"/>
            </w:tcBorders>
            <w:shd w:val="clear" w:color="auto" w:fill="CCCCCC"/>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bCs/>
                <w:sz w:val="20"/>
                <w:szCs w:val="20"/>
                <w:lang w:val="en-AU"/>
              </w:rPr>
              <w:t>Hypothesis: Means are equal between two patient cohorts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Higher/ Lower means</w:t>
            </w:r>
          </w:p>
        </w:tc>
      </w:tr>
      <w:tr w:rsidR="006C44B6" w:rsidTr="005C4770">
        <w:trPr>
          <w:trHeight w:val="230"/>
          <w:tblHeader/>
          <w:jc w:val="center"/>
        </w:trPr>
        <w:tc>
          <w:tcPr>
            <w:tcW w:w="4980" w:type="dxa"/>
            <w:gridSpan w:val="2"/>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sz w:val="20"/>
                <w:szCs w:val="20"/>
                <w:lang w:val="en-AU"/>
              </w:rPr>
              <w:t>Number of Patients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sz w:val="20"/>
                <w:szCs w:val="20"/>
                <w:lang w:val="en-AU"/>
              </w:rPr>
              <w:t>Average Cost</w:t>
            </w:r>
          </w:p>
        </w:tc>
        <w:tc>
          <w:tcPr>
            <w:tcW w:w="289" w:type="dxa"/>
            <w:vMerge w:val="restart"/>
            <w:tcBorders>
              <w:top w:val="single" w:sz="4" w:space="0" w:color="auto"/>
              <w:left w:val="single" w:sz="4" w:space="0" w:color="auto"/>
              <w:bottom w:val="single" w:sz="4" w:space="0" w:color="auto"/>
              <w:right w:val="single" w:sz="4" w:space="0" w:color="auto"/>
            </w:tcBorders>
            <w:shd w:val="clear" w:color="auto" w:fill="CCCCCC"/>
          </w:tcPr>
          <w:p w:rsidR="006C44B6" w:rsidRDefault="006C44B6">
            <w:pPr>
              <w:jc w:val="center"/>
              <w:rPr>
                <w:rFonts w:ascii="Arial" w:eastAsia="Times New Roman" w:hAnsi="Arial" w:cs="Arial"/>
                <w:b/>
                <w:bCs/>
                <w:sz w:val="20"/>
                <w:szCs w:val="20"/>
                <w:lang w:val="en-AU"/>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sz w:val="20"/>
                <w:szCs w:val="20"/>
                <w:lang w:val="en-AU"/>
              </w:rPr>
              <w:t>Number of Patients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sz w:val="20"/>
                <w:szCs w:val="20"/>
                <w:lang w:val="en-AU"/>
              </w:rPr>
              <w:t>Average Cost</w:t>
            </w: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bCs/>
                <w:sz w:val="20"/>
                <w:szCs w:val="20"/>
                <w:lang w:val="en-AU"/>
              </w:rPr>
            </w:pPr>
            <w:r>
              <w:rPr>
                <w:rFonts w:ascii="Arial" w:eastAsia="Times New Roman" w:hAnsi="Arial" w:cs="Arial"/>
                <w:b/>
                <w:bCs/>
                <w:sz w:val="20"/>
                <w:szCs w:val="20"/>
                <w:lang w:val="en-AU"/>
              </w:rPr>
              <w:t>Accept/Reject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sz w:val="20"/>
                <w:szCs w:val="20"/>
                <w:lang w:val="en-AU"/>
              </w:rPr>
            </w:pPr>
          </w:p>
        </w:tc>
      </w:tr>
      <w:tr w:rsidR="006C44B6" w:rsidTr="005C4770">
        <w:trPr>
          <w:trHeight w:val="280"/>
          <w:tblHeader/>
          <w:jc w:val="center"/>
        </w:trPr>
        <w:tc>
          <w:tcPr>
            <w:tcW w:w="1377" w:type="dxa"/>
            <w:tcBorders>
              <w:top w:val="single" w:sz="4" w:space="0" w:color="auto"/>
              <w:left w:val="single" w:sz="4" w:space="0" w:color="auto"/>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Diagnosis Related Group</w:t>
            </w:r>
          </w:p>
        </w:tc>
        <w:tc>
          <w:tcPr>
            <w:tcW w:w="3603" w:type="dxa"/>
            <w:tcBorders>
              <w:top w:val="single" w:sz="4" w:space="0" w:color="auto"/>
              <w:left w:val="single" w:sz="4" w:space="0" w:color="auto"/>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Description</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bCs/>
                <w:sz w:val="20"/>
                <w:szCs w:val="20"/>
                <w:lang w:val="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44B6" w:rsidRDefault="006C44B6">
            <w:pPr>
              <w:rPr>
                <w:rFonts w:ascii="Arial" w:eastAsia="Times New Roman" w:hAnsi="Arial" w:cs="Arial"/>
                <w:b/>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Unassigned</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$1,077.07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218410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$1,362.15</w:t>
            </w:r>
          </w:p>
        </w:tc>
        <w:tc>
          <w:tcPr>
            <w:tcW w:w="946"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801C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 PR UNREL TO PDX-CC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$2,270.11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$2,589.08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960Z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Error DRG</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$1,933.92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$2,308.14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CARPAL TUNNEL RELEASE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$2,029.09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7662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$2,068.63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CBL PSY,MUS DYSY,NPTHY PR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$3,155.15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$3,238.47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0.8142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PRPHL &amp; CRANL NERV &amp; OTH PR-CC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$3,778.90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$3,049.79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higher </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B40Z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PLASMAPHERESIS + NEURO DIS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$5,552.64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$1,077.10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DMNTIA&amp;CHRNIC DISTURB CRBRL FN</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$1,083.79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$998.88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DELIRIUM-CCC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$1,098.41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0.4385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CEREBRAL PALSY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$1,544.27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$1,606.99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NERVOUS SYSTEM NEOPLASM-</w:t>
            </w:r>
            <w:r>
              <w:rPr>
                <w:rFonts w:ascii="Arial" w:eastAsia="Times New Roman" w:hAnsi="Arial" w:cs="Arial"/>
                <w:color w:val="000000"/>
                <w:sz w:val="20"/>
                <w:szCs w:val="20"/>
                <w:lang w:val="en-AU"/>
              </w:rPr>
              <w:lastRenderedPageBreak/>
              <w: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$2,266.19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$1,591.23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0.1173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B67B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DEGNRTV NERV SYS DIS+MCC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$390.59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$1,017.11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B67C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DEGNRTV NERV SYS DIS-CC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$1,158.36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$769.83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MLT SCLROSIS&amp;CEREBEL ATAXIA-CC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$2,164.59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10808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$1,450.18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TIA &amp; PRECEREBRAL OCCLUSN-CSCC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$1,423.40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$1,240.39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STROKE &amp; OTH CEREB DIS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$2,034.49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$1,600.07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B70D</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STRKE&amp;OTH CEREB DIS DIE/TRN&lt;5D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$1,313.25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$1,271.99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B71A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&amp; PERIPHL NERV DSRD+CC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$1,379.92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$1,108.29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&amp; PERIPHL NERV DSRD-CC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$928.40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$736.26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B71C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&amp; PERIPHL NERV DSRD+SD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$657.04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$217.25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NRVS SYS INF EX VRL MNGTS-CSCC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$1,827.35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$1,469.08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VIRAL MENINGITIS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$1,136.10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$1,321.62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0.6916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F618BE">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NON</w:t>
            </w:r>
            <w:r w:rsidR="006C44B6">
              <w:rPr>
                <w:rFonts w:ascii="Arial" w:eastAsia="Times New Roman" w:hAnsi="Arial" w:cs="Arial"/>
                <w:color w:val="000000"/>
                <w:sz w:val="20"/>
                <w:szCs w:val="20"/>
                <w:lang w:val="en-AU"/>
              </w:rPr>
              <w:t>TRAUMATIC STUPOR &amp; COMA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$1,571.56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$1,205.29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FEBRILE CONVULSIONS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$1,769.41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$1,007.10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SEIZURE +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$1,086.01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$1,366.13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0.1111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SEIZURE -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$1,116.80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$1,185.21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0.0912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B76C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SEIZURES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$268.76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$332.33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0.1895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B77Z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HEADACHE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$974.17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$973.13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INTRACRANIAL INJURY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$1,729.97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$1,426.37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SKULL FRACTURES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$1,287.53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$1,307.00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0.9457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HEAD INJURY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$1,188.57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$994.85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DSRD OF NERVOUS SYS-CSCC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$1,681.16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3548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$1,518.79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0.2326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CHR UNSP PARA/QUAD+/-PR+CCC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$1,310.15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$1,314.73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0.9863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CHR UNSP PARA/QUAD+/- PR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$1,101.40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$1,512.59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RETINAL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$2,643.76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$2,468.58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0.3632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MAJOR CORN, SCLERAL&amp;CONJNCT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$3,695.35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$4,179.23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0.5368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DACRYOCYSTORHINOSTOMY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$4,492.86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$3,150.27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STRABISMUS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$3,403.64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$3,321.25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EYELID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$2,639.71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$2,780.98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0.4436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CORN, SCLERAL&amp;CONJNCT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$3,547.97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$2,804.44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LACRIMAL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$1,673.13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$1,716.11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EYE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$2,150.37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$1,830.62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GLAUCOMA/CX CATARACT PROCS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$2,893.23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$2,894.10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0.9976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C16Z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LENS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$2,766.57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44928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$2,550.20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 xml:space="preserve">NEUROLOGICAL&amp;VASCLR EYE </w:t>
            </w:r>
            <w:r>
              <w:rPr>
                <w:rFonts w:ascii="Arial" w:eastAsia="Times New Roman" w:hAnsi="Arial" w:cs="Arial"/>
                <w:color w:val="000000"/>
                <w:sz w:val="20"/>
                <w:szCs w:val="20"/>
                <w:lang w:val="en-AU"/>
              </w:rPr>
              <w:lastRenderedPageBreak/>
              <w:t>DIS-CC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$855.75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$1,151.01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C62Z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HYPHEMA &amp;MED MANAGD EYE TRAUMA</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$876.30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$1,031.93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0.0068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DISORDERS OF THE EYE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$926.89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$1,066.26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MAXILLO SURGERY -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$4,440.49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$3,499.50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D06Z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SINUS &amp;CMPLX MDDL EAR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$3,253.11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$4,054.05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0.0882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NASAL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$2,553.94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$2,945.93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TONSILLECTOMY, ADENOIDECTOMY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$2,401.38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$2,332.93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0.2573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EAR,NOSE,MOUTH &amp; THROAT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$3,134.55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$2,716.12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MYRINGOTOMY +TUBE INSERTION</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$1,743.00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4777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$1,593.62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MOUTH &amp; SALIVARY GLAND PROCS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$2,547.35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$2,359.47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0.2471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D40Z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DENTAL EXTRACT &amp; RESTORATIONS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$2,998.55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12684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$2,514.76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EAR NOSE MOUTH&amp;THROAT MAL-CSCC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$1,848.64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$1,779.74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0.8576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DYSEQUILIBRIUM</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$997.54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4821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$933.68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EPISTAXIS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$990.98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$975.21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D63C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OTITIS MEDIA AND URI +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$1,248.02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OTITIS MEDIA AND URI</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$1,065.56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$945.36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LARYNGOTRACHEITIS&amp;EPIGLOTTITIS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$1,132.86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$981.10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0.0777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D65Z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NASAL TRAUMA &amp; DEFORMITY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$1,194.03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$1,337.91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EAR,NOSE,MOUTH&amp;THRT DX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$1,462.64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$1,498.44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0.8872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EAR,NOSE,MOUTH&amp;THRT DX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$1,275.22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$1,220.40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0.3936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ORAL &amp; DENTAL DISORDERS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$1,031.64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5488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$1,070.45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6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E02C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RESPIRATY SYS OR PR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$2,957.39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$2,508.76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6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BRONCHOSCOPY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$2,253.57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5916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$1,908.36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CYSTIC FIBROSIS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$1,311.81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$1,235.76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0.8447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PULMONARY EMBOLISM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$1,685.92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$1,089.83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0.2553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RESPIRATRY INFECTN/INFLAMM+CCC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$1,474.50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$1,569.07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0.7662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RESPIRATRY INFECTN/INFLAM+SMCC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$1,297.62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$1,166.28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0.3492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RESPIRATORY INFECTN/INFLAMM-CC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$1,280.07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$1,012.72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SLEEP APNOEA</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$574.11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$712.89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PULMNRY OEDMA &amp;RESP FL D/T&lt;5D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$2,537.38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$1,211.05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E65A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CHRNIC OBSTRCT AIRWAY DIS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$2,060.26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$1,204.25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CHRNIC OBSTRCT AIRWAY DIS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$1,108.66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$1,048.74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0.3976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MJR CHEST TRMA +SMCC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$2,146.23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$1,615.59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E66C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MAJOR CHEST TRAUMA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$1,890.96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$1,368.54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0.3132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RESPIRATRY SIGNS &amp; SYMPTM</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$1,352.02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$1,349.98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0.9931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RESPIRTRY SIGNS &amp; SYMPTM &lt;2D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$1,123.52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3241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$1,326.77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E68A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PNEUMOTHORAX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$1,459.51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$1,816.40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0.6405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PNEUMOTHORAX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$1,130.96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$1,190.76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E69A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BRONCHITIS &amp; ASTHMA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$1,194.52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$1,394.11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BRNCHTS&amp;ASTHMA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$1,038.36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$991.09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0.2942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WHOOPNG CGH &amp;ACTE BRNCHIO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$1,250.19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$1,070.95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0.0262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RESPIRATORY NEOPLASMS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$1,322.91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$1,476.30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PLEURAL EFFUSION +SMCC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$1,300.68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$1,045.57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0.6169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RESP SYS DIS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$1,306.00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$1,466.80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RESP SYS DIS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$1,082.10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$1,220.25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0.1965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RESP SYS DX -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$1,084.70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$1,053.54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VASC PR-MJR RECONSTRC-PUMP+CCC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$2,727.50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$3,448.43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VASC PR-MJR RECONSTR-PUMP+SMCC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$3,429.27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$3,744.45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F14C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VASC PR-MJR RECONSTR-PUMP-CC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$3,984.03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$3,732.47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INSERT/REPLACE PM GENERTR-CSCC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$5,765.98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$4,136.02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0.0112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F20Z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VEIN LIGATION &amp; STRIPPING</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$4,548.24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$3,573.93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F21B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CIRC SYS OR PR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$3,794.00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$3,489.57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CRC DSRD+AMI+INVA INV PR-CSCC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$3,011.95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$2,621.25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0.3316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CRC DSRD-AMI+IC IN PR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$3,426.70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$2,955.88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CRC DSRD+AMI-INVA INV D/T &lt;5D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$1,636.44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$1,273.74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HEART FAILURE &amp; SHOCK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$1,653.47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$1,568.61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0.8831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HEART FAILURE &amp; SHOCK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$1,189.50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$1,046.84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VENOUS THROMBOSIS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$1,134.09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$946.63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0.6082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PERIPHERAL VASCULAR DSRD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$1,763.39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$1,365.22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CORONARY ATHEROSCLEROSIS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$1,728.65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$1,245.02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CORONARY ATHEROSCLEROSIS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$1,432.63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$1,104.80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HYPERTENSION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$1,090.91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$1,142.01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HYPERTENSION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$1,378.68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$1,067.16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CONGENITAL HEART DISEASE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$1,571.87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$1,596.99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0.9396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VALVULAR DISORDERS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$1,526.72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$1,162.75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UNSTABLE ANGINA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$1,429.32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$1,262.62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UNSTABLE ANGINA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$1,395.02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$1,017.60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F73A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SYNCOPE &amp; COLLAPSE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$1,815.55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$1,220.11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0.4431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SYNCOPE &amp; COLLAPSE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$1,138.63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$1,125.41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CHEST PAIN &lt;2D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$573.12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$491.86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F74Z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CHEST PAIN</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$1,316.88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35235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$1,143.00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CIRCULATORY DIS +SMCC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$1,552.98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$1,425.87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F75C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CIRCULATORY DIS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$1,192.17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$1,389.22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ARRHY, CARD &amp; COND DISDR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$1,599.79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$1,378.13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ARRHY, CARD &amp; COND DISDR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$1,316.95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$1,159.33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MJR SMALL &amp; LARGE BOWEL PR-CCC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$2,866.82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$2,942.29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0.9189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HERNIA PROCEDURES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$3,334.40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6563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$3,292.96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0.6687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ANAL &amp; STOMAL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$2,048.55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$1,983.39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DIGEST SYS OR PR-CC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$3,228.76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$3,055.01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G46C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COMPLEX GASTROSCOPY,SD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$2,157.70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$1,781.27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G47C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GASTROSCOPY,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$1,571.94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$1,363.89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G48C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COLONOSCOPY,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$1,842.45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36274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$1,592.61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DIGESTIVE MALIGNANCY -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$1,693.20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$1,293.05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G61A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GI HAEMORRHAGE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$2,052.32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$1,262.34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0.4731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GI HAEMORRHAGE -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$1,074.93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$920.26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INFLAMMATORY BOWEL DISEASE-CC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$2,147.22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$2,379.42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GI OBSTRUCTION -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$1,345.06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$1,204.17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ABDMNL PAIN/MESENT ADENTS,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$319.50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$259.95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G66Z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ABDMNL PAIN/MESENTRC ADENTS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$1,068.49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$1,036.70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OESPHS, GASTR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$1,062.85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$1,173.72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OESPHS, GASTR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$931.60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11365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$888.46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0.2974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G70A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DIGESTIVE SYS DIAG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$1,230.87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$1,205.60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G70B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DIGESTIVE SYS DIAG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$977.98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17661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$952.28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0.3767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G70C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DIGESTIVE SYS DIAG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$419.80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$244.70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LAP CHOLECYSTECTMY-CDE-CSCC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$4,683.40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$4,551.43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H43B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ERCP PROCEDURE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$2,284.14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$2,265.02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CIRRHOSIS &amp; ALC HEPATITIS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$2,763.41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$1,430.82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0.1202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CIRRHOSIS &amp; ALC HEPATITIS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$1,655.53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$1,315.31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0.0292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CIRRHOSIS &amp; ALC HEPATITIS,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$1,485.01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$1,260.23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0.3948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MALG HEPATOBILIAY SYS PANC-CCC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$1,555.67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$1,447.17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0.7035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DISORDERS PANCREAS-MALIG+CSCC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$1,075.97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$1,658.86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DISORDERS PANCREAS-MALIG-CSCC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$1,203.81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$1,277.72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0.4916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H63A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DSRD LVR-MAL,CIRR,ALC HEP+CCC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$2,213.50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$1,523.59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0.3811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H63B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DSRD LVR-MAL,CIRR,ALC HEP-CCC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$1,260.38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$1,409.71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DISORDERS OF BILIARY TRACT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$1,078.52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$1,287.37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DISORDERS OF BILIARY TRACT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$845.40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2948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$925.85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I12C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INFC/INFM BNE/JNT+MISC PR-CC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$2,751.27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$3,005.03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HUM,TIB,FIB,ANKL PR-CC &gt;=17</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$3,627.92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$3,946.36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I16Z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SHOULDER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$4,982.30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$4,808.29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0.6571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I18Z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KNEE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$3,069.42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$3,032.94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ELBOW, FOREARM PROCS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$4,665.82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$4,414.95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FOOT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$3,139.64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$3,320.37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0.5064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LOC EX, REM INT FIX DEV HP&amp;FMR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$3,070.07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$2,880.79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LOC EX,REM INT FIX-HP&amp;FMR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$2,269.73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8116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$2,361.91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ARTHROSCOPY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$2,691.18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$2,799.16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SOFT TISSUE PROCEDURES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$2,836.66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$2,676.07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MUSCULOSKELETAL PR-CC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$3,029.16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$3,129.84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0.7728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I30Z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HAND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$3,375.42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$3,034.94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FEMORAL SHAFT FRACTURES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$1,563.59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$1,296.81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SPR,STR&amp;DSLC HIP,PELV&amp;THIGH-CC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$1,312.59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$1,029.03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I64B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OSTEOMYELITIS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$1,024.13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$1,294.21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MUSCSKEL MALIG NEO -CCC -RADIO</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$2,101.64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$1,444.37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INFLAM MUSCULO DSR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$1,318.20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$1,470.58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INFLAM MUSCULO DSR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$2,153.39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$1,743.07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SEPTIC ARTHRITIS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$766.09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$740.29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I68C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F618BE">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NON</w:t>
            </w:r>
            <w:r w:rsidR="006C44B6">
              <w:rPr>
                <w:rFonts w:ascii="Arial" w:eastAsia="Times New Roman" w:hAnsi="Arial" w:cs="Arial"/>
                <w:color w:val="000000"/>
                <w:sz w:val="20"/>
                <w:szCs w:val="20"/>
                <w:lang w:val="en-AU"/>
              </w:rPr>
              <w:t>-SURG SPINAL DISORDERS,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$1,109.86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12878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$1,169.48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BONE DISEASES AND ARTHROP-CSCC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$1,037.48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4509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$976.41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I71A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MUSCTENDIN DISRD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$670.09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$1,233.79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0.0594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MUSCTENDIN DISRD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$895.74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$1,048.53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SPEC MUSCTEND DISRD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$2,696.01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$1,212.51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0.0111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SPEC MUSCTEND DISRD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$933.28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$954.34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AFTCARE MUSCSK IMPL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$1,104.00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$1,257.02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0.1582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 FOREARM, WRIST, HAND, FOOT</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$1,081.68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9669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$1,111.33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I75A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 SH,ARM,ELB,KN,LEG,ANKL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$1,179.14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$1,307.47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0.3112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 SH,ARM,ELB,KN,LEG,ANKL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$989.30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5469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$940.90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0.3748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MUSCULOSKELETAL DSRD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$801.48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$1,255.02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MUSCULOSKELETAL DSRD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$1,155.00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$1,284.99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0.1723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I77B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FRACTURE OF PELVIS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$1,244.52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$1,213.30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0.9263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FRACTURE NECK OF FEMUR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$1,918.40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$1,036.30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I81Z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INJURIES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$466.56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$324.42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0.0409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I82Z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$398.01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$428.93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0.3671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MAJOR PROC FOR MAL BREAST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$4,632.30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$4,768.95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0.7577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 xml:space="preserve">MAJOR PROC FOR </w:t>
            </w:r>
            <w:r w:rsidR="00F618BE">
              <w:rPr>
                <w:rFonts w:ascii="Arial" w:eastAsia="Times New Roman" w:hAnsi="Arial" w:cs="Arial"/>
                <w:color w:val="000000"/>
                <w:sz w:val="20"/>
                <w:szCs w:val="20"/>
                <w:lang w:val="en-AU"/>
              </w:rPr>
              <w:t>NON</w:t>
            </w:r>
            <w:r>
              <w:rPr>
                <w:rFonts w:ascii="Arial" w:eastAsia="Times New Roman" w:hAnsi="Arial" w:cs="Arial"/>
                <w:color w:val="000000"/>
                <w:sz w:val="20"/>
                <w:szCs w:val="20"/>
                <w:lang w:val="en-AU"/>
              </w:rPr>
              <w:t>-MAL BR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$3,209.23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$4,079.46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0.0145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MINOR PROC FOR MAL BREAST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$3,340.14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$3,333.96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 xml:space="preserve">MINOR PROC FOR </w:t>
            </w:r>
            <w:r w:rsidR="00F618BE">
              <w:rPr>
                <w:rFonts w:ascii="Arial" w:eastAsia="Times New Roman" w:hAnsi="Arial" w:cs="Arial"/>
                <w:color w:val="000000"/>
                <w:sz w:val="20"/>
                <w:szCs w:val="20"/>
                <w:lang w:val="en-AU"/>
              </w:rPr>
              <w:t>NON</w:t>
            </w:r>
            <w:r>
              <w:rPr>
                <w:rFonts w:ascii="Arial" w:eastAsia="Times New Roman" w:hAnsi="Arial" w:cs="Arial"/>
                <w:color w:val="000000"/>
                <w:sz w:val="20"/>
                <w:szCs w:val="20"/>
                <w:lang w:val="en-AU"/>
              </w:rPr>
              <w:t>-MAL BR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$2,760.64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$2,808.20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0.7074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J08A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SKN GRF&amp;/DBRDMNT PR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$2,783.11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$3,101.77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SKN GRF&amp;/DBRDMNT PR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$2,830.32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5184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$2,872.10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0.8285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J09Z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PERIANAL &amp; PILONIDAL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$2,887.92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$2,554.84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SKN,SUBC TIS &amp; BRST PLASTIC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$2,849.74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$2,755.63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SKIN, SUBC TIS &amp; BRST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$2,295.00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25252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$2,012.39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SKIN ULCERS,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$913.22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$844.73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0.3967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J63A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F618BE">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NON</w:t>
            </w:r>
            <w:r w:rsidR="006C44B6">
              <w:rPr>
                <w:rFonts w:ascii="Arial" w:eastAsia="Times New Roman" w:hAnsi="Arial" w:cs="Arial"/>
                <w:color w:val="000000"/>
                <w:sz w:val="20"/>
                <w:szCs w:val="20"/>
                <w:lang w:val="en-AU"/>
              </w:rPr>
              <w:t>-MALIGNANT BREAST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$473.19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$1,213.50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F618BE">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NON</w:t>
            </w:r>
            <w:r w:rsidR="006C44B6">
              <w:rPr>
                <w:rFonts w:ascii="Arial" w:eastAsia="Times New Roman" w:hAnsi="Arial" w:cs="Arial"/>
                <w:color w:val="000000"/>
                <w:sz w:val="20"/>
                <w:szCs w:val="20"/>
                <w:lang w:val="en-AU"/>
              </w:rPr>
              <w:t>-MALIGNANT BREAST DIS,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$1,586.95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$1,626.95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CELLULITIS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$1,386.78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$1,050.27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0.2015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CELLULITIS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$993.41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$924.48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J65A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TRAUMA TO SKN,SUB TIS&amp;BST+CSCC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$963.64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$1,271.62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0.0479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TRAUMA TO SKN,SUB TIS&amp;BST-CSCC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$973.41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$1,109.22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MINOR SKIN DISORDERS,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$1,153.17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6888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$1,143.39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0.8787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J68C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MAJOR SKIN DISORDERS,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$428.84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4342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$1,023.38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J69C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SKIN MALIGNANCY,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$1,472.75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$928.45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0.2328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K40C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ENDO/INVEST PROC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$1,764.81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$1,810.42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DIABETES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$1,210.11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$1,172.22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0.8172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DIABETES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$1,154.73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$985.73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MISC METABOLIC DISORDERS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$1,584.61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$1,058.14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MISC METABOLIC DISORDERS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$1,079.37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$833.91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INBORN ERR OF METAB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$927.66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$918.36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ENDOCRINE DISORDERS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$1,048.19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$1,059.62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OP INS PERI CATH DIALYSIS-CSCC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$2,956.51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$2,216.14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L04C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KDY,URT&amp;MJR BLDR PR N-NPM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$3,553.24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$3,663.27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TRANSURETHRAL PROCS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$2,725.73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$2,601.38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TRANSURETHRAL PROCS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$2,210.34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$2,383.86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L08B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URETHRAL PROCEDURES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$2,332.34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$2,099.71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0.4444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L09B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KIDNY &amp; URNRY TRACT PR+SCC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$4,463.57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$3,597.11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0.1915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L09C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KIDNY &amp; URNRY TRCT PR-CSCC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$4,190.08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$3,302.79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L41Z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CYSTOURETHROSCOPY,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$1,495.76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$1,264.49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L42Z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ESW LITHOTRIPSY+URINARY STONES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$3,231.15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$3,117.75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0.6995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RENAL FAILURE +SCC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$1,547.62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$1,204.39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RENAL FAILURE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$1,228.19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$1,123.44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KDNY&amp;UNRY TRCT NEOPLASMS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$1,499.21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$1,215.31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0.2851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L63A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KDNY &amp; UNRY TRCT INF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$1,182.19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$1,097.06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KDNY &amp; UNRY TRCT INF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$980.27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$940.79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URINARY STONES &amp; OBSTRUCTION</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$1,237.07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$1,143.60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0.2479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L65A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KDNY &amp; UNRY TR SGNS&amp;SYMPS+CSCC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$1,469.74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$1,132.30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KDNY &amp; UNRY TR SGNS&amp;SYMPS-CSCC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$1,252.40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3163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$944.33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L67A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KIDNY &amp; URNRY TRCT DX+CSCC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$1,353.56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$927.77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0.0352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KIDNY &amp; URNRY TRCT DX-CSCC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$890.09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12272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$843.89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L68Z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PERITONEAL DIALYSIS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$916.43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5206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$889.00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0.4744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PENIS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$3,267.93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$2,965.38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0.2062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TESTES PROCEDURES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$3,179.53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$2,911.13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CIRCUMCISION</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$2,376.85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$2,480.69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MALE REPROD SYS OR PR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$2,196.07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$1,961.70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0.5742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M40Z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CYSTOURETHROSCOPY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$1,405.81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$1,299.82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MALE REPR SYS MALIG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$2,110.37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$1,660.10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BENIGN PROSTATIC HYPERTROPHY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$1,887.89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$1,466.22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0.0677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INFLAMMATION MALE REPRD SYSTEM</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$946.53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$1,080.41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MALE STERILISATION PROCS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$2,136.68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$1,898.43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MALE REPROD SYS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$1,157.18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$1,195.48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OOPH&amp;COM FAL TUBE PR NMAL-CSCC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$3,457.60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$4,824.13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FEM REP SYS RECONSTRCT PR-CSCC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$3,618.26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$3,608.35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N07Z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UTERN &amp; ADNEXA PR FOR NMAL</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$3,059.95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$2,876.99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0.0519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N08Z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ENDOS &amp; LAPAR PR, FEM REPR SYS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$3,452.38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5558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$3,387.08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0.4809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N09Z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VAGINA, CERVIX &amp;VULVA PROC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$2,226.07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12181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$2,149.92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0.1391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N10Z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DXC CURETTGE, DXC HYSTEROSCOPY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$2,217.26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14134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$2,183.34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0.4895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N11Z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FEMALE REPRODUCTIVE SYS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$2,166.88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$1,622.08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FEM REPROD SYS MALIG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$1,980.18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$1,466.47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FEMALE REPROD SYST INFECTIONS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$1,017.96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$965.02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MNSTRL &amp; OTH FEM REPR DIS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$1,129.25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$1,104.51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0.6792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ECTOPIC PREGNANCY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$1,943.37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$1,490.05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POSTPARTUM&amp;POST ABORTN+OR-CSCC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$2,566.33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$2,304.64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O05Z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ABORTION+ OR PROC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$1,943.71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15943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$2,071.71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VAGINAL DELIVERY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$2,397.68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$1,888.35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0.1436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VAGINAL DELIVERY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$2,005.38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$1,777.82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VAGINAL DELIVERY, UNCOMP</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$1,813.22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$1,697.80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POSTPARTUM &amp; POST ABORTN-OR PR</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$759.71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$694.64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0.3654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ABORTION-OR PROC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$1,076.29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2427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$866.47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0.0136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FALSE LABOUR &lt;37 WK/+CCC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$735.23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$678.18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0.3562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FALSE LABOUR &gt;=37 WK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$598.98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$484.09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ANTENATAL&amp;OTH OBSTETRIC ADM,SD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$548.87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37807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$537.78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O66C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ANTENATAL&amp;OTH OBS ADM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$427.92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$290.39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 xml:space="preserve">NEO,ADMWT &gt;=2500G+OR </w:t>
            </w:r>
            <w:r>
              <w:rPr>
                <w:rFonts w:ascii="Arial" w:eastAsia="Times New Roman" w:hAnsi="Arial" w:cs="Arial"/>
                <w:color w:val="000000"/>
                <w:sz w:val="20"/>
                <w:szCs w:val="20"/>
                <w:lang w:val="en-AU"/>
              </w:rPr>
              <w:lastRenderedPageBreak/>
              <w:t>PR+MMP</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62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$1,028.53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$958.70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P60B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NEO,ADMWT &gt;=2500G+OR PR-MMP</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$1,356.84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$1,039.17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P66D</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NEO,ADMWT 2000-2499G-OR-PRB</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$964.86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$788.21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NEO,ADMWT &gt;=2500G-OR+PRE+MJP</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$637.74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$916.81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0.0409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P67D</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NEO,ADMWT &gt;=2500G-OR+PRE-PRB</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$779.46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$834.68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0.5585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Q02B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BLD&amp;IMM SYS DIS +OTH OR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$2,715.03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$2,653.85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0.8118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RETICLENDO&amp;IMNTY DIS+CSCC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$1,162.34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$1,243.52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0.6043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Q60C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RETICLENDO&amp;IMNTY DIS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$744.32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$708.46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Q61A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RED BLOOD CELL DISDERS +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$1,614.38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$1,148.13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RED BLOOD CELL DISDERS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$1,192.83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31734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$901.81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Q62Z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COAGULATION DISORDERS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$1,110.00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$886.67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0.0771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R03B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LYMPHMA LEUKMA+OTH OR PR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$2,747.15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$3,017.15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0.6586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ACUTE LEUKAEMIA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$1,687.10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$1,384.20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0.1544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R61C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LYMPHMA / N-A LEUKAEMIA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$1,409.17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$1,119.13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NEOPLASTIC DISORDERS-CC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$1,900.42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$1,653.33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CHEMOTHERAPY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$1,393.07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100055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$1,414.04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RADIOTHERAPY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$4,752.45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$2,246.08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S60Z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HIV, SAMEDAY</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$429.74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$1,465.94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T01C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 PROC INFECT &amp; PARAS DIS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$2,745.51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$2,503.47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SEPTICAEMIA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$1,602.52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$1,217.48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0.0985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POSTOP &amp; POSTTRAUM INFECT-CSCC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$653.15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$916.06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FEVER OF UNKNOWN ORIGIN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$1,042.38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$1,318.32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FEVER OF UNKNOWN ORIGIN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$1,407.64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$992.24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VIRAL ILLNESS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$975.99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$945.10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0.6967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INFECTOUS&amp;PARSTIC DIS+SMCC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$945.83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$1,211.76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0.5007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T64C</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INFECTOUS &amp; PARSTIC DIS-CC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$1,223.04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$1,069.12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0.6942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U40Z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MENTAL HEALTH TREAT+ECT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$1,019.79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10417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$904.28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MENTAL HEALTH TREAT -ECT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$771.38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$790.25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0.5151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ALCOHOL INTOX &amp; WITHDRWL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$1,081.22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$1,161.35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0.5058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ALCOHOL INTOX &amp; WITHDRWL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$845.58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2526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$948.79</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DRUG INTOXICTN &amp; WITHDRAWAL</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$1,030.37</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$947.80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0.3531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ALCOHOL USE &amp; DEPENDENCE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$1,337.11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$1,110.34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OPIOID USE &amp; DEPENDENCE</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$321.45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$814.05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V64Z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DRUG USE &amp; DEPEND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$921.71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$768.46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MULTIPLE TRAUMA, DIED/TRANSF&lt;5</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$1,457.71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$2,464.90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0.1213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X02B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SKIN GRAFT INJURIES HAND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$2,566.30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$2,344.04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0.4829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PR INJ LOWR LIMB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$3,483.50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$2,471.94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X05B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PR FOR INJ TO HAND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$2,511.94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$2,129.85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X06A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PR OTHER INJURIES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$2,216.84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$2,397.48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0.7457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X06B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PR OTHER INJURIES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$2,432.04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$2,282.35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X60A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INJURIES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$1,002.15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$1,253.36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X60B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INJURIES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$962.81</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$1,043.58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ALLERGIC REACTIONS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$1,163.16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$886.83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0.0505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POISNG/TOXC EFF DRUGS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$1,708.62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$1,312.05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0.0595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POISNG/TOXC EFF DRUGS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$1,146.56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7210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$939.48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X63A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SEQUELAE OF TREATMNT+CSCC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$671.59</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$1,066.58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0.1347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SEQUELAE OF TREATMNT-CSCC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$1,057.06</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$971.45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X64A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INJ, POIS &amp; TOX EFF +CSCC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$679.05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$1,356.52</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INJ, POIS &amp;TOX EFF DX-CSCC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$1,228.92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$944.74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Y02B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SKIN GR OTH BRNS -CSCC +EMERG</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$2,047.00</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$2,030.68</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0.9602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Y03Z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OR PROCS FOR OTHER BURNS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$3,698.14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$2,474.74</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0.0152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BURNS,TRANS OTH ACUT CARE &lt;5D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$1,464.15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$1,166.43</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Y61Z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SEVERE BURNS</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$1,146.65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0.0978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Y62A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BURNS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$341.33</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$965.76</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Y62B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OTHER BURNS -CC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$725.04</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$1,019.80</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Z01A</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CNT HLTH SRV +OR PROC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$3,152.62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$2,446.45</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0.0749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Z01B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CNT HLTH SRV +OR PROC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$2,342.95</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2240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$2,166.01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0.3492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Z40Z</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CNT HLTH SRV +ENDO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$1,408.58</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27579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$1,212.07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Z61B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SIGNS AND SYMPTOMS +SD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$1,017.42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5513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$1,150.37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0.0583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992" w:type="dxa"/>
            <w:tcBorders>
              <w:top w:val="single" w:sz="4" w:space="0" w:color="auto"/>
              <w:left w:val="single" w:sz="4" w:space="0" w:color="auto"/>
              <w:bottom w:val="single" w:sz="4" w:space="0" w:color="auto"/>
              <w:right w:val="single" w:sz="4" w:space="0" w:color="auto"/>
            </w:tcBorders>
            <w:noWrap/>
            <w:vAlign w:val="bottom"/>
          </w:tcPr>
          <w:p w:rsidR="006C44B6" w:rsidRDefault="006C44B6">
            <w:pPr>
              <w:rPr>
                <w:rFonts w:ascii="Arial" w:eastAsia="Times New Roman" w:hAnsi="Arial" w:cs="Arial"/>
                <w:sz w:val="20"/>
                <w:szCs w:val="20"/>
                <w:lang w:val="en-AU"/>
              </w:rPr>
            </w:pP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Z63B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FU SURG/MED CARE -CCC</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$703.92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$983.47</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5C4770">
        <w:trPr>
          <w:trHeight w:val="280"/>
          <w:jc w:val="center"/>
        </w:trPr>
        <w:tc>
          <w:tcPr>
            <w:tcW w:w="1377"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Z64B</w:t>
            </w:r>
          </w:p>
        </w:tc>
        <w:tc>
          <w:tcPr>
            <w:tcW w:w="3603"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OTH FCTR INFL HEALTH STATUS+SD</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$961.02</w:t>
            </w:r>
          </w:p>
        </w:tc>
        <w:tc>
          <w:tcPr>
            <w:tcW w:w="289" w:type="dxa"/>
            <w:tcBorders>
              <w:top w:val="single" w:sz="4" w:space="0" w:color="auto"/>
              <w:left w:val="single" w:sz="4" w:space="0" w:color="auto"/>
              <w:bottom w:val="single" w:sz="4" w:space="0" w:color="auto"/>
              <w:right w:val="single" w:sz="4" w:space="0" w:color="auto"/>
            </w:tcBorders>
          </w:tcPr>
          <w:p w:rsidR="006C44B6" w:rsidRDefault="006C44B6">
            <w:pPr>
              <w:jc w:val="right"/>
              <w:rPr>
                <w:rFonts w:ascii="Arial" w:eastAsia="Times New Roman" w:hAnsi="Arial" w:cs="Arial"/>
                <w:sz w:val="20"/>
                <w:szCs w:val="20"/>
                <w:lang w:val="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31255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$1,073.01</w:t>
            </w:r>
          </w:p>
        </w:tc>
        <w:tc>
          <w:tcPr>
            <w:tcW w:w="946"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bl>
    <w:p w:rsidR="006C44B6" w:rsidRDefault="006C44B6" w:rsidP="006C44B6">
      <w:pPr>
        <w:rPr>
          <w:rFonts w:ascii="Arial" w:hAnsi="Arial" w:cs="Arial"/>
          <w:lang w:val="en-AU" w:eastAsia="en-AU"/>
        </w:rPr>
      </w:pPr>
    </w:p>
    <w:p w:rsidR="006C44B6" w:rsidRDefault="006C44B6" w:rsidP="006C44B6">
      <w:pPr>
        <w:rPr>
          <w:rFonts w:ascii="Arial" w:hAnsi="Arial" w:cs="Arial"/>
          <w:lang w:val="en-AU" w:eastAsia="en-AU"/>
        </w:rPr>
      </w:pPr>
    </w:p>
    <w:p w:rsidR="006C44B6" w:rsidRDefault="006C44B6" w:rsidP="006C44B6">
      <w:pPr>
        <w:rPr>
          <w:rFonts w:ascii="Arial" w:hAnsi="Arial" w:cs="Arial"/>
          <w:lang w:val="en-AU" w:eastAsia="en-AU"/>
        </w:rPr>
        <w:sectPr w:rsidR="006C44B6">
          <w:pgSz w:w="15840" w:h="12240" w:orient="landscape"/>
          <w:pgMar w:top="1800" w:right="1440" w:bottom="1800" w:left="1440" w:header="720" w:footer="720" w:gutter="0"/>
          <w:cols w:space="720"/>
        </w:sectPr>
      </w:pPr>
    </w:p>
    <w:p w:rsidR="006C44B6" w:rsidRDefault="006C44B6" w:rsidP="00287791">
      <w:pPr>
        <w:pStyle w:val="EYHeading1"/>
        <w:numPr>
          <w:ilvl w:val="0"/>
          <w:numId w:val="0"/>
        </w:numPr>
        <w:ind w:left="850"/>
        <w:rPr>
          <w:lang w:val="en-US"/>
        </w:rPr>
      </w:pPr>
      <w:bookmarkStart w:id="98" w:name="_Toc426115414"/>
      <w:bookmarkStart w:id="99" w:name="_Toc426117650"/>
      <w:r>
        <w:lastRenderedPageBreak/>
        <w:t xml:space="preserve">Appendix D: Distribution of Overnight Trimmed </w:t>
      </w:r>
      <w:bookmarkEnd w:id="98"/>
      <w:bookmarkEnd w:id="99"/>
    </w:p>
    <w:tbl>
      <w:tblPr>
        <w:tblW w:w="15600" w:type="dxa"/>
        <w:jc w:val="center"/>
        <w:tblLayout w:type="fixed"/>
        <w:tblLook w:val="04A0" w:firstRow="1" w:lastRow="0" w:firstColumn="1" w:lastColumn="0" w:noHBand="0" w:noVBand="1"/>
        <w:tblCaption w:val="Appendix D: Distribution of Overnight Trimmed "/>
      </w:tblPr>
      <w:tblGrid>
        <w:gridCol w:w="724"/>
        <w:gridCol w:w="3212"/>
        <w:gridCol w:w="1134"/>
        <w:gridCol w:w="1134"/>
        <w:gridCol w:w="1134"/>
        <w:gridCol w:w="1275"/>
        <w:gridCol w:w="1276"/>
        <w:gridCol w:w="1034"/>
        <w:gridCol w:w="1134"/>
        <w:gridCol w:w="1029"/>
        <w:gridCol w:w="1275"/>
        <w:gridCol w:w="1239"/>
      </w:tblGrid>
      <w:tr w:rsidR="006C44B6" w:rsidTr="006C44B6">
        <w:trPr>
          <w:trHeight w:val="280"/>
          <w:tblHeader/>
          <w:jc w:val="center"/>
        </w:trPr>
        <w:tc>
          <w:tcPr>
            <w:tcW w:w="3936" w:type="dxa"/>
            <w:gridSpan w:val="2"/>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Round 16</w:t>
            </w:r>
          </w:p>
        </w:tc>
        <w:tc>
          <w:tcPr>
            <w:tcW w:w="5953" w:type="dxa"/>
            <w:gridSpan w:val="5"/>
            <w:tcBorders>
              <w:top w:val="single" w:sz="4" w:space="0" w:color="auto"/>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Indigenous</w:t>
            </w:r>
          </w:p>
        </w:tc>
        <w:tc>
          <w:tcPr>
            <w:tcW w:w="5711" w:type="dxa"/>
            <w:gridSpan w:val="5"/>
            <w:tcBorders>
              <w:top w:val="single" w:sz="4" w:space="0" w:color="auto"/>
              <w:left w:val="nil"/>
              <w:bottom w:val="single" w:sz="4" w:space="0" w:color="auto"/>
              <w:right w:val="single" w:sz="4" w:space="0" w:color="auto"/>
            </w:tcBorders>
            <w:shd w:val="clear" w:color="auto" w:fill="CCCCCC"/>
            <w:noWrap/>
            <w:hideMark/>
          </w:tcPr>
          <w:p w:rsidR="006C44B6" w:rsidRDefault="007A097D">
            <w:pPr>
              <w:jc w:val="center"/>
              <w:rPr>
                <w:rFonts w:ascii="Arial" w:eastAsia="Times New Roman" w:hAnsi="Arial" w:cs="Arial"/>
                <w:b/>
                <w:sz w:val="20"/>
                <w:szCs w:val="20"/>
                <w:lang w:val="en-AU"/>
              </w:rPr>
            </w:pPr>
            <w:r>
              <w:rPr>
                <w:rFonts w:ascii="Arial" w:eastAsia="Times New Roman" w:hAnsi="Arial" w:cs="Arial"/>
                <w:b/>
                <w:sz w:val="20"/>
                <w:szCs w:val="20"/>
                <w:lang w:val="en-AU"/>
              </w:rPr>
              <w:t>Non-Indigenous</w:t>
            </w:r>
          </w:p>
        </w:tc>
      </w:tr>
      <w:tr w:rsidR="006C44B6" w:rsidTr="00F12E1B">
        <w:trPr>
          <w:trHeight w:val="280"/>
          <w:tblHeader/>
          <w:jc w:val="center"/>
        </w:trPr>
        <w:tc>
          <w:tcPr>
            <w:tcW w:w="724" w:type="dxa"/>
            <w:tcBorders>
              <w:top w:val="nil"/>
              <w:left w:val="single" w:sz="4" w:space="0" w:color="auto"/>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MDC</w:t>
            </w:r>
          </w:p>
        </w:tc>
        <w:tc>
          <w:tcPr>
            <w:tcW w:w="3212"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Description</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Minimum</w:t>
            </w:r>
          </w:p>
        </w:tc>
        <w:tc>
          <w:tcPr>
            <w:tcW w:w="1275"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Maximum</w:t>
            </w:r>
          </w:p>
        </w:tc>
        <w:tc>
          <w:tcPr>
            <w:tcW w:w="1276"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proofErr w:type="spellStart"/>
            <w:r>
              <w:rPr>
                <w:rFonts w:ascii="Arial" w:eastAsia="Times New Roman" w:hAnsi="Arial" w:cs="Arial"/>
                <w:b/>
                <w:sz w:val="20"/>
                <w:szCs w:val="20"/>
                <w:lang w:val="en-AU"/>
              </w:rPr>
              <w:t>Std</w:t>
            </w:r>
            <w:proofErr w:type="spellEnd"/>
            <w:r>
              <w:rPr>
                <w:rFonts w:ascii="Arial" w:eastAsia="Times New Roman" w:hAnsi="Arial" w:cs="Arial"/>
                <w:b/>
                <w:sz w:val="20"/>
                <w:szCs w:val="20"/>
                <w:lang w:val="en-AU"/>
              </w:rPr>
              <w:t xml:space="preserve"> Deviation</w:t>
            </w:r>
          </w:p>
        </w:tc>
        <w:tc>
          <w:tcPr>
            <w:tcW w:w="10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1029"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Minimum</w:t>
            </w:r>
          </w:p>
        </w:tc>
        <w:tc>
          <w:tcPr>
            <w:tcW w:w="1275"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Maximum</w:t>
            </w:r>
          </w:p>
        </w:tc>
        <w:tc>
          <w:tcPr>
            <w:tcW w:w="1239"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proofErr w:type="spellStart"/>
            <w:r>
              <w:rPr>
                <w:rFonts w:ascii="Arial" w:eastAsia="Times New Roman" w:hAnsi="Arial" w:cs="Arial"/>
                <w:b/>
                <w:sz w:val="20"/>
                <w:szCs w:val="20"/>
                <w:lang w:val="en-AU"/>
              </w:rPr>
              <w:t>Std</w:t>
            </w:r>
            <w:proofErr w:type="spellEnd"/>
            <w:r>
              <w:rPr>
                <w:rFonts w:ascii="Arial" w:eastAsia="Times New Roman" w:hAnsi="Arial" w:cs="Arial"/>
                <w:b/>
                <w:sz w:val="20"/>
                <w:szCs w:val="20"/>
                <w:lang w:val="en-AU"/>
              </w:rPr>
              <w:t xml:space="preserve"> Deviation</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Error DRGs Unrelated Operating Room DRGs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$8,245.32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$56.86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$38,303.71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$8,849.60</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2648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$7,052.72</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$50.02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$60,021.05</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$10,119.55</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Pre-MDC</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321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$8,314.53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$57.72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$59,697.20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$11,591.69</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5541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$8,751.39</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$66.29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$60,467.01</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$10,982.61</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nervous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4953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$6,980.81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$54.57</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$59,431.31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$8,591.50</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128595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$7,777.75</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$50.02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$60,561.96</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$8,748.67</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eye</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$6,007.07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$65.82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$36,243.35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$5,299.52</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14711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$5,310.42</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$56,378.25</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$4,923.99</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ear, nose, mouth and throat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5099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$5,203.91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$64.36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$58,240.14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$5,354.78</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80206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$4,657.84</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$50.82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$60,561.17</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$5,827.99</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respiratory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11956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$6,501.13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$53.63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$60,157.38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$7,416.38</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197251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$6,455.38</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$50.18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$60,544.50</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$7,349.72</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circulatory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8971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$7,705.55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$59,932.53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$9,515.22</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247846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$7,183.64</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$50.41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$60,536.78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$9,140.28</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digestive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7615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$5,642.77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$53.80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$60,511.98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$6,551.88</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226476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$6,234.60</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$50.02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$60,538.48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$7,317.15</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hepatobiliary system and pancreas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3575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$7,284.13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$103.78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$59,492.03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$7,129.50</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65474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$8,001.50</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$57.23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$60,551.86</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$7,677.98</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musculoskeletal system and connective tissue</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7661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$8,364.63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$53.80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$60,312.31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$8,168.11</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206943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$9,548.73</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$50.50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$60,560.03</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$8,868.25</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skin, subcutaneous tissue and breast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5927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$5,835.86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$57,909.66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$5,797.84</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80738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$5,828.86</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$50.82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$60,424.68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$5,928.48</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nutritional and metabolic diseases and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2330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$8,496.61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$50.06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$59,996.09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$8,559.58</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41298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$7,514.74</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$60,206.93</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$7,404.76</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11</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kidney and urinary tract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4144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$6,746.75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$63.54</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$57,118.22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$7,292.49</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94753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$6,137.93</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$50.50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$60,447.92</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$7,036.35</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male reproductive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$5,947.42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$135.86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$43,898.91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$5,276.38</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17441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$7,071.88</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$51.81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$59,598.85</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$6,219.08</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female reproductive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1753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$6,668.37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$122.16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$54,717.82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$6,236.67</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38222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$7,150.59</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$53.52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$60,213.63</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$5,471.56</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Pregnancy, childbirth and the </w:t>
            </w:r>
            <w:proofErr w:type="spellStart"/>
            <w:r>
              <w:rPr>
                <w:rFonts w:ascii="Arial" w:eastAsia="Times New Roman" w:hAnsi="Arial" w:cs="Arial"/>
                <w:sz w:val="20"/>
                <w:szCs w:val="20"/>
                <w:lang w:val="en-AU"/>
              </w:rPr>
              <w:t>puerperium</w:t>
            </w:r>
            <w:proofErr w:type="spellEnd"/>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14376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$6,458.30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$52.11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$58,666.96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$5,936.40</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224349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$5,922.24</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$50.30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$59,889.24</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$4,396.41</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Newborns and other neonates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3620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$8,705.13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$70.16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$60,236.62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$9,584.86</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44875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$7,619.82</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$57.74</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$60,340.78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$8,850.03</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blood and blood forming organs and immunological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977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$6,082.77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$92.89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$48,049.92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$6,208.25</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26647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$5,896.38</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$51.76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$60,498.27</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$6,713.32</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Neoplastic disorders (Haematological and solid neoplasms)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290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$13,252.69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$866.43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$58,032.75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$11,782.47</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17344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$12,917.10</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$102.31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$60,566.18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$11,575.99</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Infectious and parasitic diseases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2123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$8,142.26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$84.83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$58,095.70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$9,454.56</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40666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$7,163.94</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$51.31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$60,502.89</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$8,385.30</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Mental diseases and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4142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$8,708.23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$51.73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$60,143.76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$9,115.84</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61608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$8,402.53</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$50.35</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$60,495.52</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$8,734.61</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Alcohol/drug use and alcohol/drug induced organic mental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2331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$4,328.34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$51.81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$48,705.89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$5,528.49</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16903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$4,936.99</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$51.58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$60,493.58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$5,311.10</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Injuries, poisoning and toxic effects of drugs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4533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$5,440.28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$53.40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$58,503.07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$7,011.62</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76250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$5,265.43</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$50.01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$60,540.78</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$7,246.54</w:t>
            </w:r>
          </w:p>
        </w:tc>
      </w:tr>
      <w:tr w:rsidR="006C44B6" w:rsidTr="00F12E1B">
        <w:trPr>
          <w:trHeight w:val="28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Burns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456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$11,196.75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$82.41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$54,728.43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$11,125.96</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4017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$9,389.07</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$51.95</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$60,079.66</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$10,688.95</w:t>
            </w:r>
          </w:p>
        </w:tc>
      </w:tr>
      <w:tr w:rsidR="006C44B6" w:rsidTr="00F12E1B">
        <w:trPr>
          <w:trHeight w:val="560"/>
          <w:jc w:val="center"/>
        </w:trPr>
        <w:tc>
          <w:tcPr>
            <w:tcW w:w="724" w:type="dxa"/>
            <w:tcBorders>
              <w:top w:val="nil"/>
              <w:left w:val="single" w:sz="4" w:space="0" w:color="auto"/>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3212"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Factors influencing health status and other contacts with health services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1138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$5,394.73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$57.54</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$59,195.14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$6,709.85</w:t>
            </w:r>
          </w:p>
        </w:tc>
        <w:tc>
          <w:tcPr>
            <w:tcW w:w="10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20342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$4,798.13</w:t>
            </w:r>
          </w:p>
        </w:tc>
        <w:tc>
          <w:tcPr>
            <w:tcW w:w="102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$50.44</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$59,982.85</w:t>
            </w:r>
          </w:p>
        </w:tc>
        <w:tc>
          <w:tcPr>
            <w:tcW w:w="1239"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$5,587.36</w:t>
            </w:r>
          </w:p>
        </w:tc>
      </w:tr>
    </w:tbl>
    <w:p w:rsidR="006C44B6" w:rsidRDefault="006C44B6" w:rsidP="006C44B6">
      <w:pPr>
        <w:rPr>
          <w:rFonts w:ascii="Arial" w:hAnsi="Arial" w:cs="Arial"/>
        </w:rPr>
      </w:pPr>
    </w:p>
    <w:tbl>
      <w:tblPr>
        <w:tblW w:w="15645" w:type="dxa"/>
        <w:jc w:val="center"/>
        <w:tblLayout w:type="fixed"/>
        <w:tblLook w:val="04A0" w:firstRow="1" w:lastRow="0" w:firstColumn="1" w:lastColumn="0" w:noHBand="0" w:noVBand="1"/>
      </w:tblPr>
      <w:tblGrid>
        <w:gridCol w:w="723"/>
        <w:gridCol w:w="2873"/>
        <w:gridCol w:w="1134"/>
        <w:gridCol w:w="1276"/>
        <w:gridCol w:w="1134"/>
        <w:gridCol w:w="1276"/>
        <w:gridCol w:w="1276"/>
        <w:gridCol w:w="1007"/>
        <w:gridCol w:w="1276"/>
        <w:gridCol w:w="1134"/>
        <w:gridCol w:w="1275"/>
        <w:gridCol w:w="1261"/>
      </w:tblGrid>
      <w:tr w:rsidR="006C44B6" w:rsidTr="00F12E1B">
        <w:trPr>
          <w:trHeight w:val="280"/>
          <w:tblHeader/>
          <w:jc w:val="center"/>
        </w:trPr>
        <w:tc>
          <w:tcPr>
            <w:tcW w:w="3596" w:type="dxa"/>
            <w:gridSpan w:val="2"/>
            <w:tcBorders>
              <w:top w:val="single" w:sz="4" w:space="0" w:color="auto"/>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Round 17</w:t>
            </w:r>
          </w:p>
        </w:tc>
        <w:tc>
          <w:tcPr>
            <w:tcW w:w="6096" w:type="dxa"/>
            <w:gridSpan w:val="5"/>
            <w:tcBorders>
              <w:top w:val="single" w:sz="4" w:space="0" w:color="auto"/>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Indigenous</w:t>
            </w:r>
          </w:p>
        </w:tc>
        <w:tc>
          <w:tcPr>
            <w:tcW w:w="5953" w:type="dxa"/>
            <w:gridSpan w:val="5"/>
            <w:tcBorders>
              <w:top w:val="single" w:sz="4" w:space="0" w:color="auto"/>
              <w:left w:val="nil"/>
              <w:bottom w:val="single" w:sz="4" w:space="0" w:color="auto"/>
              <w:right w:val="single" w:sz="4" w:space="0" w:color="auto"/>
            </w:tcBorders>
            <w:shd w:val="clear" w:color="auto" w:fill="CCCCCC"/>
            <w:noWrap/>
            <w:hideMark/>
          </w:tcPr>
          <w:p w:rsidR="006C44B6" w:rsidRDefault="007A097D">
            <w:pPr>
              <w:jc w:val="center"/>
              <w:rPr>
                <w:rFonts w:ascii="Arial" w:eastAsia="Times New Roman" w:hAnsi="Arial" w:cs="Arial"/>
                <w:b/>
                <w:sz w:val="20"/>
                <w:szCs w:val="20"/>
                <w:lang w:val="en-AU"/>
              </w:rPr>
            </w:pPr>
            <w:r>
              <w:rPr>
                <w:rFonts w:ascii="Arial" w:eastAsia="Times New Roman" w:hAnsi="Arial" w:cs="Arial"/>
                <w:b/>
                <w:sz w:val="20"/>
                <w:szCs w:val="20"/>
                <w:lang w:val="en-AU"/>
              </w:rPr>
              <w:t>Non-Indigenous</w:t>
            </w:r>
          </w:p>
        </w:tc>
      </w:tr>
      <w:tr w:rsidR="00F12E1B" w:rsidTr="00F12E1B">
        <w:trPr>
          <w:trHeight w:val="280"/>
          <w:tblHeader/>
          <w:jc w:val="center"/>
        </w:trPr>
        <w:tc>
          <w:tcPr>
            <w:tcW w:w="723" w:type="dxa"/>
            <w:tcBorders>
              <w:top w:val="nil"/>
              <w:left w:val="single" w:sz="4" w:space="0" w:color="auto"/>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lastRenderedPageBreak/>
              <w:t>MDC</w:t>
            </w:r>
          </w:p>
        </w:tc>
        <w:tc>
          <w:tcPr>
            <w:tcW w:w="2873"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Description</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276"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Minimum</w:t>
            </w:r>
          </w:p>
        </w:tc>
        <w:tc>
          <w:tcPr>
            <w:tcW w:w="1276"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Maximum</w:t>
            </w:r>
          </w:p>
        </w:tc>
        <w:tc>
          <w:tcPr>
            <w:tcW w:w="1276"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proofErr w:type="spellStart"/>
            <w:r>
              <w:rPr>
                <w:rFonts w:ascii="Arial" w:eastAsia="Times New Roman" w:hAnsi="Arial" w:cs="Arial"/>
                <w:b/>
                <w:sz w:val="20"/>
                <w:szCs w:val="20"/>
                <w:lang w:val="en-AU"/>
              </w:rPr>
              <w:t>Std</w:t>
            </w:r>
            <w:proofErr w:type="spellEnd"/>
            <w:r>
              <w:rPr>
                <w:rFonts w:ascii="Arial" w:eastAsia="Times New Roman" w:hAnsi="Arial" w:cs="Arial"/>
                <w:b/>
                <w:sz w:val="20"/>
                <w:szCs w:val="20"/>
                <w:lang w:val="en-AU"/>
              </w:rPr>
              <w:t xml:space="preserve"> Deviation</w:t>
            </w:r>
          </w:p>
        </w:tc>
        <w:tc>
          <w:tcPr>
            <w:tcW w:w="1007"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276"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1134"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Minimum</w:t>
            </w:r>
          </w:p>
        </w:tc>
        <w:tc>
          <w:tcPr>
            <w:tcW w:w="1275"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r>
              <w:rPr>
                <w:rFonts w:ascii="Arial" w:eastAsia="Times New Roman" w:hAnsi="Arial" w:cs="Arial"/>
                <w:b/>
                <w:sz w:val="20"/>
                <w:szCs w:val="20"/>
                <w:lang w:val="en-AU"/>
              </w:rPr>
              <w:t>Maximum</w:t>
            </w:r>
          </w:p>
        </w:tc>
        <w:tc>
          <w:tcPr>
            <w:tcW w:w="1261" w:type="dxa"/>
            <w:tcBorders>
              <w:top w:val="nil"/>
              <w:left w:val="nil"/>
              <w:bottom w:val="single" w:sz="4" w:space="0" w:color="auto"/>
              <w:right w:val="single" w:sz="4" w:space="0" w:color="auto"/>
            </w:tcBorders>
            <w:shd w:val="clear" w:color="auto" w:fill="CCCCCC"/>
            <w:noWrap/>
            <w:hideMark/>
          </w:tcPr>
          <w:p w:rsidR="006C44B6" w:rsidRDefault="006C44B6">
            <w:pPr>
              <w:jc w:val="center"/>
              <w:rPr>
                <w:rFonts w:ascii="Arial" w:eastAsia="Times New Roman" w:hAnsi="Arial" w:cs="Arial"/>
                <w:b/>
                <w:sz w:val="20"/>
                <w:szCs w:val="20"/>
                <w:lang w:val="en-AU"/>
              </w:rPr>
            </w:pPr>
            <w:proofErr w:type="spellStart"/>
            <w:r>
              <w:rPr>
                <w:rFonts w:ascii="Arial" w:eastAsia="Times New Roman" w:hAnsi="Arial" w:cs="Arial"/>
                <w:b/>
                <w:sz w:val="20"/>
                <w:szCs w:val="20"/>
                <w:lang w:val="en-AU"/>
              </w:rPr>
              <w:t>Std</w:t>
            </w:r>
            <w:proofErr w:type="spellEnd"/>
            <w:r>
              <w:rPr>
                <w:rFonts w:ascii="Arial" w:eastAsia="Times New Roman" w:hAnsi="Arial" w:cs="Arial"/>
                <w:b/>
                <w:sz w:val="20"/>
                <w:szCs w:val="20"/>
                <w:lang w:val="en-AU"/>
              </w:rPr>
              <w:t xml:space="preserve"> Deviation</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highlight w:val="green"/>
                <w:lang w:val="en-AU"/>
              </w:rPr>
            </w:pPr>
            <w:r>
              <w:rPr>
                <w:rFonts w:ascii="Arial" w:eastAsia="Times New Roman" w:hAnsi="Arial" w:cs="Arial"/>
                <w:sz w:val="20"/>
                <w:szCs w:val="20"/>
                <w:lang w:val="en-AU"/>
              </w:rPr>
              <w:t>Error DRGs Unrelated Operating Room DRGs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18"/>
                <w:szCs w:val="18"/>
                <w:highlight w:val="green"/>
                <w:lang w:val="en-AU"/>
              </w:rPr>
            </w:pPr>
            <w:r>
              <w:rPr>
                <w:rFonts w:ascii="Arial" w:eastAsia="Times New Roman" w:hAnsi="Arial" w:cs="Arial"/>
                <w:sz w:val="18"/>
                <w:szCs w:val="18"/>
              </w:rPr>
              <w:t>3601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18"/>
                <w:szCs w:val="18"/>
                <w:highlight w:val="green"/>
                <w:lang w:val="en-AU"/>
              </w:rPr>
            </w:pPr>
            <w:r>
              <w:rPr>
                <w:rFonts w:ascii="Arial" w:eastAsia="Times New Roman" w:hAnsi="Arial" w:cs="Arial"/>
                <w:sz w:val="18"/>
                <w:szCs w:val="18"/>
              </w:rPr>
              <w:t>$7,517.30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18"/>
                <w:szCs w:val="18"/>
                <w:highlight w:val="green"/>
                <w:lang w:val="en-AU"/>
              </w:rPr>
            </w:pPr>
            <w:r>
              <w:rPr>
                <w:rFonts w:ascii="Arial" w:eastAsia="Times New Roman" w:hAnsi="Arial" w:cs="Arial"/>
                <w:sz w:val="18"/>
                <w:szCs w:val="18"/>
              </w:rPr>
              <w:t>$122.10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18"/>
                <w:szCs w:val="18"/>
                <w:highlight w:val="green"/>
                <w:lang w:val="en-AU"/>
              </w:rPr>
            </w:pPr>
            <w:r>
              <w:rPr>
                <w:rFonts w:ascii="Arial" w:eastAsia="Times New Roman" w:hAnsi="Arial" w:cs="Arial"/>
                <w:sz w:val="18"/>
                <w:szCs w:val="18"/>
              </w:rPr>
              <w:t>$60,978.26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18"/>
                <w:szCs w:val="18"/>
                <w:highlight w:val="green"/>
                <w:lang w:val="en-AU"/>
              </w:rPr>
            </w:pPr>
            <w:r>
              <w:rPr>
                <w:rFonts w:ascii="Arial" w:eastAsia="Times New Roman" w:hAnsi="Arial" w:cs="Arial"/>
                <w:sz w:val="18"/>
                <w:szCs w:val="18"/>
              </w:rPr>
              <w:t>$8,007.81</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highlight w:val="green"/>
                <w:lang w:val="en-AU"/>
              </w:rPr>
            </w:pPr>
            <w:r>
              <w:rPr>
                <w:rFonts w:ascii="Arial" w:eastAsia="Times New Roman" w:hAnsi="Arial" w:cs="Arial"/>
                <w:sz w:val="20"/>
                <w:szCs w:val="20"/>
              </w:rPr>
              <w:t>28539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highlight w:val="green"/>
                <w:lang w:val="en-AU"/>
              </w:rPr>
            </w:pPr>
            <w:r>
              <w:rPr>
                <w:rFonts w:ascii="Arial" w:eastAsia="Times New Roman" w:hAnsi="Arial" w:cs="Arial"/>
                <w:sz w:val="20"/>
                <w:szCs w:val="20"/>
              </w:rPr>
              <w:t>$6,850.74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highlight w:val="green"/>
                <w:lang w:val="en-AU"/>
              </w:rPr>
            </w:pPr>
            <w:r>
              <w:rPr>
                <w:rFonts w:ascii="Arial" w:eastAsia="Times New Roman" w:hAnsi="Arial" w:cs="Arial"/>
                <w:sz w:val="20"/>
                <w:szCs w:val="20"/>
              </w:rPr>
              <w:t>$52.08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highlight w:val="green"/>
                <w:lang w:val="en-AU"/>
              </w:rPr>
            </w:pPr>
            <w:r>
              <w:rPr>
                <w:rFonts w:ascii="Arial" w:eastAsia="Times New Roman" w:hAnsi="Arial" w:cs="Arial"/>
                <w:sz w:val="20"/>
                <w:szCs w:val="20"/>
              </w:rPr>
              <w:t>$61,520.65</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highlight w:val="green"/>
                <w:lang w:val="en-AU"/>
              </w:rPr>
            </w:pPr>
            <w:r>
              <w:rPr>
                <w:rFonts w:ascii="Arial" w:eastAsia="Times New Roman" w:hAnsi="Arial" w:cs="Arial"/>
                <w:sz w:val="20"/>
                <w:szCs w:val="20"/>
              </w:rPr>
              <w:t>$6,151.47</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00</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Pre-MDC</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$29,071.56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$1,681.01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$61,768.06</w:t>
            </w:r>
          </w:p>
        </w:tc>
        <w:tc>
          <w:tcPr>
            <w:tcW w:w="1276" w:type="dxa"/>
            <w:tcBorders>
              <w:top w:val="nil"/>
              <w:left w:val="nil"/>
              <w:bottom w:val="single" w:sz="4" w:space="0" w:color="auto"/>
              <w:right w:val="single" w:sz="4" w:space="0" w:color="auto"/>
            </w:tcBorders>
            <w:noWrap/>
            <w:vAlign w:val="bottom"/>
            <w:hideMark/>
          </w:tcPr>
          <w:p w:rsidR="006C44B6" w:rsidRDefault="006C44B6" w:rsidP="00F12E1B">
            <w:pPr>
              <w:jc w:val="right"/>
              <w:rPr>
                <w:rFonts w:ascii="Arial" w:eastAsia="Times New Roman" w:hAnsi="Arial" w:cs="Arial"/>
                <w:sz w:val="20"/>
                <w:szCs w:val="20"/>
                <w:lang w:val="en-AU"/>
              </w:rPr>
            </w:pPr>
            <w:r>
              <w:rPr>
                <w:rFonts w:ascii="Arial" w:eastAsia="Times New Roman" w:hAnsi="Arial" w:cs="Arial"/>
                <w:sz w:val="20"/>
                <w:szCs w:val="20"/>
              </w:rPr>
              <w:t>$16,769.56</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$24,310.22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$773.61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$62,010.43</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$17,078.68</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01</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nervous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$7,592.05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$61,425.40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$8,719.66</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127943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$8,203.08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$57.72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$62,040.57</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$8,397.27</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02</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eye</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$6,459.49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$140.36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$45,285.92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$5,882.40</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13409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$5,586.31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$52.01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$62,039.34</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$4,940.50</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03</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ear, nose, mouth and throat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$5,309.46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$55,237.73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$5,167.94</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77517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$4,949.68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$50.48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$62,046.09</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$5,607.30</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04</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respiratory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11188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$7,259.87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$61,408.08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$7,626.33</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189362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$7,129.04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$59.04</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$62,131.85</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$7,244.54</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05</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circulatory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8695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$8,129.02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$61,947.70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$9,413.32</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237410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$7,707.30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$52.28</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$62,133.13</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$8,973.28</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06</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digestive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$6,312.35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$61,993.33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$6,513.74</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223281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$6,756.47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$50.63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$62,128.70</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$7,119.81</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07</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hepatobiliary system and pancreas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3665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$7,892.49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$143.97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$59,357.46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$6,951.93</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63431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$8,417.22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$80.49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$62,075.19</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$7,390.28</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08</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musculoskeletal system and connective tissue</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$8,764.93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$60,061.06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$7,959.34</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194732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$9,971.98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$51.49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$62,075.47</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$8,679.87</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09</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skin, subcutaneous tissue and breast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$6,240.59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$59,455.24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$5,794.97</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79103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$6,119.28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$50.19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$61,680.75</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$5,646.02</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10</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nutritional and metabolic diseases and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2412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$8,978.38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$162.51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$59,684.82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$8,445.82</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40081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$7,875.65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$57.19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$62,014.99</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$7,166.61</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11</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kidney and urinary tract</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4388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$6,725.95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$60,888.31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$6,952.33</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95799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$6,565.96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$52.95</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$62,117.75</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$6,945.72</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12</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male reproductive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$6,450.46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$235.01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$39,414.88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$5,509.68</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15850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$7,609.54</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$62.41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$60,912.80</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$7,178.86</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13</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female reproductive system</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1679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$7,430.92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$152.88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$58,754.62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$6,213.13</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36269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$7,611.80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$74.99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$61,497.88</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$5,519.25</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14</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Pregnancy, childbirth and the </w:t>
            </w:r>
            <w:proofErr w:type="spellStart"/>
            <w:r>
              <w:rPr>
                <w:rFonts w:ascii="Arial" w:eastAsia="Times New Roman" w:hAnsi="Arial" w:cs="Arial"/>
                <w:sz w:val="20"/>
                <w:szCs w:val="20"/>
                <w:lang w:val="en-AU"/>
              </w:rPr>
              <w:t>puerperium</w:t>
            </w:r>
            <w:proofErr w:type="spellEnd"/>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13610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$6,607.28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$62,129.26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$6,021.80</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218619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$5,937.75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$51.45</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$61,923.29</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$4,247.18</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15</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Newborns and other neonates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3628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$9,157.46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$144.92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$60,615.46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$9,384.32</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44716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$7,767.59</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$50.11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$62,030.80</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$8,453.95</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16</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blood and blood forming organs and immunological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$6,818.22</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$203.98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$60,488.64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$6,947.78</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25636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$6,289.73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$52.12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$62,033.00</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$6,381.09</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17</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Neoplastic disorders (Haematological and solid neoplasms)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$13,641.88</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$420.16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$59,567.30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$11,721.94</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15472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$12,491.87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$96.12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$61,467.99</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$10,905.43</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18</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Infectious and parasitic diseases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2128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$8,356.63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$66.35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$61,276.74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$9,261.59</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40854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$7,816.01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$52.01</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$61,903.13</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$8,146.95</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19</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Mental diseases and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4262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$9,117.11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$61,576.70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$8,653.81</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59176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$8,906.90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$51.03</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$62,027.25</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$8,158.42</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20</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Alcohol/drug use and alcohol/drug induced organic mental disorders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2474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$4,887.55</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$59,538.39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$5,097.80</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16739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$5,635.60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$51.96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$61,099.43</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$5,237.91</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21</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Injuries, poisoning and toxic effects of drugs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4581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$5,805.13</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$63.08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$58,209.09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$6,745.22</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75317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$5,865.20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$51.96</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$62,082.54</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$7,072.92</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22</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Burns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$11,871.36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$196.93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$62,073.91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$12,388.77</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3569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$9,475.77</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$102.32</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$61,626.31</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$10,710.72</w:t>
            </w:r>
          </w:p>
        </w:tc>
      </w:tr>
      <w:tr w:rsidR="00F12E1B" w:rsidTr="00F12E1B">
        <w:trPr>
          <w:trHeight w:val="56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23</w:t>
            </w:r>
          </w:p>
        </w:tc>
        <w:tc>
          <w:tcPr>
            <w:tcW w:w="2873" w:type="dxa"/>
            <w:tcBorders>
              <w:top w:val="nil"/>
              <w:left w:val="nil"/>
              <w:bottom w:val="single" w:sz="4" w:space="0" w:color="auto"/>
              <w:right w:val="single" w:sz="4" w:space="0" w:color="auto"/>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Factors influencing health status and other contacts with health services</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$5,724.11</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$68.37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$58,887.55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$6,589.97</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20596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$5,084.16</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$50.10</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$61,014.71</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$5,298.49</w:t>
            </w:r>
          </w:p>
        </w:tc>
      </w:tr>
      <w:tr w:rsidR="00F12E1B" w:rsidTr="00F12E1B">
        <w:trPr>
          <w:trHeight w:val="280"/>
          <w:jc w:val="center"/>
        </w:trPr>
        <w:tc>
          <w:tcPr>
            <w:tcW w:w="723"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24</w:t>
            </w:r>
          </w:p>
        </w:tc>
        <w:tc>
          <w:tcPr>
            <w:tcW w:w="2873"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$9,135.50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$321.45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$18,453.52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$7,236.26</w:t>
            </w:r>
          </w:p>
        </w:tc>
        <w:tc>
          <w:tcPr>
            <w:tcW w:w="100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$5,915.00</w:t>
            </w:r>
          </w:p>
        </w:tc>
        <w:tc>
          <w:tcPr>
            <w:tcW w:w="1134"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$121.19</w:t>
            </w:r>
          </w:p>
        </w:tc>
        <w:tc>
          <w:tcPr>
            <w:tcW w:w="1275"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$54,660.48</w:t>
            </w:r>
          </w:p>
        </w:tc>
        <w:tc>
          <w:tcPr>
            <w:tcW w:w="1261"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rPr>
              <w:t>$8,597.48</w:t>
            </w:r>
          </w:p>
        </w:tc>
      </w:tr>
    </w:tbl>
    <w:p w:rsidR="006C44B6" w:rsidRDefault="006C44B6" w:rsidP="006C44B6">
      <w:pPr>
        <w:rPr>
          <w:rFonts w:ascii="Arial" w:hAnsi="Arial" w:cs="Arial"/>
          <w:lang w:val="en-AU" w:eastAsia="en-AU"/>
        </w:rPr>
      </w:pPr>
    </w:p>
    <w:p w:rsidR="006C44B6" w:rsidRDefault="006C44B6" w:rsidP="00287791">
      <w:pPr>
        <w:pStyle w:val="EYHeading1"/>
        <w:numPr>
          <w:ilvl w:val="0"/>
          <w:numId w:val="0"/>
        </w:numPr>
        <w:ind w:left="850"/>
        <w:rPr>
          <w:lang w:val="en-US"/>
        </w:rPr>
      </w:pPr>
      <w:bookmarkStart w:id="100" w:name="_Toc426115415"/>
      <w:bookmarkStart w:id="101" w:name="_Toc426117651"/>
      <w:r>
        <w:lastRenderedPageBreak/>
        <w:t>Appendix E: T Statistics for Overnight acute admitted services by Major Diagnostic Category</w:t>
      </w:r>
      <w:bookmarkEnd w:id="100"/>
      <w:bookmarkEnd w:id="101"/>
    </w:p>
    <w:tbl>
      <w:tblPr>
        <w:tblW w:w="13230"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Appendix E: T Statistics for Overnight acute admitted services by Major Diagnostic Category"/>
      </w:tblPr>
      <w:tblGrid>
        <w:gridCol w:w="759"/>
        <w:gridCol w:w="2423"/>
        <w:gridCol w:w="1275"/>
        <w:gridCol w:w="1134"/>
        <w:gridCol w:w="1276"/>
        <w:gridCol w:w="1276"/>
        <w:gridCol w:w="850"/>
        <w:gridCol w:w="992"/>
        <w:gridCol w:w="1418"/>
        <w:gridCol w:w="1827"/>
      </w:tblGrid>
      <w:tr w:rsidR="006C44B6" w:rsidTr="009A7208">
        <w:trPr>
          <w:trHeight w:val="320"/>
          <w:tblHeader/>
          <w:jc w:val="center"/>
        </w:trPr>
        <w:tc>
          <w:tcPr>
            <w:tcW w:w="760"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jc w:val="right"/>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MDC</w:t>
            </w:r>
          </w:p>
        </w:tc>
        <w:tc>
          <w:tcPr>
            <w:tcW w:w="2425"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Description</w:t>
            </w:r>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Indigenous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7A097D">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Non-Indigenous</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850"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T Value</w:t>
            </w:r>
          </w:p>
        </w:tc>
        <w:tc>
          <w:tcPr>
            <w:tcW w:w="992"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pPr>
              <w:rPr>
                <w:rFonts w:ascii="Arial" w:eastAsia="Times New Roman" w:hAnsi="Arial" w:cs="Arial"/>
                <w:b/>
                <w:color w:val="000000"/>
                <w:sz w:val="20"/>
                <w:szCs w:val="20"/>
                <w:lang w:val="en-AU"/>
              </w:rPr>
            </w:pPr>
            <w:proofErr w:type="spellStart"/>
            <w:r>
              <w:rPr>
                <w:rFonts w:ascii="Arial" w:eastAsia="Times New Roman" w:hAnsi="Arial" w:cs="Arial"/>
                <w:b/>
                <w:color w:val="000000"/>
                <w:sz w:val="20"/>
                <w:szCs w:val="20"/>
                <w:lang w:val="en-AU"/>
              </w:rPr>
              <w:t>Pr</w:t>
            </w:r>
            <w:proofErr w:type="spellEnd"/>
            <w:r>
              <w:rPr>
                <w:rFonts w:ascii="Arial" w:eastAsia="Times New Roman" w:hAnsi="Arial" w:cs="Arial"/>
                <w:b/>
                <w:color w:val="000000"/>
                <w:sz w:val="20"/>
                <w:szCs w:val="20"/>
                <w:lang w:val="en-AU"/>
              </w:rPr>
              <w:t xml:space="preserve"> &gt; |t|</w:t>
            </w:r>
          </w:p>
        </w:tc>
        <w:tc>
          <w:tcPr>
            <w:tcW w:w="1418" w:type="dxa"/>
            <w:tcBorders>
              <w:top w:val="single" w:sz="4" w:space="0" w:color="B0B7BB"/>
              <w:left w:val="single" w:sz="4" w:space="0" w:color="B0B7BB"/>
              <w:bottom w:val="single" w:sz="4" w:space="0" w:color="B0B7BB"/>
              <w:right w:val="single" w:sz="4" w:space="0" w:color="B0B7BB"/>
            </w:tcBorders>
            <w:shd w:val="clear" w:color="auto" w:fill="CCCCCC"/>
            <w:noWrap/>
            <w:vAlign w:val="bottom"/>
            <w:hideMark/>
          </w:tcPr>
          <w:p w:rsidR="006C44B6" w:rsidRDefault="006C44B6" w:rsidP="00984D31">
            <w:pPr>
              <w:rPr>
                <w:rFonts w:ascii="Arial" w:eastAsia="Times New Roman" w:hAnsi="Arial" w:cs="Arial"/>
                <w:b/>
                <w:color w:val="000000"/>
                <w:sz w:val="20"/>
                <w:szCs w:val="20"/>
                <w:lang w:val="en-AU"/>
              </w:rPr>
            </w:pPr>
            <w:r>
              <w:rPr>
                <w:rFonts w:ascii="Arial" w:eastAsia="Times New Roman" w:hAnsi="Arial" w:cs="Arial"/>
                <w:b/>
                <w:color w:val="000000"/>
                <w:sz w:val="20"/>
                <w:szCs w:val="20"/>
              </w:rPr>
              <w:t>Hypothesis (</w:t>
            </w:r>
            <w:r>
              <w:rPr>
                <w:rFonts w:ascii="Arial" w:hAnsi="Arial" w:cs="Arial"/>
                <w:b/>
                <w:sz w:val="20"/>
                <w:szCs w:val="20"/>
              </w:rPr>
              <w:t>H</w:t>
            </w:r>
            <w:r>
              <w:rPr>
                <w:rFonts w:ascii="Arial" w:hAnsi="Arial" w:cs="Arial"/>
                <w:b/>
                <w:sz w:val="20"/>
                <w:szCs w:val="20"/>
                <w:vertAlign w:val="subscript"/>
              </w:rPr>
              <w:t>0</w:t>
            </w:r>
            <w:r>
              <w:rPr>
                <w:rFonts w:ascii="Arial" w:hAnsi="Arial" w:cs="Arial"/>
                <w:b/>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hAnsi="Arial" w:cs="Arial"/>
                <w:b/>
                <w:sz w:val="20"/>
                <w:szCs w:val="20"/>
              </w:rPr>
              <w:t>)</w:t>
            </w:r>
          </w:p>
        </w:tc>
        <w:tc>
          <w:tcPr>
            <w:tcW w:w="1827" w:type="dxa"/>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rPr>
                <w:rFonts w:ascii="Arial" w:eastAsia="Times New Roman" w:hAnsi="Arial" w:cs="Arial"/>
                <w:b/>
                <w:color w:val="000000"/>
                <w:sz w:val="20"/>
                <w:szCs w:val="20"/>
              </w:rPr>
            </w:pPr>
            <w:r>
              <w:rPr>
                <w:rFonts w:ascii="Arial" w:eastAsia="Times New Roman" w:hAnsi="Arial" w:cs="Arial"/>
                <w:b/>
                <w:color w:val="000000"/>
                <w:sz w:val="20"/>
                <w:szCs w:val="20"/>
              </w:rPr>
              <w:t xml:space="preserve">Interpretation (Indigenous cost relative to </w:t>
            </w:r>
            <w:r w:rsidR="007A097D">
              <w:rPr>
                <w:rFonts w:ascii="Arial" w:eastAsia="Times New Roman" w:hAnsi="Arial" w:cs="Arial"/>
                <w:b/>
                <w:color w:val="000000"/>
                <w:sz w:val="20"/>
                <w:szCs w:val="20"/>
              </w:rPr>
              <w:t>Non-Indigenous</w:t>
            </w:r>
            <w:r>
              <w:rPr>
                <w:rFonts w:ascii="Arial" w:eastAsia="Times New Roman" w:hAnsi="Arial" w:cs="Arial"/>
                <w:b/>
                <w:color w:val="000000"/>
                <w:sz w:val="20"/>
                <w:szCs w:val="20"/>
              </w:rPr>
              <w:t xml:space="preserve"> Cost)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Error DRGs Unrelated Operating Room DRGs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140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$8,245.32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2648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$7,052.72</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1.54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0.1250</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84D31">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Pr="00A13AC7">
              <w:rPr>
                <w:rFonts w:ascii="Arial" w:eastAsia="Times New Roman" w:hAnsi="Arial" w:cs="Arial"/>
                <w:color w:val="000000"/>
                <w:sz w:val="20"/>
                <w:szCs w:val="20"/>
              </w:rPr>
              <w:t>(</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sidRPr="00A13AC7">
              <w:rPr>
                <w:rFonts w:ascii="Arial" w:eastAsia="Times New Roman" w:hAnsi="Arial" w:cs="Arial"/>
                <w:color w:val="000000"/>
                <w:sz w:val="20"/>
                <w:szCs w:val="20"/>
              </w:rPr>
              <w:t>)</w:t>
            </w:r>
          </w:p>
        </w:tc>
      </w:tr>
      <w:tr w:rsidR="006C44B6" w:rsidTr="000A0A45">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00</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Pre-MDC</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321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$8,314.53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5541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$8,751.39</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-0.69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0.4898</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984D31">
            <w:pP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984D31" w:rsidRPr="00A13AC7">
              <w:rPr>
                <w:rFonts w:ascii="Arial" w:eastAsia="Times New Roman" w:hAnsi="Arial" w:cs="Arial"/>
                <w:color w:val="000000"/>
                <w:sz w:val="20"/>
                <w:szCs w:val="20"/>
              </w:rPr>
              <w:t>(</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sidR="00984D31" w:rsidRPr="00A13AC7">
              <w:rPr>
                <w:rFonts w:ascii="Arial" w:eastAsia="Times New Roman" w:hAnsi="Arial" w:cs="Arial"/>
                <w:color w:val="000000"/>
                <w:sz w:val="20"/>
                <w:szCs w:val="20"/>
              </w:rPr>
              <w: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01</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nervous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4953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$6,980.81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128595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$7,777.75</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984D31"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Lower </w:t>
            </w:r>
            <w:r w:rsidRPr="00A13AC7">
              <w:rPr>
                <w:rFonts w:ascii="Arial" w:eastAsia="Times New Roman" w:hAnsi="Arial" w:cs="Arial"/>
                <w:color w:val="000000"/>
                <w:sz w:val="20"/>
                <w:szCs w:val="20"/>
              </w:rPr>
              <w:t>(</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sidRPr="00A13AC7">
              <w:rPr>
                <w:rFonts w:ascii="Arial" w:eastAsia="Times New Roman" w:hAnsi="Arial" w:cs="Arial"/>
                <w:color w:val="000000"/>
                <w:sz w:val="20"/>
                <w:szCs w:val="20"/>
              </w:rPr>
              <w:t>)</w:t>
            </w:r>
          </w:p>
        </w:tc>
      </w:tr>
      <w:tr w:rsidR="006C44B6" w:rsidTr="000A0A45">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02</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eye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724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$6,007.07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14711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$5,310.42</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3.46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0.0006</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03</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ear, nose, mouth and throat</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5099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$5,203.91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80206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$4,657.84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7.02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04</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respiratory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11956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$6,501.13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197251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$6,455.38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0.66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0.5089</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A13AC7">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r>
            <w:r w:rsidR="00A13AC7">
              <w:rPr>
                <w:rFonts w:ascii="Arial" w:eastAsia="Times New Roman" w:hAnsi="Arial" w:cs="Arial"/>
                <w:color w:val="000000"/>
                <w:sz w:val="20"/>
                <w:szCs w:val="20"/>
              </w:rPr>
              <w:t>(</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sidR="00A13AC7">
              <w:rPr>
                <w:rStyle w:val="IntenseReference"/>
                <w:rFonts w:ascii="Arial" w:hAnsi="Arial" w:cs="Arial"/>
                <w:b w:val="0"/>
                <w:bCs w:val="0"/>
                <w:i w:val="0"/>
                <w:smallCaps w:val="0"/>
                <w:color w:val="000000" w:themeColor="text1"/>
                <w:sz w:val="20"/>
                <w:szCs w:val="20"/>
                <w:vertAlign w:val="subscript"/>
              </w:rPr>
              <w: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05</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circulatory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8971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$7,705.55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247846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$7,183.64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5.11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A0A45">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06</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digestive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7615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$5,642.77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226476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$6,234.60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-7.72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0A0A45">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07</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rPr>
                <w:rFonts w:ascii="Arial" w:eastAsia="Times New Roman" w:hAnsi="Arial" w:cs="Arial"/>
                <w:sz w:val="20"/>
                <w:szCs w:val="20"/>
                <w:lang w:val="en-AU"/>
              </w:rPr>
            </w:pPr>
            <w:r>
              <w:rPr>
                <w:rFonts w:ascii="Arial" w:eastAsia="Times New Roman" w:hAnsi="Arial" w:cs="Arial"/>
                <w:sz w:val="20"/>
                <w:szCs w:val="20"/>
                <w:lang w:val="en-AU"/>
              </w:rPr>
              <w:t>Diseases and disorders of the hepatobiliary system and pancreas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3575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$7,284.13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65474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$8,001.50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-5.83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0A45">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1</w:t>
            </w:r>
            <w:r w:rsidR="000A0A45">
              <w:rPr>
                <w:rStyle w:val="IntenseReference"/>
                <w:rFonts w:asciiTheme="majorHAnsi" w:hAnsiTheme="majorHAnsi" w:cs="Times New Roman"/>
                <w:b w:val="0"/>
                <w:bCs w:val="0"/>
                <w:smallCaps w:val="0"/>
                <w:color w:val="000000" w:themeColor="text1"/>
                <w:sz w:val="22"/>
                <w:szCs w:val="22"/>
                <w:vertAlign w:val="subscript"/>
              </w:rPr>
              <w:t xml:space="preserve"> </w:t>
            </w:r>
            <w:r w:rsidR="000A0A45">
              <w:rPr>
                <w:rStyle w:val="IntenseReference"/>
                <w:rFonts w:asciiTheme="majorHAnsi" w:hAnsiTheme="majorHAnsi" w:cs="Times New Roman"/>
                <w:b w:val="0"/>
                <w:bCs w:val="0"/>
                <w:smallCaps w:val="0"/>
                <w:color w:val="000000" w:themeColor="text1"/>
                <w:sz w:val="20"/>
                <w:szCs w:val="20"/>
              </w:rPr>
              <w:t xml:space="preserve">˂ </w:t>
            </w:r>
            <w:r w:rsidR="000A0A45" w:rsidRPr="009D7F6D">
              <w:rPr>
                <w:rStyle w:val="IntenseReference"/>
                <w:rFonts w:asciiTheme="majorHAnsi" w:hAnsiTheme="majorHAnsi" w:cs="Times New Roman"/>
                <w:b w:val="0"/>
                <w:bCs w:val="0"/>
                <w:smallCaps w:val="0"/>
                <w:color w:val="000000" w:themeColor="text1"/>
                <w:sz w:val="22"/>
                <w:szCs w:val="22"/>
              </w:rPr>
              <w:t>µ</w:t>
            </w:r>
            <w:r w:rsidR="000A0A45"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9A7208">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lastRenderedPageBreak/>
              <w:t>08</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musculoskeletal system and connective tissue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7661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$8,364.63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206943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$9,548.73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-12.42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9A7208">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09</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skin, subcutaneous tissue and breast</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5927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$5,835.86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80738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$5,828.86</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0.9287</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10</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nutritional and metabolic diseases and disorders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2330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$8,496.61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41298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$7,514.74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5.42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11</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kidney and urinary tract</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4144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$6,746.75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94753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$6,137.93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5.27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12</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male reproductive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512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$5,947.42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17441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$7,071.88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-4.73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9A7208">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13</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female reproductive system</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1753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$6,668.37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38222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$7,150.59</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-3.18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0.0015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9A7208">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14</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Pregnancy, childbirth and the </w:t>
            </w:r>
            <w:proofErr w:type="spellStart"/>
            <w:r>
              <w:rPr>
                <w:rFonts w:ascii="Arial" w:eastAsia="Times New Roman" w:hAnsi="Arial" w:cs="Arial"/>
                <w:sz w:val="20"/>
                <w:szCs w:val="20"/>
                <w:lang w:val="en-AU"/>
              </w:rPr>
              <w:t>puerperium</w:t>
            </w:r>
            <w:proofErr w:type="spellEnd"/>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14376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$6,458.30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224349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$5,922.24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10.64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15</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Newborns and other neonates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3620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$8,705.13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44875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$7,619.82</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6.59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396"/>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16</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blood and blood forming organs and immunological disorders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977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$6,082.77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26647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$5,896.38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0.92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0.3583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9A7208">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17</w:t>
            </w:r>
          </w:p>
        </w:tc>
        <w:tc>
          <w:tcPr>
            <w:tcW w:w="2425"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Neoplastic disorders (Haematological and solid neoplasms)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290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$13,252.69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17344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$12,917.10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0.49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0.6245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263EB9">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lastRenderedPageBreak/>
              <w:t>18</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Infectious and parasitic diseases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2123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$8,142.26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40666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$7,163.94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4.67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263EB9">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19</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Mental diseases and disorders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4142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$8,708.23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61608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$8,402.53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2.09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0.0363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263EB9">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20</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Alcohol/drug use and alcohol/drug induced organic mental disorders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2331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$4,328.34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16903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$4,936.99</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-5.01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263EB9">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21</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Injuries, poisoning and toxic effects of drugs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4533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$5,440.28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76250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$5,265.43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1.63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0.1036</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263EB9">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22</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Burns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456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$11,196.75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4017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$9,389.07</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3.41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0.0007</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263EB9">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23</w:t>
            </w:r>
          </w:p>
        </w:tc>
        <w:tc>
          <w:tcPr>
            <w:tcW w:w="2425"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rPr>
                <w:rFonts w:ascii="Arial" w:eastAsia="Times New Roman" w:hAnsi="Arial" w:cs="Arial"/>
                <w:sz w:val="20"/>
                <w:szCs w:val="20"/>
                <w:lang w:val="en-AU"/>
              </w:rPr>
            </w:pPr>
            <w:r>
              <w:rPr>
                <w:rFonts w:ascii="Arial" w:eastAsia="Times New Roman" w:hAnsi="Arial" w:cs="Arial"/>
                <w:sz w:val="20"/>
                <w:szCs w:val="20"/>
                <w:lang w:val="en-AU"/>
              </w:rPr>
              <w:t>Factors influencing health status and other contacts with health services</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1138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$5,394.73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20342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$4,798.13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2.94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0.0033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63EB9">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Higher </w:t>
            </w:r>
            <w:r w:rsidRPr="00D61E8E">
              <w:rPr>
                <w:rFonts w:ascii="Arial" w:eastAsia="Times New Roman" w:hAnsi="Arial" w:cs="Arial"/>
                <w:color w:val="000000"/>
                <w:sz w:val="20"/>
                <w:szCs w:val="20"/>
              </w:rPr>
              <w:t>(</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1</w:t>
            </w:r>
            <w:r w:rsidR="00263EB9">
              <w:rPr>
                <w:rStyle w:val="IntenseReference"/>
                <w:rFonts w:asciiTheme="majorHAnsi" w:hAnsiTheme="majorHAnsi" w:cs="Times New Roman"/>
                <w:b w:val="0"/>
                <w:bCs w:val="0"/>
                <w:smallCaps w:val="0"/>
                <w:color w:val="000000" w:themeColor="text1"/>
                <w:sz w:val="22"/>
                <w:szCs w:val="22"/>
                <w:vertAlign w:val="subscript"/>
              </w:rPr>
              <w:t xml:space="preserve"> </w:t>
            </w:r>
            <w:r w:rsidR="00263EB9">
              <w:rPr>
                <w:rStyle w:val="IntenseReference"/>
                <w:rFonts w:asciiTheme="majorHAnsi" w:hAnsiTheme="majorHAnsi" w:cs="Times New Roman"/>
                <w:b w:val="0"/>
                <w:bCs w:val="0"/>
                <w:smallCaps w:val="0"/>
                <w:color w:val="000000" w:themeColor="text1"/>
                <w:sz w:val="20"/>
                <w:szCs w:val="20"/>
              </w:rPr>
              <w:t xml:space="preserve">˃ </w:t>
            </w:r>
            <w:r w:rsidR="00263EB9" w:rsidRPr="009D7F6D">
              <w:rPr>
                <w:rStyle w:val="IntenseReference"/>
                <w:rFonts w:asciiTheme="majorHAnsi" w:hAnsiTheme="majorHAnsi" w:cs="Times New Roman"/>
                <w:b w:val="0"/>
                <w:bCs w:val="0"/>
                <w:smallCaps w:val="0"/>
                <w:color w:val="000000" w:themeColor="text1"/>
                <w:sz w:val="22"/>
                <w:szCs w:val="22"/>
              </w:rPr>
              <w:t>µ</w:t>
            </w:r>
            <w:r w:rsidR="00263EB9"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bl>
    <w:p w:rsidR="006C44B6" w:rsidRDefault="006C44B6" w:rsidP="006C44B6">
      <w:pPr>
        <w:rPr>
          <w:rFonts w:ascii="Arial" w:hAnsi="Arial" w:cs="Arial"/>
          <w:lang w:val="en-AU" w:eastAsia="en-AU"/>
        </w:rPr>
      </w:pPr>
    </w:p>
    <w:p w:rsidR="006C44B6" w:rsidRDefault="006C44B6" w:rsidP="006C44B6">
      <w:pPr>
        <w:rPr>
          <w:rFonts w:ascii="Arial" w:hAnsi="Arial" w:cs="Arial"/>
          <w:lang w:val="en-AU" w:eastAsia="en-AU"/>
        </w:rPr>
      </w:pPr>
      <w:r>
        <w:rPr>
          <w:rFonts w:ascii="Arial" w:hAnsi="Arial" w:cs="Arial"/>
          <w:lang w:val="en-AU" w:eastAsia="en-AU"/>
        </w:rPr>
        <w:br w:type="page"/>
      </w:r>
    </w:p>
    <w:tbl>
      <w:tblPr>
        <w:tblW w:w="13230" w:type="dxa"/>
        <w:jc w:val="center"/>
        <w:tblInd w:w="93" w:type="dxa"/>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Pr>
      <w:tblGrid>
        <w:gridCol w:w="759"/>
        <w:gridCol w:w="2564"/>
        <w:gridCol w:w="1276"/>
        <w:gridCol w:w="1134"/>
        <w:gridCol w:w="1276"/>
        <w:gridCol w:w="1134"/>
        <w:gridCol w:w="850"/>
        <w:gridCol w:w="992"/>
        <w:gridCol w:w="1418"/>
        <w:gridCol w:w="1827"/>
      </w:tblGrid>
      <w:tr w:rsidR="006C44B6" w:rsidTr="006C44B6">
        <w:trPr>
          <w:trHeight w:val="320"/>
          <w:tblHeader/>
          <w:jc w:val="center"/>
        </w:trPr>
        <w:tc>
          <w:tcPr>
            <w:tcW w:w="760"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lastRenderedPageBreak/>
              <w:t>MDC</w:t>
            </w:r>
          </w:p>
        </w:tc>
        <w:tc>
          <w:tcPr>
            <w:tcW w:w="256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Description</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Indigenous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7A097D">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Non-Indigenous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850"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T Value</w:t>
            </w:r>
          </w:p>
        </w:tc>
        <w:tc>
          <w:tcPr>
            <w:tcW w:w="992"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proofErr w:type="spellStart"/>
            <w:r>
              <w:rPr>
                <w:rFonts w:ascii="Arial" w:eastAsia="Times New Roman" w:hAnsi="Arial" w:cs="Arial"/>
                <w:b/>
                <w:color w:val="000000"/>
                <w:sz w:val="20"/>
                <w:szCs w:val="20"/>
                <w:lang w:val="en-AU"/>
              </w:rPr>
              <w:t>Pr</w:t>
            </w:r>
            <w:proofErr w:type="spellEnd"/>
            <w:r>
              <w:rPr>
                <w:rFonts w:ascii="Arial" w:eastAsia="Times New Roman" w:hAnsi="Arial" w:cs="Arial"/>
                <w:b/>
                <w:color w:val="000000"/>
                <w:sz w:val="20"/>
                <w:szCs w:val="20"/>
                <w:lang w:val="en-AU"/>
              </w:rPr>
              <w:t xml:space="preserve"> &gt; |t|</w:t>
            </w:r>
          </w:p>
        </w:tc>
        <w:tc>
          <w:tcPr>
            <w:tcW w:w="1418"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rPr>
              <w:t>Hypothesis (</w:t>
            </w:r>
            <w:r>
              <w:rPr>
                <w:rFonts w:ascii="Arial" w:hAnsi="Arial" w:cs="Arial"/>
                <w:b/>
                <w:sz w:val="20"/>
                <w:szCs w:val="20"/>
              </w:rPr>
              <w:t>H</w:t>
            </w:r>
            <w:r>
              <w:rPr>
                <w:rFonts w:ascii="Arial" w:hAnsi="Arial" w:cs="Arial"/>
                <w:b/>
                <w:sz w:val="20"/>
                <w:szCs w:val="20"/>
                <w:vertAlign w:val="subscript"/>
              </w:rPr>
              <w:t>0</w:t>
            </w:r>
            <w:r>
              <w:rPr>
                <w:rFonts w:ascii="Arial" w:hAnsi="Arial" w:cs="Arial"/>
                <w:b/>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hAnsi="Arial" w:cs="Arial"/>
                <w:b/>
                <w:sz w:val="20"/>
                <w:szCs w:val="20"/>
              </w:rPr>
              <w:t>)</w:t>
            </w:r>
          </w:p>
        </w:tc>
        <w:tc>
          <w:tcPr>
            <w:tcW w:w="1827" w:type="dxa"/>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jc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Interpretation (Indigenous cost relative to </w:t>
            </w:r>
            <w:r w:rsidR="007A097D">
              <w:rPr>
                <w:rFonts w:ascii="Arial" w:eastAsia="Times New Roman" w:hAnsi="Arial" w:cs="Arial"/>
                <w:b/>
                <w:color w:val="000000"/>
                <w:sz w:val="20"/>
                <w:szCs w:val="20"/>
              </w:rPr>
              <w:t>Non-Indigenous</w:t>
            </w:r>
            <w:r>
              <w:rPr>
                <w:rFonts w:ascii="Arial" w:eastAsia="Times New Roman" w:hAnsi="Arial" w:cs="Arial"/>
                <w:b/>
                <w:color w:val="000000"/>
                <w:sz w:val="20"/>
                <w:szCs w:val="20"/>
              </w:rPr>
              <w:t xml:space="preserve"> Cost)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Error DRGs Unrelated Operating Room DRGs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3601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$7,517.30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28539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$6,850.74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4.82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00</w:t>
            </w:r>
          </w:p>
        </w:tc>
        <w:tc>
          <w:tcPr>
            <w:tcW w:w="2566"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Pre-MDC</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$29,071.56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$24,310.22</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1.76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0.0782</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01</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nervous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4987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$7,592.05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127943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$8,203.08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-4.86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02</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eye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636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$6,459.49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13409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$5,586.31</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3.68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0.0002</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03</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ear, nose, mouth and throat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5038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$5,309.46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77517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$4,949.68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4.76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04</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respiratory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11188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$7,259.87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189362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$7,129.04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1.77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0.0771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05</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circulatory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8695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$8,129.02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237410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$7,707.30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4.11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06</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digestive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8175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$6,312.35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223281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$6,756.47</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-6.03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07</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hepatobiliary system and pancreas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3665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$7,892.49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63431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$8,417.22</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-4.43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08</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musculoskeletal system and connective tissue</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7234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$8,764.93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194732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$9,971.98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-12.62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5C0604">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09</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skin, subcutaneous tissue and breast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5924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$6,240.59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79103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$6,119.28</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1.56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.1195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81DAF">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1</w:t>
            </w:r>
            <w:r w:rsidR="005C0604">
              <w:rPr>
                <w:rStyle w:val="IntenseReference"/>
                <w:rFonts w:asciiTheme="majorHAnsi" w:hAnsiTheme="majorHAnsi" w:cs="Times New Roman"/>
                <w:b w:val="0"/>
                <w:bCs w:val="0"/>
                <w:smallCaps w:val="0"/>
                <w:color w:val="000000" w:themeColor="text1"/>
                <w:sz w:val="22"/>
                <w:szCs w:val="22"/>
                <w:vertAlign w:val="subscript"/>
              </w:rPr>
              <w:t xml:space="preserve"> </w:t>
            </w:r>
            <w:r w:rsidR="005C0604">
              <w:rPr>
                <w:rStyle w:val="IntenseReference"/>
                <w:rFonts w:asciiTheme="majorHAnsi" w:hAnsiTheme="majorHAnsi" w:cs="Times New Roman"/>
                <w:b w:val="0"/>
                <w:bCs w:val="0"/>
                <w:smallCaps w:val="0"/>
                <w:color w:val="000000" w:themeColor="text1"/>
                <w:sz w:val="20"/>
                <w:szCs w:val="20"/>
              </w:rPr>
              <w:t xml:space="preserve">= </w:t>
            </w:r>
            <w:r w:rsidR="005C0604" w:rsidRPr="009D7F6D">
              <w:rPr>
                <w:rStyle w:val="IntenseReference"/>
                <w:rFonts w:asciiTheme="majorHAnsi" w:hAnsiTheme="majorHAnsi" w:cs="Times New Roman"/>
                <w:b w:val="0"/>
                <w:bCs w:val="0"/>
                <w:smallCaps w:val="0"/>
                <w:color w:val="000000" w:themeColor="text1"/>
                <w:sz w:val="22"/>
                <w:szCs w:val="22"/>
              </w:rPr>
              <w:t>µ</w:t>
            </w:r>
            <w:r w:rsidR="005C0604"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lastRenderedPageBreak/>
              <w:t>10</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nutritional and metabolic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2412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$8,978.38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40081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$7,875.65</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6.28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11</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kidney and urinary tract</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4388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$6,725.95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95799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$6,565.96</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1.49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0.1357</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12</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494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$6,450.46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15850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$7,609.54</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-4.56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13</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female reproductive system</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1679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$7,430.92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36269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$7,611.80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0.2451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14</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Pregnancy, childbirth and the </w:t>
            </w:r>
            <w:proofErr w:type="spellStart"/>
            <w:r>
              <w:rPr>
                <w:rFonts w:ascii="Arial" w:eastAsia="Times New Roman" w:hAnsi="Arial" w:cs="Arial"/>
                <w:sz w:val="20"/>
                <w:szCs w:val="20"/>
                <w:lang w:val="en-AU"/>
              </w:rPr>
              <w:t>puerperium</w:t>
            </w:r>
            <w:proofErr w:type="spellEnd"/>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13610</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$6,607.28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218619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$5,937.75</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12.77</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15</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Newborns and other neonates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3628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$9,157.46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44716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$7,767.59</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8.64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16</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Diseases and disorders of the blood and blood forming organs and immunological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944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$6,818.22</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25636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$6,289.73</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2.30</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0.0216</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17</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Neoplastic disorders (Haematological and solid neoplasms)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297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$13,641.88</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15472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$12,491.87</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1.80</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0.0723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18</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Infectious and parasitic diseases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2128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$8,356.63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40854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$7,816.01</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2.64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0.0083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19</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Mental diseases and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4262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$9,117.11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59176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$8,906.90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1.54</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0.1243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lastRenderedPageBreak/>
              <w:t>20</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Alcohol/drug use and alcohol/drug induced organic mental disorders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2474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$4,887.55</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16739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$5,635.60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-6.65</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5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21</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Injuries, poisoning and toxic effects of drugs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4581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$5,805.13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75317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$5,865.20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-0.58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0.5595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No significant difference </w:t>
            </w:r>
            <w:r>
              <w:rPr>
                <w:rFonts w:ascii="Arial" w:eastAsia="Times New Roman" w:hAnsi="Arial" w:cs="Arial"/>
                <w:color w:val="000000"/>
                <w:sz w:val="20"/>
                <w:szCs w:val="20"/>
              </w:rPr>
              <w:br/>
              <w:t>(</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6C44B6">
        <w:trPr>
          <w:trHeight w:val="32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22</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Burns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392</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$11,871.36</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3569</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$9,475.77</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3.68</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0.0003</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74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23</w:t>
            </w:r>
          </w:p>
        </w:tc>
        <w:tc>
          <w:tcPr>
            <w:tcW w:w="2566" w:type="dxa"/>
            <w:tcBorders>
              <w:top w:val="single" w:sz="4" w:space="0" w:color="B0B7BB"/>
              <w:left w:val="single" w:sz="4" w:space="0" w:color="B0B7BB"/>
              <w:bottom w:val="single" w:sz="4" w:space="0" w:color="B0B7BB"/>
              <w:right w:val="single" w:sz="4" w:space="0" w:color="B0B7BB"/>
            </w:tcBorders>
            <w:vAlign w:val="center"/>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Factors influencing health status and other contacts with health services</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1223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$5,724.11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20596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$5,084.16</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3.33</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0.0009</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2867BB">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6C44B6">
        <w:trPr>
          <w:trHeight w:val="300"/>
          <w:jc w:val="center"/>
        </w:trPr>
        <w:tc>
          <w:tcPr>
            <w:tcW w:w="76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right"/>
              <w:rPr>
                <w:rFonts w:ascii="Arial" w:eastAsia="Times New Roman" w:hAnsi="Arial" w:cs="Arial"/>
                <w:color w:val="000000"/>
                <w:sz w:val="20"/>
                <w:szCs w:val="20"/>
                <w:lang w:val="en-AU"/>
              </w:rPr>
            </w:pPr>
            <w:r>
              <w:rPr>
                <w:rFonts w:ascii="Arial" w:eastAsia="Times New Roman" w:hAnsi="Arial" w:cs="Arial"/>
                <w:color w:val="000000"/>
                <w:sz w:val="20"/>
                <w:szCs w:val="20"/>
                <w:lang w:val="en-AU"/>
              </w:rPr>
              <w:t>24</w:t>
            </w:r>
          </w:p>
        </w:tc>
        <w:tc>
          <w:tcPr>
            <w:tcW w:w="256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rPr>
                <w:rFonts w:ascii="Times New Roman" w:eastAsia="Times New Roman" w:hAnsi="Times New Roman" w:cs="Times New Roman"/>
                <w:sz w:val="20"/>
                <w:szCs w:val="20"/>
                <w:lang w:val="en-AU"/>
              </w:rPr>
            </w:pP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$9,135.50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67</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sz w:val="20"/>
                <w:szCs w:val="20"/>
              </w:rPr>
              <w:t>$5,915.00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0.89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0.3774</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1</w:t>
            </w:r>
            <w:r w:rsidR="002867BB">
              <w:rPr>
                <w:rStyle w:val="IntenseReference"/>
                <w:rFonts w:asciiTheme="majorHAnsi" w:hAnsiTheme="majorHAnsi" w:cs="Times New Roman"/>
                <w:b w:val="0"/>
                <w:bCs w:val="0"/>
                <w:smallCaps w:val="0"/>
                <w:color w:val="000000" w:themeColor="text1"/>
                <w:sz w:val="22"/>
                <w:szCs w:val="22"/>
                <w:vertAlign w:val="subscript"/>
              </w:rPr>
              <w:t xml:space="preserve"> </w:t>
            </w:r>
            <w:r w:rsidR="002867BB">
              <w:rPr>
                <w:rStyle w:val="IntenseReference"/>
                <w:rFonts w:asciiTheme="majorHAnsi" w:hAnsiTheme="majorHAnsi" w:cs="Times New Roman"/>
                <w:b w:val="0"/>
                <w:bCs w:val="0"/>
                <w:smallCaps w:val="0"/>
                <w:color w:val="000000" w:themeColor="text1"/>
                <w:sz w:val="20"/>
                <w:szCs w:val="20"/>
              </w:rPr>
              <w:t xml:space="preserve">= </w:t>
            </w:r>
            <w:r w:rsidR="002867BB" w:rsidRPr="009D7F6D">
              <w:rPr>
                <w:rStyle w:val="IntenseReference"/>
                <w:rFonts w:asciiTheme="majorHAnsi" w:hAnsiTheme="majorHAnsi" w:cs="Times New Roman"/>
                <w:b w:val="0"/>
                <w:bCs w:val="0"/>
                <w:smallCaps w:val="0"/>
                <w:color w:val="000000" w:themeColor="text1"/>
                <w:sz w:val="22"/>
                <w:szCs w:val="22"/>
              </w:rPr>
              <w:t>µ</w:t>
            </w:r>
            <w:r w:rsidR="002867BB"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bl>
    <w:p w:rsidR="006C44B6" w:rsidRDefault="006C44B6" w:rsidP="006C44B6">
      <w:pPr>
        <w:rPr>
          <w:rFonts w:ascii="Arial" w:hAnsi="Arial" w:cs="Arial"/>
          <w:lang w:val="en-AU" w:eastAsia="en-AU"/>
        </w:rPr>
      </w:pPr>
    </w:p>
    <w:p w:rsidR="006C44B6" w:rsidRDefault="006C44B6" w:rsidP="00287791">
      <w:pPr>
        <w:pStyle w:val="EYHeading1"/>
        <w:numPr>
          <w:ilvl w:val="0"/>
          <w:numId w:val="0"/>
        </w:numPr>
        <w:ind w:left="850"/>
        <w:rPr>
          <w:lang w:val="en-US"/>
        </w:rPr>
      </w:pPr>
      <w:bookmarkStart w:id="102" w:name="_Toc426115416"/>
      <w:bookmarkStart w:id="103" w:name="_Toc426117652"/>
      <w:r>
        <w:lastRenderedPageBreak/>
        <w:t>Appendix F: T Statistics for Overnight Acute Admitted Services by Diagnostic Related Group</w:t>
      </w:r>
      <w:bookmarkEnd w:id="102"/>
      <w:bookmarkEnd w:id="103"/>
    </w:p>
    <w:p w:rsidR="006C44B6" w:rsidRDefault="006C44B6" w:rsidP="006C44B6">
      <w:pPr>
        <w:rPr>
          <w:rFonts w:ascii="Arial" w:hAnsi="Arial" w:cs="Arial"/>
          <w:sz w:val="22"/>
          <w:szCs w:val="22"/>
          <w:lang w:val="en-AU" w:eastAsia="en-AU"/>
        </w:rPr>
      </w:pPr>
      <w:r>
        <w:rPr>
          <w:rFonts w:ascii="Arial" w:hAnsi="Arial" w:cs="Arial"/>
          <w:sz w:val="22"/>
          <w:szCs w:val="22"/>
          <w:lang w:val="en-AU" w:eastAsia="en-AU"/>
        </w:rPr>
        <w:t xml:space="preserve">AR-DRG classes where the population size was five or less for either the Indigenous population, or the </w:t>
      </w:r>
      <w:r w:rsidR="007A097D">
        <w:rPr>
          <w:rFonts w:ascii="Arial" w:hAnsi="Arial" w:cs="Arial"/>
          <w:sz w:val="22"/>
          <w:szCs w:val="22"/>
          <w:lang w:val="en-AU" w:eastAsia="en-AU"/>
        </w:rPr>
        <w:t>Non-Indigenous</w:t>
      </w:r>
      <w:r>
        <w:rPr>
          <w:rFonts w:ascii="Arial" w:hAnsi="Arial" w:cs="Arial"/>
          <w:sz w:val="22"/>
          <w:szCs w:val="22"/>
          <w:lang w:val="en-AU" w:eastAsia="en-AU"/>
        </w:rPr>
        <w:t xml:space="preserve"> population, or both patient cohorts have not been reported upon.</w:t>
      </w:r>
    </w:p>
    <w:p w:rsidR="006C44B6" w:rsidRDefault="006C44B6" w:rsidP="006C44B6">
      <w:pPr>
        <w:rPr>
          <w:rFonts w:ascii="Arial" w:hAnsi="Arial" w:cs="Arial"/>
          <w:lang w:val="en-AU" w:eastAsia="en-AU"/>
        </w:rPr>
      </w:pPr>
    </w:p>
    <w:tbl>
      <w:tblPr>
        <w:tblW w:w="13740" w:type="dxa"/>
        <w:jc w:val="right"/>
        <w:tblLayout w:type="fixed"/>
        <w:tblLook w:val="04A0" w:firstRow="1" w:lastRow="0" w:firstColumn="1" w:lastColumn="0" w:noHBand="0" w:noVBand="1"/>
        <w:tblCaption w:val="Appendix F: T Statistics for Overnight Acute Admitted Services by Diagnostic Related Group"/>
      </w:tblPr>
      <w:tblGrid>
        <w:gridCol w:w="1133"/>
        <w:gridCol w:w="3918"/>
        <w:gridCol w:w="1149"/>
        <w:gridCol w:w="1417"/>
        <w:gridCol w:w="1276"/>
        <w:gridCol w:w="1276"/>
        <w:gridCol w:w="850"/>
        <w:gridCol w:w="992"/>
        <w:gridCol w:w="865"/>
        <w:gridCol w:w="864"/>
      </w:tblGrid>
      <w:tr w:rsidR="006C44B6" w:rsidTr="006C44B6">
        <w:trPr>
          <w:trHeight w:val="280"/>
          <w:tblHeader/>
          <w:jc w:val="right"/>
        </w:trPr>
        <w:tc>
          <w:tcPr>
            <w:tcW w:w="5054" w:type="dxa"/>
            <w:gridSpan w:val="2"/>
            <w:tcBorders>
              <w:top w:val="single" w:sz="4" w:space="0" w:color="auto"/>
              <w:left w:val="single" w:sz="4" w:space="0" w:color="auto"/>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Round 16</w:t>
            </w:r>
          </w:p>
        </w:tc>
        <w:tc>
          <w:tcPr>
            <w:tcW w:w="2567" w:type="dxa"/>
            <w:gridSpan w:val="2"/>
            <w:tcBorders>
              <w:top w:val="single" w:sz="4" w:space="0" w:color="auto"/>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Indigenous</w:t>
            </w:r>
          </w:p>
        </w:tc>
        <w:tc>
          <w:tcPr>
            <w:tcW w:w="2552" w:type="dxa"/>
            <w:gridSpan w:val="2"/>
            <w:tcBorders>
              <w:top w:val="single" w:sz="4" w:space="0" w:color="auto"/>
              <w:left w:val="nil"/>
              <w:bottom w:val="single" w:sz="4" w:space="0" w:color="auto"/>
              <w:right w:val="single" w:sz="4" w:space="0" w:color="auto"/>
            </w:tcBorders>
            <w:shd w:val="clear" w:color="auto" w:fill="CCCCCC"/>
            <w:noWrap/>
            <w:vAlign w:val="bottom"/>
            <w:hideMark/>
          </w:tcPr>
          <w:p w:rsidR="006C44B6" w:rsidRDefault="007A097D">
            <w:pPr>
              <w:rPr>
                <w:rFonts w:ascii="Arial" w:eastAsia="Times New Roman" w:hAnsi="Arial" w:cs="Arial"/>
                <w:b/>
                <w:sz w:val="20"/>
                <w:szCs w:val="20"/>
                <w:lang w:val="en-AU"/>
              </w:rPr>
            </w:pPr>
            <w:r>
              <w:rPr>
                <w:rFonts w:ascii="Arial" w:eastAsia="Times New Roman" w:hAnsi="Arial" w:cs="Arial"/>
                <w:b/>
                <w:sz w:val="20"/>
                <w:szCs w:val="20"/>
                <w:lang w:val="en-AU"/>
              </w:rPr>
              <w:t>Non-Indigenous</w:t>
            </w:r>
          </w:p>
        </w:tc>
        <w:tc>
          <w:tcPr>
            <w:tcW w:w="3571" w:type="dxa"/>
            <w:gridSpan w:val="4"/>
            <w:tcBorders>
              <w:top w:val="single" w:sz="4" w:space="0" w:color="auto"/>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b/>
                <w:sz w:val="20"/>
                <w:szCs w:val="20"/>
                <w:lang w:val="en-AU"/>
              </w:rPr>
              <w:t>Statistics</w:t>
            </w:r>
          </w:p>
        </w:tc>
      </w:tr>
      <w:tr w:rsidR="006C44B6" w:rsidTr="006C44B6">
        <w:trPr>
          <w:trHeight w:val="280"/>
          <w:tblHeader/>
          <w:jc w:val="right"/>
        </w:trPr>
        <w:tc>
          <w:tcPr>
            <w:tcW w:w="1134" w:type="dxa"/>
            <w:tcBorders>
              <w:top w:val="nil"/>
              <w:left w:val="single" w:sz="4" w:space="0" w:color="auto"/>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AR-DRG</w:t>
            </w:r>
          </w:p>
        </w:tc>
        <w:tc>
          <w:tcPr>
            <w:tcW w:w="3920"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Description</w:t>
            </w:r>
          </w:p>
        </w:tc>
        <w:tc>
          <w:tcPr>
            <w:tcW w:w="1150"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417"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1276"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Number of Patients</w:t>
            </w:r>
          </w:p>
        </w:tc>
        <w:tc>
          <w:tcPr>
            <w:tcW w:w="1276"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Average Cost</w:t>
            </w:r>
          </w:p>
        </w:tc>
        <w:tc>
          <w:tcPr>
            <w:tcW w:w="850"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T Value</w:t>
            </w:r>
          </w:p>
        </w:tc>
        <w:tc>
          <w:tcPr>
            <w:tcW w:w="992"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proofErr w:type="spellStart"/>
            <w:r>
              <w:rPr>
                <w:rFonts w:ascii="Arial" w:eastAsia="Times New Roman" w:hAnsi="Arial" w:cs="Arial"/>
                <w:b/>
                <w:sz w:val="20"/>
                <w:szCs w:val="20"/>
                <w:lang w:val="en-AU"/>
              </w:rPr>
              <w:t>Pr</w:t>
            </w:r>
            <w:proofErr w:type="spellEnd"/>
            <w:r>
              <w:rPr>
                <w:rFonts w:ascii="Arial" w:eastAsia="Times New Roman" w:hAnsi="Arial" w:cs="Arial"/>
                <w:b/>
                <w:sz w:val="20"/>
                <w:szCs w:val="20"/>
                <w:lang w:val="en-AU"/>
              </w:rPr>
              <w:t xml:space="preserve"> &gt; [t]</w:t>
            </w:r>
          </w:p>
        </w:tc>
        <w:tc>
          <w:tcPr>
            <w:tcW w:w="865"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Accept/Reject</w:t>
            </w:r>
          </w:p>
        </w:tc>
        <w:tc>
          <w:tcPr>
            <w:tcW w:w="864" w:type="dxa"/>
            <w:tcBorders>
              <w:top w:val="nil"/>
              <w:left w:val="nil"/>
              <w:bottom w:val="single" w:sz="4" w:space="0" w:color="auto"/>
              <w:right w:val="single" w:sz="4" w:space="0" w:color="auto"/>
            </w:tcBorders>
            <w:shd w:val="clear" w:color="auto" w:fill="CCCCCC"/>
            <w:noWrap/>
            <w:vAlign w:val="bottom"/>
            <w:hideMark/>
          </w:tcPr>
          <w:p w:rsidR="006C44B6" w:rsidRDefault="006C44B6">
            <w:pPr>
              <w:rPr>
                <w:rFonts w:ascii="Arial" w:eastAsia="Times New Roman" w:hAnsi="Arial" w:cs="Arial"/>
                <w:b/>
                <w:sz w:val="20"/>
                <w:szCs w:val="20"/>
                <w:lang w:val="en-AU"/>
              </w:rPr>
            </w:pPr>
            <w:r>
              <w:rPr>
                <w:rFonts w:ascii="Arial" w:eastAsia="Times New Roman" w:hAnsi="Arial" w:cs="Arial"/>
                <w:b/>
                <w:sz w:val="20"/>
                <w:szCs w:val="20"/>
                <w:lang w:val="en-AU"/>
              </w:rPr>
              <w:t>Higher/Lower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unassigned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$10,327.73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$8,493.35</w:t>
            </w:r>
          </w:p>
        </w:tc>
        <w:tc>
          <w:tcPr>
            <w:tcW w:w="850" w:type="dxa"/>
            <w:tcBorders>
              <w:top w:val="nil"/>
              <w:left w:val="nil"/>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Times New Roman" w:eastAsia="Times New Roman" w:hAnsi="Times New Roman" w:cs="Times New Roman"/>
                <w:sz w:val="20"/>
                <w:szCs w:val="20"/>
                <w:lang w:val="en-AU"/>
              </w:rPr>
            </w:pP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801A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 PR UNREL TO PDX+CCC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$22,826.55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$26,155.89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801B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 PR UNREL TO PDX+SMCC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$12,931.06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$14,768.01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801C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OR PR UNREL TO PDX-CC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$8,708.46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$8,714.47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960Z</w:t>
            </w:r>
          </w:p>
        </w:tc>
        <w:tc>
          <w:tcPr>
            <w:tcW w:w="3920" w:type="dxa"/>
            <w:tcBorders>
              <w:top w:val="nil"/>
              <w:left w:val="nil"/>
              <w:bottom w:val="single" w:sz="4" w:space="0" w:color="auto"/>
              <w:right w:val="single" w:sz="4" w:space="0" w:color="auto"/>
            </w:tcBorders>
            <w:noWrap/>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UNGROUPABLE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$6,440.40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$7,052.55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TRCH&amp;VNT-CCC OR TRCH/VNT+CCC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$43,077.68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$41,607.18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A06C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VENTILATION&gt;95 -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$38,466.01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$39,001.09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0.9023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A06D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TRACHEOSTOMY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$30,912.27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$31,936.91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0.8597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A09A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RENAL TRANSPLANT+PANCREAS/+CCC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$39,541.95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$35,058.81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A09B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RENAL TRANSPLANT -PANCREAS-CCC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$38,441.72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$35,149.36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A12Z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INS NEUROSTIMULATOR DEV</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$8,254.76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$26,373.38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PROCEDURES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$34,454.03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$29,712.62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PROCEDURES +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$28,790.61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$24,066.19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0.0171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color w:val="000000"/>
                <w:sz w:val="20"/>
                <w:szCs w:val="20"/>
                <w:lang w:val="en-AU"/>
              </w:rPr>
            </w:pPr>
            <w:r>
              <w:rPr>
                <w:rFonts w:ascii="Arial" w:eastAsia="Times New Roman" w:hAnsi="Arial" w:cs="Arial"/>
                <w:color w:val="000000"/>
                <w:sz w:val="20"/>
                <w:szCs w:val="20"/>
                <w:lang w:val="en-AU"/>
              </w:rPr>
              <w:t>CRANIAL PROCEDURES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$20,243.67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$19,388.35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0.4092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PROCEDURES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$25,182.07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$24,801.59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0.9297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PROCEDURES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$15,784.63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$15,427.35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B04B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EXTRACRANIAL VASCULAR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$12,388.82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$12,407.90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CARPAL TUNNEL RELEASE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$9,291.32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$4,948.79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0.2285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CBL PSY,MUS DYSY,NPTHY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$21,084.23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$19,463.98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CBL PSY,MUS DYSY,NPTHY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$14,366.74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$8,018.28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PRPHL &amp; CRANL NERV &amp; OTH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$10,566.79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$14,866.59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B07B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PRPHL &amp; CRANL NERV &amp; OTH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$6,980.95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$6,601.85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0.3347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B41Z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TELEMETRIC EEG MONITORING</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$7,946.69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$7,632.89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B42A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NERV SYS DX W VENT SUPPORT+CCC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$25,994.64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$27,029.29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0.7953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B42B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NERV SYS DX W VENT SUPPORT-CCC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$18,702.91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$17,289.82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CORD COND+/-OR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$8,138.99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$11,921.54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DMNTIA&amp;CHRNIC DISTURB CRBRL FN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$15,427.27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$11,051.74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DELIRIUM+CCC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$11,137.21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$11,998.61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DELIRIUM-CCC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$6,134.20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$6,437.65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CEREBRAL PALSY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$8,651.23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$6,871.60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0.3822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NERVOUS SYSTEM NEOPLASM+CSCC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$9,411.42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$10,687.85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0.1658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NERVOUS SYSTEM NEOPLASM-CSCC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$6,543.32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$6,384.89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0.8098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DEGNRTV NERV SYS DIS+CSCC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$13,295.95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$12,610.20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DEGNRTV NERV SYS DIS+MCC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$6,412.96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$8,050.79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B67C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DEGNRTV NERV SYS DIS-CC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$6,246.56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$5,920.59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MLT SCLROSIS&amp;CEREBEL ATAXIA+CC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$23,226.33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$11,035.19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MLT SCLROSIS&amp;CEREBEL ATAXIA-CC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$5,987.14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$4,589.38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TIA &amp; PRECEREBRAL OCCLUSN+CSCC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$5,846.19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$6,455.90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B69B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TIA &amp; PRECEREBRAL OCCLUSN-CSCC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$3,564.95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$3,229.96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B70A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STROKE &amp; OTH CEREB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$19,976.61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$15,812.61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STROKE &amp; OTH CEREB DIS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$10,284.93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$9,076.55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B70C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STROKE &amp; OTH CEREB DIS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$7,933.60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$6,348.15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0.0148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B70D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STRKE&amp;OTH CEREB DIS DIE/TRN&lt;5D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$4,370.97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$2,983.47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CRANIAL &amp; PERIPHL NERV DSRD+CC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$9,467.75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$9,645.84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0.8328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CRANIAL &amp; PERIPHL NERV DSRD-CC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$4,905.78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$4,625.22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NRVS SYS INF EX VRL MNGTS+CSCC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$17,656.81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$16,381.07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0.5875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NRVS SYS INF EX VRL MNGTS-CSCC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$9,651.91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$8,351.06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VIRAL MENINGITIS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$6,318.62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$4,113.14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B74A</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TRAUMATIC STUPOR &amp; COMA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$7,466.58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$6,114.36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B74B</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TRAUMATIC STUPOR &amp; COMA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$2,849.46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$2,296.78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FEBRILE CONVULSIONS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$2,701.97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$2,013.56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0.0062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SEIZURE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$7,624.17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$8,088.76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SEIZURE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$3,223.29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$3,300.25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B77Z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HEADACHE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$3,180.78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$2,596.92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INTRACRANIAL INJURY+CSCC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$12,261.97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$11,942.40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0.8333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INTRACRANIAL INJURY-CSCC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$4,773.18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$5,399.73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SKULL FRACTURES+CSCC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$11,571.80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$8,278.29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B79B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SKULL FRACTURES-CSCC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$4,966.22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$3,532.87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0.0293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HEAD INJURY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$2,348.09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$2,136.65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DSRD OF NERVOUS SYS+CSCC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$10,514.85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$9,646.22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DSRD OF NERVOUS SYS-CSCC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$5,171.15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$4,675.05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CHR UNSP PARA/QUAD+/-OR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$18,496.17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$18,261.66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0.8985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B82B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CHR UNSP PARA/QUAD+/-PR+SCC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$12,222.51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$11,297.06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B82C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CHR UNSP PARA/QUAD+/-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$9,413.33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$8,644.33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0.5195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PROC FOR PENETRATNG EYE INJURY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$12,814.31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$9,440.87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0.0192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ENUCLEATIONS &amp; ORBITAL PROCS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$10,889.08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$10,100.99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RETINAL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$7,519.90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$4,909.68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CORN, SCLERAL&amp;CONJNCT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$9,543.43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$8,496.20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DACRYOCYSTORHINOSTOMY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$6,277.83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$5,656.26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STRABISMUS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$5,020.71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$4,211.08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EYELID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$6,078.25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$5,153.13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0.5359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CORN, SCLERAL&amp;CONJNCT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$7,088.97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$7,159.37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0.9733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EYE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$6,767.34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$5,574.30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GLAUCOMA/CX CATARACT PROCS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$7,982.89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$5,513.99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C16Z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LENS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$5,484.05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$4,051.28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 &amp; MJR EYE INFECTN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$9,153.76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$9,945.68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0.7188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 &amp; MJR EYE INFECTN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$4,933.87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$6,846.60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NEUROLOGICAL&amp;VASCLR EYE DIS+CC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$9,798.63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$7,056.69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NEUROLOGICAL&amp;VASCLR EYE DIS-CC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$4,646.43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$3,908.70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HYPHEMA &amp;MED MANAGD EYE TRAUMA</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$3,468.45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$3,165.78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DISORDERS OF THE EYE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$5,206.06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$4,205.59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COCHLEAR IMPLANT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$31,215.74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$30,977.10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HEAD &amp; NECK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$22,359.79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$25,233.06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0.5583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HEAD &amp; NECK PR -MALIGNANCY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$9,735.28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$9,647.12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0.9545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D03Z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SURGCL RPR CLEFT LIP/PALATE DX</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$12,948.07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$9,679.61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MAXILLO SURGERY +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$11,051.39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$11,424.04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MAXILLO SURGERY -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$8,970.85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$8,602.28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PAROTID GLAND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$10,893.39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$11,397.62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D06Z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SINUS &amp;CMPLX MDDL EAR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$5,989.27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$6,558.27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NASAL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$5,291.39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$5,131.78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TONSILLECTOMY, ADENOIDECTOMY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$3,977.73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$3,525.38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6.021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EAR,NOSE,MOUTH &amp; THROAT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$6,304.97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$6,620.89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MYRINGOTOMY +TUBE INSERTION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$4,954.80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$6,921.24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MOUTH &amp; SALIVARY GLAND PROCS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$7,652.35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$6,603.25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0.0595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D15Z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MASTOID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$9,465.95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$10,324.58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D40Z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DENTAL EXTRACT &amp; RESTORATIONS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$6,604.74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$5,353.51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EAR NOSE MOUTH&amp;THROAT MAL+CSCC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$15,912.57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$11,969.61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0.0263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EAR NOSE MOUTH&amp;THROAT MAL-CSCC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$6,728.72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$4,617.11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DYSEQUILIBRIUM</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$2,846.21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$2,904.43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0.8438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EPISTAXIS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$2,875.69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$2,722.12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OTITIS MEDIA AND URI</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$3,440.83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$2,743.88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LARYNGOTRACHEITIS&amp;EPIGLOTTITIS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$1,825.70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$2,110.54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NASAL TRAUMA &amp; DEFORMITY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$3,875.37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$3,094.60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EAR,NOSE,MOUTH&amp;THRT DX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$6,442.97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$6,888.41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EAR,NOSE,MOUTH&amp;THRT DX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$4,453.52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$2,864.63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8.29</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ORAL&amp;DNTAL DIS-EXTRCT&amp;RESTN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$5,503.84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$3,715.11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9.78</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CHEST PROCEDURE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$27,991.16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$24,408.05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E01B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CHEST PROCEDURE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$16,881.83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$15,376.48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RESPIRATRY SYS OR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$27,266.07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$19,810.54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RESPIRATRY SYS OR PR+SMCC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$8,585.82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$10,540.04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0.2883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E02C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RESPIRATY SYS OR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$4,030.15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$4,342.59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0.0838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 DX W VENTILATOR SUPPT+CCC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$27,122.66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$27,829.20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 DX W VENTILATOR SUPPT-CCC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$27,256.70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$21,611.48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0.0185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 SYS DX +</w:t>
            </w:r>
            <w:r w:rsidR="00F618BE">
              <w:rPr>
                <w:rFonts w:ascii="Arial" w:eastAsia="Times New Roman" w:hAnsi="Arial" w:cs="Arial"/>
                <w:sz w:val="20"/>
                <w:szCs w:val="20"/>
                <w:lang w:val="en-AU"/>
              </w:rPr>
              <w:t>NON</w:t>
            </w:r>
            <w:r>
              <w:rPr>
                <w:rFonts w:ascii="Arial" w:eastAsia="Times New Roman" w:hAnsi="Arial" w:cs="Arial"/>
                <w:sz w:val="20"/>
                <w:szCs w:val="20"/>
                <w:lang w:val="en-AU"/>
              </w:rPr>
              <w:t>-INVAS VENTILN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$19,055.06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$18,703.84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BRONCHOSCOPY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$22,698.45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$20,166.55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0.4709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E42B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BRONCHOSCOPY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$12,419.04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$10,083.28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CYSTIC FIBROSIS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$22,323.69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$19,295.70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CYSTIC FIBROSIS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$18,607.34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$15,725.35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PULMONARY EMBOLISM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$14,930.28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$12,705.95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PULMONARY EMBOLISM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$6,161.61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$5,828.55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0.4893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RESPIRATRY INFECTN/INFLAMM+CCC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$13,703.87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$10,386.66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RESPIRATRY INFECTN/INFLAM+SMCC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$6,984.32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$6,103.85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RESPIRATORY INFECTN/INFLAMM-CC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$4,496.75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17952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$3,773.02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SLEEP APNOEA</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$2,350.71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$1,487.92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PULMONRY OEDEMA &amp;RESP FAIL+CCC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$16,872.43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$9,822.11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0.0253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PULMONRY OEDEMA &amp;RESP FAIL-CCC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$6,926.27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$5,663.25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CHRNIC OBSTRCT AIRWAY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$11,088.39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$9,161.59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CHRNIC OBSTRCT AIRWAY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$5,942.81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$5,257.80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CHEST TRAUMA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$13,374.51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$13,708.48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0.9198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CHEST TRMA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$6,193.88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$6,046.96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0.8462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E66C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CHEST TRAUMA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$2,704.95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$3,337.51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0.0958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RESPIRATRY SIGNS &amp; SYMPTM+CSCC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$6,793.81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$5,440.45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RESPIRTRY SIGNS &amp; SYMPTM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$2,512.85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$2,302.33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PNEUMOTHORAX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$8,720.47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$7,638.51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PNEUMOTHORAX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$4,846.65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$3,872.81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BRONCHITIS &amp; ASTHMA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$5,034.52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$4,805.12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E69B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BRNCHTS&amp;ASTHMA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$2,805.36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$2,338.50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WHOOPNG CGH &amp;ACTE BRNCHIO+CC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$9,061.07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$7,447.40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WHOOPNG CGH &amp;ACTE BRNCHIO-CC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$4,225.26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$3,577.19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RESPIRATORY NEOPLASMS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$15,696.30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$11,205.92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0.0054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RESPIRATORY NEOPLASMS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$7,596.36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$6,300.05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 PROBS FROM NEONATL PERIOD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$4,243.84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$4,015.33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PLEURAL EFFUSION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$14,405.97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$11,414.34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0.4146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PLEURAL EFFUSN +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$6,407.79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$6,404.27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E73C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PLEURAL EFFUSION -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$5,170.96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$4,381.70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INTERSTITAL LUNG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$7,161.26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$10,739.56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INTERSTITIAL LUNG DIS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$10,349.22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$7,521.67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E74C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INTERSTITIAL LUNG DIS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$6,355.16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$5,323.20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RESP SYS DX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$9,677.21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$9,038.53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 RESP SYS DX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$5,649.16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$5,505.68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0.6182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E75C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RESP SYS DX -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$4,223.08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$3,097.92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E76Z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RESPIRATORY TUBERCULOSIS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$19,146.51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$15,317.32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IMPLNTN/REPLCMNT AICD TTL+CCC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$37,629.69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$33,987.42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0.4475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IMPLNTN/REPLCMNT AICD TTL-CCC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$25,401.87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$23,594.41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CRD VLV PR+PMP-INV INVES+CCC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$39,540.58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$38,402.46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0.4687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F04B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CRD VLV PR+PMP-INV INVES-CCC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$32,892.17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$32,976.39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CRNRY BYPSS+INV INVES+REOP/CCC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$43,373.75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$42,001.88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0.4298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CRNRY BYPSS+INV INVES-REOP-CCC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$40,325.02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$36,853.49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CRNRY BYPSS-INV INVS+REOP/CSCC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$33,788.28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$31,860.73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CRNRY BYPSS-INV INVS-REOP-CSCC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$28,002.02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$26,367.54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CARDTHOR/VASC PR+PMP+CCC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$37,384.38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$36,907.06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F07C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CARDTHOR/VASC PR+PMP-CC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$26,083.02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$28,254.06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0.3793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RECONSTRC VASC PR-PUMP+CCC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$31,169.38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$30,116.18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0.7398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RECONSTRC VASC PR-PUMP-CCC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$17,287.85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$19,684.24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CARDIOTHOR PR-PMP+CCC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$25,598.59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$23,654.33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CARDIOTHOR PR-PMP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$16,306.48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$15,774.88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F09C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CARDIOTHOR PR-PMP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$13,607.70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$12,027.79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INTERVENTN CORONARY PR+AMI+CCC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$17,155.25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$17,610.80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INTERVENTN CORONARY PR+AMI-CCC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$10,370.82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$10,510.07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AMPUTN CIRC SYS-UP LMB&amp;TOE+CCC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$40,486.19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$29,999.33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IMPLANT/REPLACE PM,TOT SYS+CCC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$29,761.64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$21,030.98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IMPLANT/REPLACE PM,TOT SYS-CCC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$13,838.45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$12,335.42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UP LIMB&amp;TOE AMP CIRC DIS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$23,517.82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$21,731.98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UP LIMB&amp;TOE AMP CIRC DIS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$7,291.99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$10,812.42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VASC PR-MJR RECONSTRC-PUMP+CCC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$18,077.77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$18,467.85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F14B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VASC PR-MJR RECONSTR-PUMP+SMCC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$9,189.16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$11,066.81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F14C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VASC PR-MJR RECONSTR-PUMP-CC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$7,284.02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$7,884.67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 CORONARY PR-AMI+STN+CSCC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$13,355.35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$12,085.74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0.3674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 CORONRY PR-AMI+STNT-CSCC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$9,037.97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$8,406.24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INTERV CORONARY PR-AMI-STNT-CC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$6,196.15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$6,894.94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0.6056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INSERT/REPLACE PM GENERTR-CSCC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$10,224.80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$8,625.08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F19Z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TRNS-VSCLR PERC CRDC INTRV</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$15,309.54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$13,579.82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0.3983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F20Z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VEIN LIGATION &amp; STRIPPING</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$6,770.84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$5,711.76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0.2698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F21A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CIRC SYS OR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$21,529.69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$18,638.28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F21B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CIRC SYS OR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$8,486.76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$10,211.66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0.0962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CIRC SYS DX+VENTILTR SUPPT+CCC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$24,714.68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$26,318.97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0.6529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CIRC SYS DX+VENTILTR SUPPT-CCC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$23,715.16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$16,220.22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DSRD+AMI+INVA INVE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$12,587.66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$12,873.10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DSRD+AMI+INVA INVE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$8,488.60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$7,341.32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DSRD-AMI+IC IN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$13,711.43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$12,114.04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DSRD-AMI+IC IN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$6,321.70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$6,209.22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F43Z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CIRC SYS DIAG W NIV</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$17,454.71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$18,539.97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DSRD+AMI-INVA INVE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$13,129.35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$10,530.71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CRC DSRD+AMI-INVA INVE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$6,387.83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$4,782.14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8.18</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INFECTIVE ENDOCARDITIS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$28,303.22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$24,058.28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INFECTIVE ENDOCARDITIS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$13,251.10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$12,669.52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HEART FAILURE &amp; SHOCK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$12,720.64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$10,753.80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HEART FAILURE &amp; SHOCK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$6,162.38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$5,445.57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F63A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VENOUS THROMBOSIS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$9,907.14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$8,636.12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VENOUS THROMBOSIS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$4,247.02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$4,084.68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SKN ULCERS CIRC DISORD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$10,779.20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$12,508.80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SKN ULCERS CIRC DISORD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$7,277.82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$7,357.45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PERIPHERAL VASCULAR DSRD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$13,204.26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$9,166.16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0.0774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PERIPHERAL VASCULAR DSRD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$5,740.61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$4,553.27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CORONARY ATHEROSCLEROSIS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$7,409.51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$5,904.81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CORONARY ATHEROSCLEROSIS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$2,740.58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$2,394.59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HYPERTENSION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$7,029.48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$6,630.76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HYPERTENSION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$3,237.16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$3,003.45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CONGENITAL HEART DISEASE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$6,055.50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$4,952.82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0.4969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VALVULAR DISORDERS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$12,164.64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$7,916.26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F69B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VALVULAR DISORDERS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$3,857.97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$2,533.13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0.0053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UNSTABLE ANGINA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$7,215.87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$5,588.72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UNSTABLE ANGINA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$3,163.29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$2,816.02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SYNCOPE &amp; COLLAPSE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$6,199.83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$6,106.78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SYNCOPE &amp; COLLAPSE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$2,881.49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$2,547.36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CHEST PAIN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$2,343.52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$1,882.36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CIRCULATRY SYSTEM DX+CCC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$16,435.93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$12,725.08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CIRCULATRY SYSTEM DX+SMCC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$7,600.94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$6,406.50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F75C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CIRCULATY SYSTEM DX-CC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$5,063.95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$3,589.06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ARRHY, CARD &amp; COND DISDR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$8,104.46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$7,146.35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0.1154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F76B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ARRHY, CARD &amp; COND DISDR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$3,791.46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19715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$2,968.10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4.09</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G01A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RECTAL RESECTION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$28,090.84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$29,837.42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RECTAL RESECTION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$20,963.61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$20,315.47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SMALL &amp; LARGE BOWEL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$27,662.69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$26,540.65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0.4486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SMALL &amp; LARGE BOWEL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$14,585.50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$15,606.72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STOMCH,OESPH&amp;DUODNL PR+MAL/CCC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$28,589.12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$28,214.01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STMCH,OESPHGL&amp;DDNL PR-MAL+SMCC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$15,297.11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$15,099.22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G03C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STMCH,OESPHGL&amp;DDNL PR-MAL-CC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$10,091.84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$10,426.68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PERITONEAL ADHESOLYSIS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$24,774.92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$23,948.04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0.7647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PRTNL ADHLY +SMCC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$15,020.03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$14,194.34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G04C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PERITONEAL ADHESOLYSIS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$8,594.56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$8,818.51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0.6759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G05C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MNR SMALL &amp; LARGE BOWEL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$9,876.10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$9,177.24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0.5628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PYLOROMYOTOMY PROCEDURE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$7,475.26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$7,865.32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APPENDCTMY +MALIG/PERITON/CSCC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$9,525.97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$8,884.20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G07B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APPENDCTMY -MALIG-PERITON-CSCC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$5,701.54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$5,537.88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HERNIA PROCEDURES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$13,936.44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$10,748.27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0.0215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HERNIA PROCEDURES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$5,624.43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16000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$5,303.81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ANAL &amp; STOMAL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$4,865.17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$4,599.00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DIGEST SYS OR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$22,889.84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$20,746.61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DIGEST SYS OR PR+SMCC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$12,136.58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$11,423.61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G12C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DIGEST SYS OR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$8,396.72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$7,927.77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COMPLEX GASTROSCOPY+CCC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$19,454.00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$16,891.86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COMPLEX GASTROSCOPY-CCC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$6,789.76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$6,802.15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0.9796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GASTROSCOPY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$16,396.37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$13,116.22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G47B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GASTROSCOPY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$4,919.54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$4,859.14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COLONSCOPY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$7,326.20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$11,387.76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G48B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COLONSCOPY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$4,749.90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$5,034.88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DIGESTIVE MALIGNANCY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$14,679.29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$10,782.13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DIGESTIVE MALIGNANCY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$6,509.23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$4,815.26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0.0558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GI HAEMORRHAGE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$7,241.28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$6,097.77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GI HAEMORRHAGE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$3,136.01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$2,678.07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COMPLICATED PEPTIC ULCER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$12,317.63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$7,168.84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UNCOMPLICATED PEPTIC ULCER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$4,152.93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$2,678.38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INFLAMMATORY BOWEL DISEASE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$6,830.88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$7,144.25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INFLAMMATORY BOWEL DISEASE-CC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$2,779.18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$4,278.58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GI OBSTRUCTION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$7,839.83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$7,550.56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GI OBSTRUCTION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$4,267.46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$3,508.35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ABDMNL PAIN/MESENTRC ADENTS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$2,538.37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$2,290.16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OESPHS, GASTR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$7,195.57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$6,535.89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OESPHS, GASTR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$2,939.25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$2,397.39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G70A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DIGESTIVE SYS DIAG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$7,555.22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$6,808.33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G70B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DIGESTIVE SYS DIAG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$4,020.68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$2,907.34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PANCREAS, LIVER &amp; SHUNT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$26,197.88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$28,739.18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0.4523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PANCREAS, LIVER &amp;SHUNT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$20,314.85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$17,908.84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BILIARY TRACT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$25,706.89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$26,545.85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0.8096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BILIARY TRACT PR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$13,778.24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$18,605.78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MJR BILIARY TRACT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$11,690.19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$13,058.53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0.5461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HEPATOBILIARY DIAGNTIC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$23,970.52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$9,420.61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0.0723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HEPTOBILRY &amp; PANCRS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$24,683.50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$18,802.67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H06B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HEPTOBILRY &amp;PANCRS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$13,707.33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$7,596.23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OPEN CHOLECYSTECTOMY+CDE/+CCC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$27,961.10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$23,034.15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0.1685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OPEN CHOLECYSTECTOMY-CDE-CCC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$13,727.15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$12,600.33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LAP CHOLECYSTECTMY+CDE/+CSCC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$12,792.55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$12,356.97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H08B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LAP CHOLECYSTECTMY-CDE-CSCC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$6,934.71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$6,884.48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H40A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 PR BLEED OES VARICES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$20,753.40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$16,420.35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0.2677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H40B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 PR BLEED OES VARICES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$8,568.70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$8,600.43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H43A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ERCP PROCEDURE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$13,533.34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$14,481.53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0.5761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H43B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ERCP PROCEDURE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$6,391.76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$6,262.07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0.8017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CIRRHOSIS &amp; ALC HEPATITIS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$12,218.58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$12,960.36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0.3889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CIRRHOSIS &amp; ALC HEPATITIS+SMCC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$6,156.72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$6,284.65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0.7909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H60C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CIRRHOSIS &amp; ALC HEPATITIS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$3,223.38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$3,817.37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MALG HEPATOBILIARY SYS PAN+CCC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$17,270.04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$11,234.31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MALG HEPATOBILIAY SYS PANC-CCC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$8,064.11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$6,065.76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0.0733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DISORDERS PANCREAS-MALIG+CSCC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$7,830.51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$10,077.13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DISORDERS PANCREAS-MALIG-CSCC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$3,842.50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$3,899.93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DSRD LVR-MAL,CIRR,ALC HEP+CSCC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$11,046.00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$10,079.86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0.3453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DSRD LVR-MAL,CIRR,ALC HEP-CSCC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$6,027.95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$4,667.47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DISORDERS OF BILIARY TRACT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$9,187.18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$7,440.13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DISORDERS OF BILIARY TRACT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$5,070.36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$3,091.49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BL/MLT MJ JT PR LWR EXT-RV-CCC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$33,355.16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$26,211.21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MCRVAS TT/SKIN GRAFT+CSCC-HAND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$36,035.78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$32,130.96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0.3161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SKIN GRAFT -CSCC -HAND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$22,022.30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$16,313.72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HIP REPLACEMENT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$26,525.20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$23,943.67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I03B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HIP REPLACEMENT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$20,201.23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$19,073.75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KNEE REPLACEMT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$22,149.50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$22,785.60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KNEE REPLACEMT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$18,076.77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$18,512.33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JNT REPLACEMENT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$19,279.46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$16,714.57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FUSION + DEFORMITY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$33,432.28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$34,915.95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I07Z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AMPUTATION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$24,987.40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$24,747.99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0.9476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HIP &amp; FEMUR PROC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$24,666.28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$21,577.08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HIP &amp; FEMUR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$14,017.34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$14,468.60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FUSION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$35,719.18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$35,313.90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I09B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SPINAL FUSION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$30,321.15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$25,582.12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BACK &amp; NECK PROCS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$27,710.95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$18,631.49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BACK &amp; NECK PROCS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$10,628.20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$10,703.78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INFC/INFM BONE/JNT+MISC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$25,815.31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$24,940.46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INFC/INFM BNE/JNT+MISC PR+SMCC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$16,535.55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$16,726.60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INFC/INFM BNE/JNT+MISC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$12,138.18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$11,038.20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0.3056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HUMER,TIBIA,FIBUL,ANKL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$16,531.72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$18,041.93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0.1571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HUMER,TIBIA,FIBUL,ANKL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$8,661.61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$9,242.58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CRANIO-FACIAL SURGERY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$17,248.06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$18,662.77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0.5491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SHOULDER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$7,370.08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$7,278.22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MAXILLO-FACIAL SURGERY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$15,088.02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$11,395.81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MAXILLO-FACIAL SURGERY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$8,845.87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$7,797.19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I18Z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KNEE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$6,756.78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$6,589.04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$11,783.54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$12,494.91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0.5656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I19B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$7,758.69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$7,458.26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NEONATAL DX NOT CONSNT </w:t>
            </w:r>
            <w:r>
              <w:rPr>
                <w:rFonts w:ascii="Arial" w:eastAsia="Times New Roman" w:hAnsi="Arial" w:cs="Arial"/>
                <w:sz w:val="20"/>
                <w:szCs w:val="20"/>
                <w:lang w:val="en-AU"/>
              </w:rPr>
              <w:lastRenderedPageBreak/>
              <w:t>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126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$7,565.47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$7,349.57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0.6401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I21Z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$7,186.63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$6,934.53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0.8087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$5,038.18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$6,311.01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$9,266.38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$6,940.70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SOFT TISSUE PROCEDURES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$13,267.67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$13,805.39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SOFT TISSUE PROCEDURES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$6,980.98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$6,191.08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MUSCULOSKELETAL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$13,078.07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$14,435.70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MUSCULOSKELETAL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$7,400.92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$6,937.16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I29Z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KNEE RECONSTRUCTION/REVISION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$8,450.81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$8,089.48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I30Z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HAND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$6,107.85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$5,625.56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I31B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HIP REVISION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$25,514.64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$24,646.50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0.8292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I32C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KNEE REVISION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$19,054.49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$22,770.95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0.3223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FEMORAL SHAFT FRACTURES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$20,314.60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$11,889.27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DISTAL FEMORAL FRACTURES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$17,071.89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$10,766.77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DISTAL FEMORAL FRACTURES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$6,686.03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$5,162.71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SPR,STR&amp;DSLC HIP,PELV&amp;THIGH+CC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$6,861.56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$6,868.87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0.09967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SPR,STR&amp;DSLC HIP,PELV&amp;THIGH-CC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$3,487.77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$2,705.00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OSTEOMYELITIS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$17,017.61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$15,046.27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0.2375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OSTEOMYELITIS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$11,858.55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$10,192.57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MUSCSKEL MALIG NEO+CCC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$14,298.29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$14,536.45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0.9192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MUSCSKEL MALIG NEO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$8,636.05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$8,300.38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INFLM MUSCL DSR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$15,362.39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$13,942.42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INFLM MUSCULSKTL DSR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$5,686.31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$5,515.70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SEPTIC ARTHRITIS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$23,505.05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$17,304.84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I67B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SEPTIC ARTHRITIS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$9,623.49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$7,274.50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0.0141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I68A</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-SURG SPINAL DISORDERS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$8,067.34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$9,023.33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0.1297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I68B</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-SURG SPINAL DISORDERS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$4,013.26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$3,618.25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BONE DISEASES AND ARTHRO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$7,793.08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$9,011.89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I69B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BONE DISEASES AND ARTHROP-CSCC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$6,144.45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$4,391.85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4.19</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MUSCTENDIN DISRD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$6,964.97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$7,848.47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0.4933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MUSCTENDIN DISRD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$3,238.53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$3,206.67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0.8909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SPEC MUSCTEND DISRD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$14,141.62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$9,963.96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0.0546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SPEC MUSCTEND DISRD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$5,979.88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$3,812.44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AFTCARE MUSCSK IMPL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$14,654.09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$11,839.62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0.1625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AFTCARE MUSCSK IMPL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$6,313.89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$5,698.78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 FOREARM, WRIST, HAND, FOOT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$4,780.43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$3,020.47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 SH,ARM,ELB,KN,LEG,ANKL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$10,141.06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$8,693.28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0.0645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 SH,ARM,ELB,KN,LEG,ANKL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$5,362.94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$3,243.96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8.14</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MUSCULOSKELETL DSRD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$11,776.09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$8,827.61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MUSCULOSKELETAL DSRD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$5,405.99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$3,756.22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FRACTURE OF PELVIS+CSCC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$10,694.84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$11,331.00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0.7759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FRACTURE OF PELVIS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$6,809.10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$5,857.53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FRACTURE NECK FEMUR+CSCC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$17,297.83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$10,004.36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0.0326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FRACTURE OF NECK FEMUR-CSCC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$10,840.76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$4,037.29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I79B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PATHOLOGICAL FRACTURE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$7,425.84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$7,960.81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PR MALIG BREAST CONDTNS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$9,216.25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$8,910.02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0.8309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MAJOR PR </w:t>
            </w:r>
            <w:r w:rsidR="00F618BE">
              <w:rPr>
                <w:rFonts w:ascii="Arial" w:eastAsia="Times New Roman" w:hAnsi="Arial" w:cs="Arial"/>
                <w:sz w:val="20"/>
                <w:szCs w:val="20"/>
                <w:lang w:val="en-AU"/>
              </w:rPr>
              <w:t>NON</w:t>
            </w:r>
            <w:r>
              <w:rPr>
                <w:rFonts w:ascii="Arial" w:eastAsia="Times New Roman" w:hAnsi="Arial" w:cs="Arial"/>
                <w:sz w:val="20"/>
                <w:szCs w:val="20"/>
                <w:lang w:val="en-AU"/>
              </w:rPr>
              <w:t>-MALIG BREAST CNDS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$9,595.33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$7,842.40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J06Z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MAJOR PR </w:t>
            </w:r>
            <w:r w:rsidR="00F618BE">
              <w:rPr>
                <w:rFonts w:ascii="Arial" w:eastAsia="Times New Roman" w:hAnsi="Arial" w:cs="Arial"/>
                <w:sz w:val="20"/>
                <w:szCs w:val="20"/>
                <w:lang w:val="en-AU"/>
              </w:rPr>
              <w:t>NON</w:t>
            </w:r>
            <w:r>
              <w:rPr>
                <w:rFonts w:ascii="Arial" w:eastAsia="Times New Roman" w:hAnsi="Arial" w:cs="Arial"/>
                <w:sz w:val="20"/>
                <w:szCs w:val="20"/>
                <w:lang w:val="en-AU"/>
              </w:rPr>
              <w:t>-MALIG BREAST CNDS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$9,692.01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$8,711.88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0.0462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J07Z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MINOR PR </w:t>
            </w:r>
            <w:r w:rsidR="00F618BE">
              <w:rPr>
                <w:rFonts w:ascii="Arial" w:eastAsia="Times New Roman" w:hAnsi="Arial" w:cs="Arial"/>
                <w:sz w:val="20"/>
                <w:szCs w:val="20"/>
                <w:lang w:val="en-AU"/>
              </w:rPr>
              <w:t>NON</w:t>
            </w:r>
            <w:r>
              <w:rPr>
                <w:rFonts w:ascii="Arial" w:eastAsia="Times New Roman" w:hAnsi="Arial" w:cs="Arial"/>
                <w:sz w:val="20"/>
                <w:szCs w:val="20"/>
                <w:lang w:val="en-AU"/>
              </w:rPr>
              <w:t>-MALIG BREAST CNDS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$4,711.13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$5,458.09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SKN GRF&amp;/DBRDMNT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$11,436.79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$13,614.52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0.0122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SKN GRF&amp;/DBRDMNT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$6,834.10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$6,804.22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0.9561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J09Z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PERIANAL &amp; PILONIDAL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$4,245.06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$4,882.56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SKN,SUBC TIS &amp; BRST PLASTIC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$8,347.02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$6,636.74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SKIN, SUBC TIS &amp; BRST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$5,933.83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$5,584.42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0.4409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 LMB PR +ULCR/CELS+CCC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$21,037.69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$22,338.54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 LMB PR+ULCR/CELS-CCC+GRAFT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$17,641.68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$16,768.48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0.8959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 LMB PR+ULCR/CELS-CCC-GRAFT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$9,214.79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$10,814.31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0.2074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J13B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 LMB PR-ULC/CEL-CCC-(GFT+SCC)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$4,790.88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$7,699.20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0.0082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SKIN ULCERS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$16,145.07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$13,819.84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SKIN ULCERS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$6,484.84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$6,723.38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MALIGNANT BREAST DISORDERS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$11,683.32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$8,533.08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MALIGNANT BREAST DISORDERS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$8,380.07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$4,615.77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J63A</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-MALIGNANT BREAST DISORD+CC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$6,954.38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$5,209.41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J63B</w:t>
            </w:r>
          </w:p>
        </w:tc>
        <w:tc>
          <w:tcPr>
            <w:tcW w:w="3920" w:type="dxa"/>
            <w:tcBorders>
              <w:top w:val="nil"/>
              <w:left w:val="nil"/>
              <w:bottom w:val="single" w:sz="4" w:space="0" w:color="auto"/>
              <w:right w:val="single" w:sz="4" w:space="0" w:color="auto"/>
            </w:tcBorders>
            <w:noWrap/>
            <w:vAlign w:val="bottom"/>
            <w:hideMark/>
          </w:tcPr>
          <w:p w:rsidR="006C44B6" w:rsidRDefault="00F618BE">
            <w:pPr>
              <w:rPr>
                <w:rFonts w:ascii="Arial" w:eastAsia="Times New Roman" w:hAnsi="Arial" w:cs="Arial"/>
                <w:sz w:val="20"/>
                <w:szCs w:val="20"/>
                <w:lang w:val="en-AU"/>
              </w:rPr>
            </w:pPr>
            <w:r>
              <w:rPr>
                <w:rFonts w:ascii="Arial" w:eastAsia="Times New Roman" w:hAnsi="Arial" w:cs="Arial"/>
                <w:sz w:val="20"/>
                <w:szCs w:val="20"/>
                <w:lang w:val="en-AU"/>
              </w:rPr>
              <w:t>NON</w:t>
            </w:r>
            <w:r w:rsidR="006C44B6">
              <w:rPr>
                <w:rFonts w:ascii="Arial" w:eastAsia="Times New Roman" w:hAnsi="Arial" w:cs="Arial"/>
                <w:sz w:val="20"/>
                <w:szCs w:val="20"/>
                <w:lang w:val="en-AU"/>
              </w:rPr>
              <w:t>-MALIGNANT BREAST DISORD-CC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$4,333.61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$3,110.34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CELLULITIS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$10,298.26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$9,177.71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CELLULITIS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3243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$4,999.82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$3,797.88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TRAUMA TO SKN,SUB TIS&amp;BST+CSCC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$8,493.38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$6,913.60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TRAUMA TO SKN,SUB TIS&amp;BST-CSCC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$2,321.79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$2,392.53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MINOR SKIN DISORDERS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$4,397.63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$3,853.45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J68A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SKIN DISORDERS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$10,095.08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$10,098.22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J68B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SKIN DISORDERS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$5,833.81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$4,648.50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J69B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SKIN MALIGNANCY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$11,145.79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$7,028.28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0.0727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 PR DIABETIC COMPLICATNS+CCC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$26,445.02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$24,841.25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 PR DIABETIC COMPLICATNS-CCC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$16,235.26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$14,758.28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PROCS FOR OBESITY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$15,140.65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$16,500.32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PROCS FOR OBESITY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$7,670.31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$9,659.85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PARATHYROID PROCEDURES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$16,951.42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$13,583.32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PARATHYROID PROCEDURES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$7,494.56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$6,583.17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THYROID PROCEDURES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$22,341.83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$14,455.79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0.1692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THYROID PROCEDURES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$8,741.75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$8,157.75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K08Z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THYROGLOSSAL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$6,520.63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$6,386.56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ENDCRN, NUTR&amp; META PR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$17,186.08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$22,614.53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K09B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ENDCRN, NUTR&amp; META PR+SMCC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$9,905.54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$11,782.87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0.471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K40A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ENDO/INVEST PR METAB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$24,804.01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$22,017.99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0.5501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K40B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ENDO/INVEST PR METAB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$9,099.18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$8,884.74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DIABETES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$13,022.55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$9,971.47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DIABETES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$6,108.91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$5,080.70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SEVERE NUTRITIONAL DISTURBANCE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$17,270.16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$14,432.18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0.1289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MISC METABOLIC DISORDERS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$9,881.16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$7,754.85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MISC METABOLIC DISORDERS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$5,468.45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$3,903.31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INBORN ERRORS OF METABOLISM+CC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$7,409.25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$9,434.69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0.3966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INBORN ERRORS OF METABOLISM-CC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$5,598.04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$5,512.37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0.9758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DISORDERS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$17,721.07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$10,021.71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ENDOCRINE DISORDERS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$7,038.89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$5,268.65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OP INS PERI CATH DIALYSIS+CSCC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$13,835.29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$15,572.54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0.3057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L02B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OP INS PERI CATH DIALYSIS-CSCC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$5,782.62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$5,761.07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0.9522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KDNY,URT&amp;MJR BLDR PR NPSM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$36,975.81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$28,268.05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L03C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KDNY,URT&amp;MJR BLDR PR NPSM-CSCC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$12,938.40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$14,663.57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0.4091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KDY,URT&amp;MJR BLDR PR N-NPM+CCC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$22,673.16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$20,509.97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KDY,URT&amp;MJR BLDR PR N-NPM+SCC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$17,676.36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$13,229.18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0.1615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L04C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KDY,URT&amp;MJR BLDR PR N-NPM-CSCC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$11,572.34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$8,470.04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TRANURETH PROSTATECTOMY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$6,110.52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$6,147.15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0.9489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MINOR BLADDER PROCEDURES+CSCC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$12,387.33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$14,037.57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0.6054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MINOR BLADDER PROCEDURES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$5,837.44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$5,861.45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0.9825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TRANSURETHRAL PROCS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$9,409.09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$9,093.54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0.8303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TRANSURETHRAL PROCS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$5,984.98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$4,649.96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L08B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URETHRAL PROCEDURES -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$9,699.31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$5,146.87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L09A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KIDNY &amp; URNRY TRACT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$20,291.56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$21,258.95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L09B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KIDNY &amp; URNRY TRACT PR+SCC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$12,127.00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$10,438.74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L09C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KIDNY &amp; URNRY TRCT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$7,417.18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$6,904.43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RENAL FAILURE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$16,303.44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$14,043.00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RENAL FAILURE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$8,808.18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$7,820.52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L60C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RENAL FAILURE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$4,548.27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$4,739.30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0.4518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HAEMODIALYSIS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$3,756.07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$900.96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KDNY&amp;UNRY TRCT NEOPLASMS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$16,659.03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$10,310.30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KDNY&amp;UNRY TRCT NEOPLASMS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$4,984.55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$5,407.28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0.8467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 &amp; UNRY TRCT INF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$8,290.53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$8,249.15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0.9079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L63B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 &amp; UNRY TRCT INF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$4,277.20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22248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$3,545.30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URINARY STONES &amp; OBSTRUCTION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$4,389.90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$2,939.43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 &amp; UNRY TR SGNS&amp;SYMPS+CSCC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$7,042.64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$7,083.31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0.9299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KDNY &amp; UNRY TR SGNS&amp;SYMPS-CSCC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$3,369.22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$2,934.27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0.0172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URETHRAL STRICTURE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$5,629.80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$3,600.21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KIDNY &amp; URNRY TRCT DX+CSCC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$12,382.72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$8,406.90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KIDNY &amp; URNRY TRCT DX-CSCC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$5,741.54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$3,868.70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MALE PELVIC PROCS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$24,066.02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$19,536.28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MALE PELVIC PROCS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$16,841.78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$15,520.21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0.3465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TRANSURETHRAL PROSTECTOMY+CSCC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$12,821.57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$11,519.15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TRANSURETHRAL PROSTECTOMY-CSCC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$7,705.64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$6,508.68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0.0475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PENIS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$9,167.77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$7,036.97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TESTES PROCEDURES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$5,094.09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$4,522.65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0.1505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CIRCUMCISION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$4,339.90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$4,427.41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MALIGNANCY, MALE REPR SYS+CSCC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$7,532.97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$9,825.65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MALIGNANCY, MALE REPR SYS-CSCC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$5,242.14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$5,085.23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0.9116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BENIGN PROSTATIC HYPERTROPHY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$11,119.63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$4,971.81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INFLAMMATION MALE REPRD SYSTEM</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$4,081.53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$3,454.54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MALE REPRODUCTIVE SYS DX</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$3,873.59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$2,872.78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0.0193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HYSTERECTOMY FOR </w:t>
            </w:r>
            <w:r w:rsidR="00F618BE">
              <w:rPr>
                <w:rFonts w:ascii="Arial" w:eastAsia="Times New Roman" w:hAnsi="Arial" w:cs="Arial"/>
                <w:sz w:val="20"/>
                <w:szCs w:val="20"/>
                <w:lang w:val="en-AU"/>
              </w:rPr>
              <w:t>NON</w:t>
            </w:r>
            <w:r>
              <w:rPr>
                <w:rFonts w:ascii="Arial" w:eastAsia="Times New Roman" w:hAnsi="Arial" w:cs="Arial"/>
                <w:sz w:val="20"/>
                <w:szCs w:val="20"/>
                <w:lang w:val="en-AU"/>
              </w:rPr>
              <w:t>-MALG+CSCC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$17,445.88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$13,113.03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HYSTERECTOMY FOR </w:t>
            </w:r>
            <w:r w:rsidR="00F618BE">
              <w:rPr>
                <w:rFonts w:ascii="Arial" w:eastAsia="Times New Roman" w:hAnsi="Arial" w:cs="Arial"/>
                <w:sz w:val="20"/>
                <w:szCs w:val="20"/>
                <w:lang w:val="en-AU"/>
              </w:rPr>
              <w:t>NON</w:t>
            </w:r>
            <w:r>
              <w:rPr>
                <w:rFonts w:ascii="Arial" w:eastAsia="Times New Roman" w:hAnsi="Arial" w:cs="Arial"/>
                <w:sz w:val="20"/>
                <w:szCs w:val="20"/>
                <w:lang w:val="en-AU"/>
              </w:rPr>
              <w:t>-MALG-</w:t>
            </w:r>
            <w:r>
              <w:rPr>
                <w:rFonts w:ascii="Arial" w:eastAsia="Times New Roman" w:hAnsi="Arial" w:cs="Arial"/>
                <w:sz w:val="20"/>
                <w:szCs w:val="20"/>
                <w:lang w:val="en-AU"/>
              </w:rPr>
              <w:lastRenderedPageBreak/>
              <w: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212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$10,253.58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$9,070.60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N05A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OOPH&amp;COM FAL TUBE PR NMAL+CSCC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$16,964.72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$13,547.48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OOPH&amp;COM FAL TUBE PR NMAL-CSCC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$8,819.57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$7,803.12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0.0154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FEM REP SYS RECONSTRCT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$8,448.81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$9,693.56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FEM REP SYS RECONSTRCT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$6,071.71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$6,535.84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N07Z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UTERN &amp; ADNEXA PR FOR NMAL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$6,594.04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$6,759.51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0.6067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N08Z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ENDOS &amp; LAPAR PR, FEM REPR SYS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$6,519.63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$5,812.93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N09Z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CONISTN,VAGINA,CERVIX&amp;VULVA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$4,623.46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$4,826.79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N10Z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$4,767.67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$4,672.94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N11Z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$13,777.44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$12,128.95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0.4949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N12A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$22,088.89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$20,615.98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N12B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$12,451.23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$11,758.84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0.3211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$14,203.84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$12,805.27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0.6814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$4,907.19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$5,565.10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INFECTIONS, FEMALE REPROD SYST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$5,029.41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$3,202.88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5.48</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MNSTRL &amp; OTH FEM REPR SYS DIS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$3,998.86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$2,236.58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CAESAREAN DELIVERY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$14,329.43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$13,192.80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CAESAREAN DELIVERY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$10,373.07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$9,603.81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O01C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CAESAREAN DELIVERY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$9,730.39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$8,963.34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DELIVERY +OR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$11,236.42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$10,374.32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O02B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DELIVERY +OR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$8,119.41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$7,290.90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ECTOPIC PREGNANCY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$6,950.45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$6,922.74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0.9606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ECTOPIC PREGNANCY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$6,029.63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$5,037.78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POSTPARTUM&amp;POST ABORTN+PR+CSCC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$15,060.72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$10,672.64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POSTPARTUM&amp;POST ABORTN+PR-CSCC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$7,705.65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$4,989.85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ABORTION+ OR PROC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$3,384.81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$3,156.81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DELIVERY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$14,943.69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$7,374.98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DELIVERY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$9,555.38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$4,722.05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21.13</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 SINGLE UNCOMPL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$6,159.38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$3,456.91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8.64</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VAGINAL DEL SINGLE UNCOMPL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$5,656.34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83072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$5,280.84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POSTPARTUM &amp; POST ABORTN-OR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$4,015.51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8702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$3,144.53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5.64</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ABORTION-OR PROC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$2,862.91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$1,950.12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5.91</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FALSE LABOUR &lt;37 WK/+CCC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$3,244.75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$2,497.53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0.0073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FALSE LABOUR &gt;=37 WK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$1,810.54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$1,384.10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FALSE LABOUR &gt;=37 WK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$2,699.99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$2,683.82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ANTENATAL&amp;OTH OBSTETRIC ADM</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813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$4,085.65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5996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$2,752.09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8.68</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O66Z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ANTENATAL&amp;OTH OBSTETRIC ADM,SD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1861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$3,021.82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$2,746.70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NEONATE,D/T&lt;5DAY ADM+SIG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$7,520.72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$8,504.65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0.3247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1000-1499G+SIG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$41,876.40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$39,745.23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0.7093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1500-1999G+SIG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$31,469.85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$34,807.63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2000-2499G+SIG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$29,280.78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$30,447.95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0.8031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PR+MMP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$37,019.16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$34,790.19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0.4689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PR-MMP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$19,896.64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$19,679.86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0.9451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P60A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NEO,D/TR&lt;5D ADM-SIG PR+NEWBORN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$3,251.77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$3,664.10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NEO,D/TR&lt;5D ADM-SIG PR-NEWBORN</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$4,703.73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$4,719.12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0.9715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NEONATE, ADMISSION WT &lt;750 G</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$18,520.80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$28,474.93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NEONATE, ADMISSION WT 750-999G</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$36,851.94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$32,681.75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1000-1249G-SIG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$23,674.93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$28,184.82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1250-1499G-SIG OR PR</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$28,655.71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$29,648.95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0.6335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1500-1999G-SG OR+MMP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$29,144.86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$27,014.68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0.4116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1500-1999G-SG OR+MJP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$24,017.38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$24,527.71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0.7245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P65C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1500-1999G-SG OR+OTP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$22,954.95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$21,328.71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0.1756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P65D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1500-1999G-SG OR-PRB</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$18,097.85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$17,174.81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2000-2499G-SG OR+MMP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$21,810.95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$20,479.71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2000-2499G-SG OR+MJP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$17,110.95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$16,933.37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0.8728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P66C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2000-2499G-SG OR+OTP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$12,550.97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$12,653.09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0.8564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P66D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2000-2499G-SG OR-PRB</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$7,360.70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$5,221.49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PR+MMP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$17,435.87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$14,498.94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0.0189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PR+MJP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$10,532.27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$8,406.64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PR+OTP</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684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$6,108.04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11818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$5,366.52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P67D</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NEO,ADMWT &gt;2499G-SIG OR PR-PRB</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$3,625.41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12820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$3,080.34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Q01Z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SPLENECTOMY</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$13,470.76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$15,834.53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0.4236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OR PR BLD&amp;BLD FRM ORG+CSCC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$25,192.81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$19,444.52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0.0897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OR PR BLD&amp;BLD FRM ORG-CSCC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$7,516.60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$7,514.69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0.9981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RETICLENDO&amp;IMNTY DIS+CSCC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$10,758.38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$11,182.02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0.5719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RETICLENDO&amp;IMNTY DIS-CSCC+MAL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$6,954.53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$5,999.65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Q60C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RETICLENDO&amp;IMNTY DIS-CSCC-MAL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$4,958.01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$4,400.07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RED BLOOD CELL DISDERS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$8,519.10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$7,022.29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RED BLOOD CELL DISDERS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$3,296.03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8914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$3,032.54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0.0988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Q62Z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COAGULATION DISORDERS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$5,338.28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3215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$4,697.67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NPLSTC DSRD+MJR OR PR+CCC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$32,754.57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$26,170.25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R02C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NPLSTC DSRD+MJR OR PR-CC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$11,103.68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$11,851.38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R03B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LYMPHMA LEUKMA+OTH OR PR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$10,431.23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$10,047.11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0.9072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NPLSTC DSRD+OTH OR PR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$11,956.00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$15,054.90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ACUTE LEUKAEMIA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$34,614.57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$30,266.93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ACUTE LEUKAEMIA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$11,732.13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$9,916.93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0.2739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LYMPHMA &amp;N-ACUTE LEUKAEMIA+CCC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$24,524.83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$22,082.14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0.4539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LYMPHMA &amp;N-ACUTE LEUKAEMIA-CCC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$9,608.70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$8,495.55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0.1338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NEOPLASTIC DISORDERS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$10,733.09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$9,680.14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0.5642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S65A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HIV-RELATED DISEASES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$25,407.49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$23,676.52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0.7295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S65B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HIV-RELATED DISEASES +SCC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$13,747.17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$14,596.57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0.7563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S65C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HIV-RELATED DISEASES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$6,287.43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$10,076.80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0.0155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 PROC INFECT&amp; PARAS DIS+CCC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$26,838.45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$26,134.00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0.7366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 PROC INFECT&amp; PARAS DIS+SMCC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$14,358.04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$14,891.90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0.7264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T01C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OR PROC INFECT &amp; PARAS DIS-CC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$8,209.47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$9,614.15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T40Z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INFECT&amp;PARAS DIS+VENT SUPPORT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$22,888.56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$28,010.18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SEPTICAEMIA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$19,758.28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$14,052.75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5.58</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$9,556.47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5155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$7,309.62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 xml:space="preserve">NEONATAL DX NOT CONSNT </w:t>
            </w:r>
            <w:r>
              <w:rPr>
                <w:rFonts w:ascii="Arial" w:eastAsia="Times New Roman" w:hAnsi="Arial" w:cs="Arial"/>
                <w:sz w:val="20"/>
                <w:szCs w:val="20"/>
                <w:lang w:val="en-AU"/>
              </w:rPr>
              <w:lastRenderedPageBreak/>
              <w:t>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lastRenderedPageBreak/>
              <w:t>88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$12,330.06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$9,539.85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T61B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$5,823.24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$4,553.09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$6,007.60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$6,184.54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0.7143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$3,965.69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$3,160.39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$3,089.21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$2,898.15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INFECTOUS&amp;PARSTIC DIS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$17,707.10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$17,864.97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0.9318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INFECTOUS&amp;PARSTIC DIS+SMCC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$11,971.35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$8,820.86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T64C</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INFECTOUS &amp; PARSTIC DIS-CC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$5,723.81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$4,904.41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0.1878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SCHIZOPHRENIA DISORDERS+MHLS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$18,751.90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3400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$13,354.11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5.99</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SCHIZOPHRENIA DISORDERS-MHLS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$9,682.13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40889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$9,782.21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0.7483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SCHIZOPHRENIA DISORDERS-MHLS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$13,470.66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$15,836.05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-6.06</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PAR&amp;ACUTE PSYCH DSRD+CSCC/MHLS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$15,545.81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$13,933.90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PAR&amp;ACUTE PSYCH DSRD-CSCC-MHLS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$8,443.06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$9,496.25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0.2803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AFFECTIVE DSRD A&lt;70-CSCC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$14,612.34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$10,605.12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MAJOR AFFECTIVE DSRD A&lt;70-CSCC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$14,123.97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$15,037.16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0.1344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AFFECT &amp; SOMATOFORM DSRD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$7,327.99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$7,816.55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ANXIETY DISORDERS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$5,666.35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6061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$4,757.68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0.0712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U66Z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EATING &amp; OBSESSV-COMPULSV DSRD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$18,429.53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$18,356.72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U67Z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PERSONLTY DSRD&amp;ACUTE REACTIONS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1252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$5,961.12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14807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$6,199.73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0.2925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U68Z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CHILDHOOD MENTAL DISORDERS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$10,761.26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$11,046.82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0.8881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V60A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 INTOXICATN&amp;WITHDRWL+CC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$3,603.19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$5,025.09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 INTOXICATN&amp;WITHDRWL-CC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$1,948.95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1061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$1,892.32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0.8638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 INTOXICATN&amp;WITHDRWL-CC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845</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$2,133.08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$2,750.73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-5.77</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DRUG INTOXICTN &amp; WITHDRAWAL</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$8,329.17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$7,337.86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0.0229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ALCOHOL USE DSRD &amp; DEPENDENCE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$5,993.94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4367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$6,314.02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0.3421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OPIOID USE DSRD &amp; DEPENDENCE</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$4,943.72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$5,072.82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0.7601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V64Z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DRUG USE DISORD &amp; DEPEND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247</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$4,542.16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1769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$4,990.19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0.1914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W01Z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VENTILN/CRANIA MULT SIG TRAUMA</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$37,407.57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$35,829.82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0.6779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ABDOMINAL PR MULT SIG TRAUMA</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$18,052.44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$23,220.45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lower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OR PR MULT SIG TRAUMA-CSCC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$29,340.74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$22,168.90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W60Z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MULTIPLE TRAUMA, DIED/TRANSF&lt;5</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$8,091.89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$8,946.58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0.6772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MULTIPLE TRAUMA-SIGNIF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$23,827.41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$17,985.55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0.0407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W61B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MULTIPLE TRAUMA-SIGNIF PR-CSCC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$12,663.31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$10,200.72</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0.0937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MVTT/SKIN GFT+CSCC INJUR HAND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$16,495.88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$11,679.89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0.0384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SKIN GRAFT INJURIES HAND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$4,106.25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$4,914.67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0.1134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PR INJ LWR LMB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$14,147.65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$14,789.69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0.8187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PR INJ LOWR LIMB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$5,332.40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$5,205.48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0.7019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X05A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$9,526.22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$8,234.79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0.1634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X05B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$5,541.06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3162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$4,182.45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3.35</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X06A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$11,721.57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$12,902.49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-1.21</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0.2277</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X06B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$5,475.42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$5,407.50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0.7845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X07A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$21,429.37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$19,533.95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0.4678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X07B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$11,779.41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$11,034.67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0.7396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X40Z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INJ,POIS,TOX EFF DRUG W VENT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$20,297.64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791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$19,046.31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0.534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X60A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INJURIES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$7,793.93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5250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$6,705.88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X60B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INJURIES -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1519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$3,624.70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16911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$2,404.79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10.84</w:t>
            </w:r>
          </w:p>
        </w:tc>
        <w:tc>
          <w:tcPr>
            <w:tcW w:w="992"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&lt;0.0001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ALLERGIC REACTIONS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$3,039.56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$1,708.81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2.18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0.0321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POISNG/TOXC EFF DRUGS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192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$7,325.30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4212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$7,742.29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0.5063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POISNG/TOXC EFF DRUGS -CSCC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859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$3,102.37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14151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$3,002.66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0.4891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SEQUELAE OF TREATMNT+CSCC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$10,135.49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2405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$7,679.19</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0.0225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SEQUELAE OF TREATMNT-CSCC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$4,864.28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7089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$3,393.96</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INJ, POIS &amp; TOX EF DX+CSCC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$9,502.58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$7,359.58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1.26</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X64B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INJ, POIS &amp;TOX EFF DX-CSCC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149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$2,960.44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1770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$2,303.98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1.65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0.1005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Y02A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BURNS + SKIN GRAFT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$25,773.86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$23,449.54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1.03</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0.3042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Y02B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BURNS + SKIN GRAFT -CC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$17,416.71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841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$13,485.64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0.0049</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Y03Z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OTHER OR PROCS FOR OTHER BURNS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$12,926.04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430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$9,594.30</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0.143</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Y60Z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BURNS,TRANS OTH ACUT CARE &lt;5 D</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$2,414.26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$1,879.14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1.17</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0.2414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Y61Z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SEVERE BURNS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$12,821.82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276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$8,338.85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3.45</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0.0006</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Y62A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$11,403.21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413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$7,852.54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0.0014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Y62B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139</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$5,688.35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1310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$3,381.57</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3.59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0.0004</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Z01A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$12,448.75</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404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$12,042.85</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0.9052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Z01B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24</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$5,892.59</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827</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$5,643.18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0.6932</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Z61A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SIGNS AND SYMPTOMS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223</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$4,749.12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5936</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$4,441.43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0.82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0.4108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lastRenderedPageBreak/>
              <w:t>Z63A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SURG FU &amp; MED CARE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$15,256.78</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1273</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$11,539.24</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2.39</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0.0168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Z63B</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SURG FU &amp; MED CARE - CCC</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298</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$6,600.02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4722</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$5,220.33</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2.62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0.0091</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reject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higher</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Z64A</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OTH FACTOR INFL HEALTH STATUS</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522</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$4,430.80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6580</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$3,905.41</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1.88</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0.0605</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r w:rsidR="006C44B6" w:rsidTr="006C44B6">
        <w:trPr>
          <w:trHeight w:val="280"/>
          <w:jc w:val="right"/>
        </w:trPr>
        <w:tc>
          <w:tcPr>
            <w:tcW w:w="1134" w:type="dxa"/>
            <w:tcBorders>
              <w:top w:val="nil"/>
              <w:left w:val="single" w:sz="4" w:space="0" w:color="auto"/>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Z65Z</w:t>
            </w:r>
          </w:p>
        </w:tc>
        <w:tc>
          <w:tcPr>
            <w:tcW w:w="3920"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NEONATAL DX NOT CONSNT AGE/WGT</w:t>
            </w:r>
          </w:p>
        </w:tc>
        <w:tc>
          <w:tcPr>
            <w:tcW w:w="11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w:t>
            </w:r>
          </w:p>
        </w:tc>
        <w:tc>
          <w:tcPr>
            <w:tcW w:w="1417"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$11,173.64</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101</w:t>
            </w:r>
          </w:p>
        </w:tc>
        <w:tc>
          <w:tcPr>
            <w:tcW w:w="1276"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$6,523.38</w:t>
            </w:r>
          </w:p>
        </w:tc>
        <w:tc>
          <w:tcPr>
            <w:tcW w:w="850"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1.2</w:t>
            </w:r>
          </w:p>
        </w:tc>
        <w:tc>
          <w:tcPr>
            <w:tcW w:w="992" w:type="dxa"/>
            <w:tcBorders>
              <w:top w:val="nil"/>
              <w:left w:val="nil"/>
              <w:bottom w:val="single" w:sz="4" w:space="0" w:color="auto"/>
              <w:right w:val="single" w:sz="4" w:space="0" w:color="auto"/>
            </w:tcBorders>
            <w:noWrap/>
            <w:vAlign w:val="bottom"/>
            <w:hideMark/>
          </w:tcPr>
          <w:p w:rsidR="006C44B6" w:rsidRDefault="006C44B6">
            <w:pPr>
              <w:jc w:val="right"/>
              <w:rPr>
                <w:rFonts w:ascii="Arial" w:eastAsia="Times New Roman" w:hAnsi="Arial" w:cs="Arial"/>
                <w:sz w:val="20"/>
                <w:szCs w:val="20"/>
                <w:lang w:val="en-AU"/>
              </w:rPr>
            </w:pPr>
            <w:r>
              <w:rPr>
                <w:rFonts w:ascii="Arial" w:eastAsia="Times New Roman" w:hAnsi="Arial" w:cs="Arial"/>
                <w:sz w:val="20"/>
                <w:szCs w:val="20"/>
                <w:lang w:val="en-AU"/>
              </w:rPr>
              <w:t>0.2568</w:t>
            </w:r>
          </w:p>
        </w:tc>
        <w:tc>
          <w:tcPr>
            <w:tcW w:w="865"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accept</w:t>
            </w:r>
          </w:p>
        </w:tc>
        <w:tc>
          <w:tcPr>
            <w:tcW w:w="864" w:type="dxa"/>
            <w:tcBorders>
              <w:top w:val="nil"/>
              <w:left w:val="nil"/>
              <w:bottom w:val="single" w:sz="4" w:space="0" w:color="auto"/>
              <w:right w:val="single" w:sz="4" w:space="0" w:color="auto"/>
            </w:tcBorders>
            <w:noWrap/>
            <w:vAlign w:val="bottom"/>
            <w:hideMark/>
          </w:tcPr>
          <w:p w:rsidR="006C44B6" w:rsidRDefault="006C44B6">
            <w:pPr>
              <w:rPr>
                <w:rFonts w:ascii="Arial" w:eastAsia="Times New Roman" w:hAnsi="Arial" w:cs="Arial"/>
                <w:sz w:val="20"/>
                <w:szCs w:val="20"/>
                <w:lang w:val="en-AU"/>
              </w:rPr>
            </w:pPr>
            <w:r>
              <w:rPr>
                <w:rFonts w:ascii="Arial" w:eastAsia="Times New Roman" w:hAnsi="Arial" w:cs="Arial"/>
                <w:sz w:val="20"/>
                <w:szCs w:val="20"/>
                <w:lang w:val="en-AU"/>
              </w:rPr>
              <w:t>same</w:t>
            </w:r>
          </w:p>
        </w:tc>
      </w:tr>
    </w:tbl>
    <w:p w:rsidR="006C44B6" w:rsidRDefault="006C44B6" w:rsidP="006C44B6">
      <w:pPr>
        <w:rPr>
          <w:rFonts w:ascii="Arial" w:hAnsi="Arial" w:cs="Arial"/>
          <w:lang w:val="en-AU" w:eastAsia="en-AU"/>
        </w:rPr>
        <w:sectPr w:rsidR="006C44B6">
          <w:pgSz w:w="15840" w:h="12240" w:orient="landscape"/>
          <w:pgMar w:top="1800" w:right="1440" w:bottom="1800" w:left="1440" w:header="720" w:footer="720" w:gutter="0"/>
          <w:cols w:space="720"/>
        </w:sectPr>
      </w:pPr>
    </w:p>
    <w:p w:rsidR="006C44B6" w:rsidRDefault="006C44B6" w:rsidP="00287791">
      <w:pPr>
        <w:pStyle w:val="EYHeading1"/>
        <w:numPr>
          <w:ilvl w:val="0"/>
          <w:numId w:val="0"/>
        </w:numPr>
        <w:ind w:left="850"/>
        <w:rPr>
          <w:rFonts w:eastAsiaTheme="minorEastAsia" w:hint="eastAsia"/>
          <w:lang w:val="en-US"/>
        </w:rPr>
      </w:pPr>
      <w:bookmarkStart w:id="104" w:name="_Toc426115417"/>
      <w:bookmarkStart w:id="105" w:name="_Toc426117653"/>
      <w:r>
        <w:lastRenderedPageBreak/>
        <w:t xml:space="preserve">Appendix G: T test results for </w:t>
      </w:r>
      <w:r w:rsidR="00190E37">
        <w:t>Subacute</w:t>
      </w:r>
      <w:r>
        <w:t xml:space="preserve"> admitted trimmed dataset Round 16 (2011/12)</w:t>
      </w:r>
      <w:bookmarkEnd w:id="104"/>
      <w:bookmarkEnd w:id="105"/>
    </w:p>
    <w:p w:rsidR="006C44B6" w:rsidRDefault="006C44B6" w:rsidP="006C44B6">
      <w:pPr>
        <w:rPr>
          <w:rFonts w:ascii="Arial" w:hAnsi="Arial" w:cs="Arial"/>
          <w:lang w:val="en-AU" w:eastAsia="en-AU"/>
        </w:rPr>
      </w:pPr>
    </w:p>
    <w:tbl>
      <w:tblPr>
        <w:tblW w:w="13230" w:type="dxa"/>
        <w:jc w:val="center"/>
        <w:tblBorders>
          <w:top w:val="single" w:sz="4" w:space="0" w:color="B0B7BB"/>
          <w:left w:val="single" w:sz="4" w:space="0" w:color="B0B7BB"/>
          <w:bottom w:val="single" w:sz="4" w:space="0" w:color="B0B7BB"/>
          <w:right w:val="single" w:sz="4" w:space="0" w:color="B0B7BB"/>
          <w:insideH w:val="single" w:sz="4" w:space="0" w:color="B0B7BB"/>
          <w:insideV w:val="single" w:sz="4" w:space="0" w:color="B0B7BB"/>
        </w:tblBorders>
        <w:tblLayout w:type="fixed"/>
        <w:tblLook w:val="04A0" w:firstRow="1" w:lastRow="0" w:firstColumn="1" w:lastColumn="0" w:noHBand="0" w:noVBand="1"/>
        <w:tblCaption w:val="Appendix G: T test results for Subacute admitted trimmed dataset Round 16 (2011/12)"/>
      </w:tblPr>
      <w:tblGrid>
        <w:gridCol w:w="1057"/>
        <w:gridCol w:w="2125"/>
        <w:gridCol w:w="1275"/>
        <w:gridCol w:w="1276"/>
        <w:gridCol w:w="1276"/>
        <w:gridCol w:w="1134"/>
        <w:gridCol w:w="850"/>
        <w:gridCol w:w="992"/>
        <w:gridCol w:w="1418"/>
        <w:gridCol w:w="1827"/>
      </w:tblGrid>
      <w:tr w:rsidR="006C44B6" w:rsidTr="000B5460">
        <w:trPr>
          <w:gridAfter w:val="4"/>
          <w:wAfter w:w="5087" w:type="dxa"/>
          <w:trHeight w:val="300"/>
          <w:tblHeader/>
          <w:jc w:val="center"/>
        </w:trPr>
        <w:tc>
          <w:tcPr>
            <w:tcW w:w="3185" w:type="dxa"/>
            <w:gridSpan w:val="2"/>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Round 16</w:t>
            </w:r>
          </w:p>
        </w:tc>
        <w:tc>
          <w:tcPr>
            <w:tcW w:w="2551" w:type="dxa"/>
            <w:gridSpan w:val="2"/>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Indigenous</w:t>
            </w:r>
          </w:p>
        </w:tc>
        <w:tc>
          <w:tcPr>
            <w:tcW w:w="2410" w:type="dxa"/>
            <w:gridSpan w:val="2"/>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7A097D">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Non-Indigenous</w:t>
            </w:r>
          </w:p>
        </w:tc>
      </w:tr>
      <w:tr w:rsidR="006C44B6" w:rsidTr="000B5460">
        <w:trPr>
          <w:trHeight w:val="320"/>
          <w:tblHeader/>
          <w:jc w:val="center"/>
        </w:trPr>
        <w:tc>
          <w:tcPr>
            <w:tcW w:w="1058"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Product type</w:t>
            </w:r>
          </w:p>
        </w:tc>
        <w:tc>
          <w:tcPr>
            <w:tcW w:w="2127"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Description</w:t>
            </w:r>
          </w:p>
        </w:tc>
        <w:tc>
          <w:tcPr>
            <w:tcW w:w="1275"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Number of Patients</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1276"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Number of Patients</w:t>
            </w:r>
          </w:p>
        </w:tc>
        <w:tc>
          <w:tcPr>
            <w:tcW w:w="1134"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Average Cost</w:t>
            </w:r>
          </w:p>
        </w:tc>
        <w:tc>
          <w:tcPr>
            <w:tcW w:w="850"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lang w:val="en-AU"/>
              </w:rPr>
              <w:t>T Value</w:t>
            </w:r>
          </w:p>
        </w:tc>
        <w:tc>
          <w:tcPr>
            <w:tcW w:w="992"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proofErr w:type="spellStart"/>
            <w:r>
              <w:rPr>
                <w:rFonts w:ascii="Arial" w:eastAsia="Times New Roman" w:hAnsi="Arial" w:cs="Arial"/>
                <w:b/>
                <w:color w:val="000000"/>
                <w:sz w:val="20"/>
                <w:szCs w:val="20"/>
                <w:lang w:val="en-AU"/>
              </w:rPr>
              <w:t>Pr</w:t>
            </w:r>
            <w:proofErr w:type="spellEnd"/>
            <w:r>
              <w:rPr>
                <w:rFonts w:ascii="Arial" w:eastAsia="Times New Roman" w:hAnsi="Arial" w:cs="Arial"/>
                <w:b/>
                <w:color w:val="000000"/>
                <w:sz w:val="20"/>
                <w:szCs w:val="20"/>
                <w:lang w:val="en-AU"/>
              </w:rPr>
              <w:t xml:space="preserve"> &gt; |t|</w:t>
            </w:r>
          </w:p>
        </w:tc>
        <w:tc>
          <w:tcPr>
            <w:tcW w:w="1418" w:type="dxa"/>
            <w:tcBorders>
              <w:top w:val="single" w:sz="4" w:space="0" w:color="B0B7BB"/>
              <w:left w:val="single" w:sz="4" w:space="0" w:color="B0B7BB"/>
              <w:bottom w:val="single" w:sz="4" w:space="0" w:color="B0B7BB"/>
              <w:right w:val="single" w:sz="4" w:space="0" w:color="B0B7BB"/>
            </w:tcBorders>
            <w:shd w:val="clear" w:color="auto" w:fill="CCCCCC"/>
            <w:noWrap/>
            <w:hideMark/>
          </w:tcPr>
          <w:p w:rsidR="006C44B6" w:rsidRDefault="006C44B6">
            <w:pPr>
              <w:jc w:val="center"/>
              <w:rPr>
                <w:rFonts w:ascii="Arial" w:eastAsia="Times New Roman" w:hAnsi="Arial" w:cs="Arial"/>
                <w:b/>
                <w:color w:val="000000"/>
                <w:sz w:val="20"/>
                <w:szCs w:val="20"/>
                <w:lang w:val="en-AU"/>
              </w:rPr>
            </w:pPr>
            <w:r>
              <w:rPr>
                <w:rFonts w:ascii="Arial" w:eastAsia="Times New Roman" w:hAnsi="Arial" w:cs="Arial"/>
                <w:b/>
                <w:color w:val="000000"/>
                <w:sz w:val="20"/>
                <w:szCs w:val="20"/>
              </w:rPr>
              <w:t>Hypothesis (</w:t>
            </w:r>
            <w:r>
              <w:rPr>
                <w:rFonts w:ascii="Arial" w:hAnsi="Arial" w:cs="Arial"/>
                <w:b/>
                <w:sz w:val="20"/>
                <w:szCs w:val="20"/>
              </w:rPr>
              <w:t>H</w:t>
            </w:r>
            <w:r>
              <w:rPr>
                <w:rFonts w:ascii="Arial" w:hAnsi="Arial" w:cs="Arial"/>
                <w:b/>
                <w:sz w:val="20"/>
                <w:szCs w:val="20"/>
                <w:vertAlign w:val="subscript"/>
              </w:rPr>
              <w:t>0</w:t>
            </w:r>
            <w:r w:rsidR="000A6CA6" w:rsidRPr="009D7F6D">
              <w:rPr>
                <w:rStyle w:val="IntenseReference"/>
                <w:rFonts w:asciiTheme="majorHAnsi" w:hAnsiTheme="majorHAnsi" w:cs="Times New Roman"/>
                <w:b w:val="0"/>
                <w:bCs w:val="0"/>
                <w:smallCaps w:val="0"/>
                <w:color w:val="000000" w:themeColor="text1"/>
                <w:sz w:val="22"/>
                <w:szCs w:val="22"/>
              </w:rPr>
              <w:t xml:space="preserve"> 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hAnsi="Arial" w:cs="Arial"/>
                <w:b/>
                <w:sz w:val="20"/>
                <w:szCs w:val="20"/>
              </w:rPr>
              <w:t>)</w:t>
            </w:r>
          </w:p>
        </w:tc>
        <w:tc>
          <w:tcPr>
            <w:tcW w:w="1827" w:type="dxa"/>
            <w:tcBorders>
              <w:top w:val="single" w:sz="4" w:space="0" w:color="B0B7BB"/>
              <w:left w:val="single" w:sz="4" w:space="0" w:color="B0B7BB"/>
              <w:bottom w:val="single" w:sz="4" w:space="0" w:color="B0B7BB"/>
              <w:right w:val="single" w:sz="4" w:space="0" w:color="B0B7BB"/>
            </w:tcBorders>
            <w:shd w:val="clear" w:color="auto" w:fill="CCCCCC"/>
            <w:hideMark/>
          </w:tcPr>
          <w:p w:rsidR="006C44B6" w:rsidRDefault="006C44B6">
            <w:pPr>
              <w:jc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Interpretation (Indigenous cost relative to </w:t>
            </w:r>
            <w:r w:rsidR="007A097D">
              <w:rPr>
                <w:rFonts w:ascii="Arial" w:eastAsia="Times New Roman" w:hAnsi="Arial" w:cs="Arial"/>
                <w:b/>
                <w:color w:val="000000"/>
                <w:sz w:val="20"/>
                <w:szCs w:val="20"/>
              </w:rPr>
              <w:t>Non-Indigenous</w:t>
            </w:r>
            <w:r>
              <w:rPr>
                <w:rFonts w:ascii="Arial" w:eastAsia="Times New Roman" w:hAnsi="Arial" w:cs="Arial"/>
                <w:b/>
                <w:color w:val="000000"/>
                <w:sz w:val="20"/>
                <w:szCs w:val="20"/>
              </w:rPr>
              <w:t xml:space="preserve"> Cost)</w:t>
            </w:r>
          </w:p>
        </w:tc>
      </w:tr>
      <w:tr w:rsidR="006C44B6" w:rsidTr="000B5460">
        <w:trPr>
          <w:trHeight w:val="50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GM</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Geriatric Evaluation and Management</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103</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$15,798.30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11,073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$11,338.90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2.51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0.0136</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B5460">
        <w:trPr>
          <w:trHeight w:val="32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MA</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Maintenance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439</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$14,229.80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16,143</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$11,678.60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2.69</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0.0075</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B5460">
        <w:trPr>
          <w:trHeight w:val="50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OA</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Other Admitted Patient Care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161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$4,948.60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1,164</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$26.425.50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-22.12</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&lt; 0.0001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jc w:val="center"/>
              <w:rPr>
                <w:rFonts w:ascii="Arial" w:eastAsia="Times New Roman" w:hAnsi="Arial" w:cs="Arial"/>
                <w:color w:val="000000"/>
                <w:sz w:val="20"/>
                <w:szCs w:val="20"/>
              </w:rPr>
            </w:pPr>
            <w:r>
              <w:rPr>
                <w:rFonts w:ascii="Arial" w:eastAsia="Times New Roman" w:hAnsi="Arial" w:cs="Arial"/>
                <w:color w:val="000000"/>
                <w:sz w:val="20"/>
                <w:szCs w:val="20"/>
              </w:rPr>
              <w:t>Lower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0B5460">
        <w:trPr>
          <w:trHeight w:val="32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PC</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Palliative Care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447</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$6,652.70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25,115</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$7,291.50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-1.55</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0.1228</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accept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pPr>
              <w:jc w:val="center"/>
              <w:rPr>
                <w:rFonts w:ascii="Arial" w:eastAsia="Times New Roman" w:hAnsi="Arial" w:cs="Arial"/>
                <w:color w:val="000000"/>
                <w:sz w:val="20"/>
                <w:szCs w:val="20"/>
                <w:highlight w:val="green"/>
              </w:rPr>
            </w:pPr>
            <w:r>
              <w:rPr>
                <w:rFonts w:ascii="Arial" w:eastAsia="Times New Roman" w:hAnsi="Arial" w:cs="Arial"/>
                <w:color w:val="000000"/>
                <w:sz w:val="20"/>
                <w:szCs w:val="20"/>
              </w:rPr>
              <w:t>No significant difference</w:t>
            </w:r>
            <w:r>
              <w:rPr>
                <w:rFonts w:ascii="Arial" w:eastAsia="Times New Roman" w:hAnsi="Arial" w:cs="Arial"/>
                <w:color w:val="000000"/>
                <w:sz w:val="20"/>
                <w:szCs w:val="20"/>
              </w:rPr>
              <w:b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20"/>
                <w:szCs w:val="20"/>
              </w:rPr>
              <w:t>)</w:t>
            </w:r>
          </w:p>
        </w:tc>
      </w:tr>
      <w:tr w:rsidR="006C44B6" w:rsidTr="000B5460">
        <w:trPr>
          <w:trHeight w:val="50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PG</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Psychogeriatric Care</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$41,429.70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1,838</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$23,872.50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2.41</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0.0161</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jc w:val="center"/>
              <w:rPr>
                <w:rFonts w:ascii="Arial" w:eastAsia="Times New Roman" w:hAnsi="Arial" w:cs="Arial"/>
                <w:color w:val="000000"/>
                <w:sz w:val="20"/>
                <w:szCs w:val="20"/>
                <w:highlight w:val="green"/>
              </w:rPr>
            </w:pPr>
            <w:r>
              <w:rPr>
                <w:rFonts w:ascii="Arial" w:eastAsia="Times New Roman" w:hAnsi="Arial" w:cs="Arial"/>
                <w:color w:val="000000"/>
                <w:sz w:val="20"/>
                <w:szCs w:val="20"/>
              </w:rPr>
              <w:t>Higher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r w:rsidR="006C44B6" w:rsidTr="000B5460">
        <w:trPr>
          <w:trHeight w:val="500"/>
          <w:jc w:val="center"/>
        </w:trPr>
        <w:tc>
          <w:tcPr>
            <w:tcW w:w="105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RH</w:t>
            </w:r>
          </w:p>
        </w:tc>
        <w:tc>
          <w:tcPr>
            <w:tcW w:w="21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rPr>
                <w:rFonts w:ascii="Arial" w:eastAsia="Times New Roman" w:hAnsi="Arial" w:cs="Arial"/>
                <w:sz w:val="20"/>
                <w:szCs w:val="20"/>
                <w:lang w:val="en-AU"/>
              </w:rPr>
            </w:pPr>
            <w:r>
              <w:rPr>
                <w:rFonts w:ascii="Arial" w:eastAsia="Times New Roman" w:hAnsi="Arial" w:cs="Arial"/>
                <w:sz w:val="20"/>
                <w:szCs w:val="20"/>
                <w:lang w:val="en-AU"/>
              </w:rPr>
              <w:t>Rehabilitation</w:t>
            </w:r>
          </w:p>
        </w:tc>
        <w:tc>
          <w:tcPr>
            <w:tcW w:w="1275"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1,194</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$14,255.10</w:t>
            </w:r>
          </w:p>
        </w:tc>
        <w:tc>
          <w:tcPr>
            <w:tcW w:w="1276"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53,771</w:t>
            </w:r>
          </w:p>
        </w:tc>
        <w:tc>
          <w:tcPr>
            <w:tcW w:w="1134"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$12,375.20</w:t>
            </w:r>
          </w:p>
        </w:tc>
        <w:tc>
          <w:tcPr>
            <w:tcW w:w="850"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3.56</w:t>
            </w:r>
          </w:p>
        </w:tc>
        <w:tc>
          <w:tcPr>
            <w:tcW w:w="992"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lang w:val="en-AU"/>
              </w:rPr>
              <w:t>0.0004</w:t>
            </w:r>
          </w:p>
        </w:tc>
        <w:tc>
          <w:tcPr>
            <w:tcW w:w="1418" w:type="dxa"/>
            <w:tcBorders>
              <w:top w:val="single" w:sz="4" w:space="0" w:color="B0B7BB"/>
              <w:left w:val="single" w:sz="4" w:space="0" w:color="B0B7BB"/>
              <w:bottom w:val="single" w:sz="4" w:space="0" w:color="B0B7BB"/>
              <w:right w:val="single" w:sz="4" w:space="0" w:color="B0B7BB"/>
            </w:tcBorders>
            <w:noWrap/>
            <w:vAlign w:val="bottom"/>
            <w:hideMark/>
          </w:tcPr>
          <w:p w:rsidR="006C44B6" w:rsidRDefault="006C44B6">
            <w:pPr>
              <w:jc w:val="center"/>
              <w:rPr>
                <w:rFonts w:ascii="Arial" w:eastAsia="Times New Roman" w:hAnsi="Arial" w:cs="Arial"/>
                <w:color w:val="000000"/>
                <w:sz w:val="20"/>
                <w:szCs w:val="20"/>
                <w:lang w:val="en-AU"/>
              </w:rPr>
            </w:pPr>
            <w:r>
              <w:rPr>
                <w:rFonts w:ascii="Arial" w:eastAsia="Times New Roman" w:hAnsi="Arial" w:cs="Arial"/>
                <w:color w:val="000000"/>
                <w:sz w:val="20"/>
                <w:szCs w:val="20"/>
              </w:rPr>
              <w:t>reject</w:t>
            </w:r>
          </w:p>
        </w:tc>
        <w:tc>
          <w:tcPr>
            <w:tcW w:w="1827" w:type="dxa"/>
            <w:tcBorders>
              <w:top w:val="single" w:sz="4" w:space="0" w:color="B0B7BB"/>
              <w:left w:val="single" w:sz="4" w:space="0" w:color="B0B7BB"/>
              <w:bottom w:val="single" w:sz="4" w:space="0" w:color="B0B7BB"/>
              <w:right w:val="single" w:sz="4" w:space="0" w:color="B0B7BB"/>
            </w:tcBorders>
            <w:vAlign w:val="bottom"/>
            <w:hideMark/>
          </w:tcPr>
          <w:p w:rsidR="006C44B6" w:rsidRDefault="006C44B6" w:rsidP="000A6CA6">
            <w:pPr>
              <w:jc w:val="center"/>
              <w:rPr>
                <w:rFonts w:ascii="Arial" w:eastAsia="Times New Roman" w:hAnsi="Arial" w:cs="Arial"/>
                <w:color w:val="000000"/>
                <w:sz w:val="20"/>
                <w:szCs w:val="20"/>
              </w:rPr>
            </w:pPr>
            <w:r>
              <w:rPr>
                <w:rFonts w:ascii="Arial" w:eastAsia="Times New Roman" w:hAnsi="Arial" w:cs="Arial"/>
                <w:color w:val="000000"/>
                <w:sz w:val="20"/>
                <w:szCs w:val="20"/>
              </w:rPr>
              <w:t>Higher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1</w:t>
            </w:r>
            <w:r w:rsidR="000A6CA6">
              <w:rPr>
                <w:rStyle w:val="IntenseReference"/>
                <w:rFonts w:asciiTheme="majorHAnsi" w:hAnsiTheme="majorHAnsi" w:cs="Times New Roman"/>
                <w:b w:val="0"/>
                <w:bCs w:val="0"/>
                <w:smallCaps w:val="0"/>
                <w:color w:val="000000" w:themeColor="text1"/>
                <w:sz w:val="22"/>
                <w:szCs w:val="22"/>
                <w:vertAlign w:val="subscript"/>
              </w:rPr>
              <w:t xml:space="preserve"> </w:t>
            </w:r>
            <w:r w:rsidR="000A6CA6">
              <w:rPr>
                <w:rStyle w:val="IntenseReference"/>
                <w:rFonts w:asciiTheme="majorHAnsi" w:hAnsiTheme="majorHAnsi" w:cs="Times New Roman"/>
                <w:b w:val="0"/>
                <w:bCs w:val="0"/>
                <w:smallCaps w:val="0"/>
                <w:color w:val="000000" w:themeColor="text1"/>
                <w:sz w:val="20"/>
                <w:szCs w:val="20"/>
              </w:rPr>
              <w:t xml:space="preserve">˃ </w:t>
            </w:r>
            <w:r w:rsidR="000A6CA6" w:rsidRPr="009D7F6D">
              <w:rPr>
                <w:rStyle w:val="IntenseReference"/>
                <w:rFonts w:asciiTheme="majorHAnsi" w:hAnsiTheme="majorHAnsi" w:cs="Times New Roman"/>
                <w:b w:val="0"/>
                <w:bCs w:val="0"/>
                <w:smallCaps w:val="0"/>
                <w:color w:val="000000" w:themeColor="text1"/>
                <w:sz w:val="22"/>
                <w:szCs w:val="22"/>
              </w:rPr>
              <w:t>µ</w:t>
            </w:r>
            <w:r w:rsidR="000A6CA6" w:rsidRPr="009D7F6D">
              <w:rPr>
                <w:rStyle w:val="IntenseReference"/>
                <w:rFonts w:asciiTheme="majorHAnsi" w:hAnsiTheme="majorHAnsi" w:cs="Times New Roman"/>
                <w:b w:val="0"/>
                <w:bCs w:val="0"/>
                <w:smallCaps w:val="0"/>
                <w:color w:val="000000" w:themeColor="text1"/>
                <w:sz w:val="22"/>
                <w:szCs w:val="22"/>
                <w:vertAlign w:val="subscript"/>
              </w:rPr>
              <w:t>2</w:t>
            </w:r>
            <w:r>
              <w:rPr>
                <w:rFonts w:ascii="Arial" w:eastAsia="Times New Roman" w:hAnsi="Arial" w:cs="Arial"/>
                <w:color w:val="000000"/>
                <w:sz w:val="18"/>
                <w:szCs w:val="18"/>
              </w:rPr>
              <w:t>)</w:t>
            </w:r>
          </w:p>
        </w:tc>
      </w:tr>
    </w:tbl>
    <w:p w:rsidR="007D54A5" w:rsidRPr="005E6149" w:rsidRDefault="007D54A5" w:rsidP="002A4454">
      <w:pPr>
        <w:rPr>
          <w:rFonts w:ascii="Arial" w:hAnsi="Arial" w:cs="Arial"/>
          <w:sz w:val="22"/>
          <w:szCs w:val="22"/>
        </w:rPr>
      </w:pPr>
    </w:p>
    <w:sectPr w:rsidR="007D54A5" w:rsidRPr="005E6149" w:rsidSect="00F77CAF">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13C" w:rsidRDefault="00E6713C" w:rsidP="00973631">
      <w:r>
        <w:separator/>
      </w:r>
    </w:p>
  </w:endnote>
  <w:endnote w:type="continuationSeparator" w:id="0">
    <w:p w:rsidR="00E6713C" w:rsidRDefault="00E6713C" w:rsidP="0097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YInterstate Light">
    <w:altName w:val="Times New Roman"/>
    <w:panose1 w:val="00000000000000000000"/>
    <w:charset w:val="00"/>
    <w:family w:val="roman"/>
    <w:notTrueType/>
    <w:pitch w:val="default"/>
  </w:font>
  <w:font w:name="EYInterstate">
    <w:altName w:val="Corbel"/>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IN-Light">
    <w:altName w:val="Cambria"/>
    <w:panose1 w:val="00000000000000000000"/>
    <w:charset w:val="00"/>
    <w:family w:val="swiss"/>
    <w:notTrueType/>
    <w:pitch w:val="default"/>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ヒラギノ角ゴ Pro W3">
    <w:charset w:val="4E"/>
    <w:family w:val="auto"/>
    <w:pitch w:val="variable"/>
    <w:sig w:usb0="E00002FF" w:usb1="7AC7FFFF" w:usb2="00000012" w:usb3="00000000" w:csb0="0002000D"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American Typewriter">
    <w:charset w:val="00"/>
    <w:family w:val="auto"/>
    <w:pitch w:val="variable"/>
    <w:sig w:usb0="A000006F" w:usb1="00000019" w:usb2="00000000" w:usb3="00000000" w:csb0="000001FB" w:csb1="00000000"/>
  </w:font>
  <w:font w:name="Times">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C7" w:rsidRDefault="00B31DC7" w:rsidP="00B237F7">
    <w:pPr>
      <w:pStyle w:val="Footer"/>
      <w:pBdr>
        <w:top w:val="thinThickSmallGap" w:sz="24" w:space="1" w:color="3366FF"/>
      </w:pBdr>
      <w:rPr>
        <w:rStyle w:val="PageNumber"/>
        <w:sz w:val="18"/>
        <w:szCs w:val="18"/>
      </w:rPr>
    </w:pPr>
    <w:r>
      <w:rPr>
        <w:sz w:val="18"/>
        <w:szCs w:val="18"/>
      </w:rPr>
      <w:t>Independent Hospital Pricing Authority</w:t>
    </w:r>
    <w:r w:rsidRPr="00031FBC">
      <w:rPr>
        <w:sz w:val="18"/>
        <w:szCs w:val="18"/>
      </w:rPr>
      <w:tab/>
    </w:r>
    <w:r>
      <w:rPr>
        <w:sz w:val="18"/>
        <w:szCs w:val="18"/>
      </w:rPr>
      <w:tab/>
    </w:r>
    <w:r w:rsidRPr="00031FBC">
      <w:rPr>
        <w:sz w:val="18"/>
        <w:szCs w:val="18"/>
      </w:rPr>
      <w:t xml:space="preserve">page </w:t>
    </w:r>
    <w:r w:rsidRPr="00031FBC">
      <w:rPr>
        <w:rStyle w:val="PageNumber"/>
        <w:sz w:val="18"/>
        <w:szCs w:val="18"/>
      </w:rPr>
      <w:fldChar w:fldCharType="begin"/>
    </w:r>
    <w:r w:rsidRPr="00031FBC">
      <w:rPr>
        <w:rStyle w:val="PageNumber"/>
        <w:sz w:val="18"/>
        <w:szCs w:val="18"/>
      </w:rPr>
      <w:instrText xml:space="preserve"> PAGE </w:instrText>
    </w:r>
    <w:r w:rsidRPr="00031FBC">
      <w:rPr>
        <w:rStyle w:val="PageNumber"/>
        <w:sz w:val="18"/>
        <w:szCs w:val="18"/>
      </w:rPr>
      <w:fldChar w:fldCharType="separate"/>
    </w:r>
    <w:r w:rsidR="00934D8E">
      <w:rPr>
        <w:rStyle w:val="PageNumber"/>
        <w:noProof/>
        <w:sz w:val="18"/>
        <w:szCs w:val="18"/>
      </w:rPr>
      <w:t>i</w:t>
    </w:r>
    <w:r w:rsidRPr="00031FBC">
      <w:rPr>
        <w:rStyle w:val="PageNumber"/>
        <w:sz w:val="18"/>
        <w:szCs w:val="18"/>
      </w:rPr>
      <w:fldChar w:fldCharType="end"/>
    </w:r>
  </w:p>
  <w:p w:rsidR="00B31DC7" w:rsidRPr="00BF31EA" w:rsidRDefault="00B31DC7" w:rsidP="00D3740C">
    <w:pPr>
      <w:pStyle w:val="Footer"/>
    </w:pPr>
    <w:r>
      <w:rPr>
        <w:rStyle w:val="PageNumber"/>
        <w:sz w:val="18"/>
        <w:szCs w:val="18"/>
      </w:rPr>
      <w:t>Indigenous Patient Costing Report</w:t>
    </w:r>
    <w:r>
      <w:rPr>
        <w:rStyle w:val="PageNumber"/>
        <w:sz w:val="18"/>
        <w:szCs w:val="18"/>
      </w:rPr>
      <w:tab/>
    </w:r>
    <w:r>
      <w:rPr>
        <w:rStyle w:val="PageNumber"/>
        <w:sz w:val="18"/>
        <w:szCs w:val="18"/>
      </w:rPr>
      <w:tab/>
      <w:t>July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C7" w:rsidRPr="002F01A3" w:rsidRDefault="00B31DC7" w:rsidP="002F01A3">
    <w:pPr>
      <w:pStyle w:val="Footer"/>
      <w:ind w:right="360"/>
      <w:rPr>
        <w:sz w:val="18"/>
        <w:szCs w:val="18"/>
      </w:rPr>
    </w:pPr>
    <w:r w:rsidRPr="002F01A3">
      <w:rPr>
        <w:sz w:val="18"/>
        <w:szCs w:val="18"/>
      </w:rPr>
      <w:t>SA Pathology Review</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C7" w:rsidRDefault="00B31DC7" w:rsidP="00B638E6">
    <w:pPr>
      <w:pStyle w:val="Footer"/>
      <w:pBdr>
        <w:top w:val="thinThickSmallGap" w:sz="24" w:space="1" w:color="3366FF"/>
      </w:pBdr>
      <w:rPr>
        <w:rStyle w:val="PageNumber"/>
        <w:sz w:val="18"/>
        <w:szCs w:val="18"/>
      </w:rPr>
    </w:pPr>
    <w:r>
      <w:rPr>
        <w:sz w:val="18"/>
        <w:szCs w:val="18"/>
      </w:rPr>
      <w:t>Independent Hospital Pricing Authority</w:t>
    </w:r>
    <w:r w:rsidRPr="00031FBC">
      <w:rPr>
        <w:sz w:val="18"/>
        <w:szCs w:val="18"/>
      </w:rPr>
      <w:tab/>
    </w:r>
    <w:r>
      <w:rPr>
        <w:sz w:val="18"/>
        <w:szCs w:val="18"/>
      </w:rPr>
      <w:tab/>
    </w:r>
    <w:r w:rsidRPr="00031FBC">
      <w:rPr>
        <w:sz w:val="18"/>
        <w:szCs w:val="18"/>
      </w:rPr>
      <w:t xml:space="preserve">page </w:t>
    </w:r>
    <w:r w:rsidRPr="00031FBC">
      <w:rPr>
        <w:rStyle w:val="PageNumber"/>
        <w:sz w:val="18"/>
        <w:szCs w:val="18"/>
      </w:rPr>
      <w:fldChar w:fldCharType="begin"/>
    </w:r>
    <w:r w:rsidRPr="00031FBC">
      <w:rPr>
        <w:rStyle w:val="PageNumber"/>
        <w:sz w:val="18"/>
        <w:szCs w:val="18"/>
      </w:rPr>
      <w:instrText xml:space="preserve"> PAGE </w:instrText>
    </w:r>
    <w:r w:rsidRPr="00031FBC">
      <w:rPr>
        <w:rStyle w:val="PageNumber"/>
        <w:sz w:val="18"/>
        <w:szCs w:val="18"/>
      </w:rPr>
      <w:fldChar w:fldCharType="separate"/>
    </w:r>
    <w:r w:rsidR="00934D8E">
      <w:rPr>
        <w:rStyle w:val="PageNumber"/>
        <w:noProof/>
        <w:sz w:val="18"/>
        <w:szCs w:val="18"/>
      </w:rPr>
      <w:t>114</w:t>
    </w:r>
    <w:r w:rsidRPr="00031FBC">
      <w:rPr>
        <w:rStyle w:val="PageNumber"/>
        <w:sz w:val="18"/>
        <w:szCs w:val="18"/>
      </w:rPr>
      <w:fldChar w:fldCharType="end"/>
    </w:r>
  </w:p>
  <w:p w:rsidR="00B31DC7" w:rsidRPr="00031FBC" w:rsidRDefault="00B31DC7" w:rsidP="000611DF">
    <w:pPr>
      <w:pStyle w:val="Footer"/>
      <w:rPr>
        <w:sz w:val="18"/>
        <w:szCs w:val="18"/>
      </w:rPr>
    </w:pPr>
    <w:r>
      <w:rPr>
        <w:rStyle w:val="PageNumber"/>
        <w:sz w:val="18"/>
        <w:szCs w:val="18"/>
      </w:rPr>
      <w:t>Indigenous Patient Costing Report</w:t>
    </w:r>
    <w:r>
      <w:rPr>
        <w:rStyle w:val="PageNumber"/>
        <w:sz w:val="18"/>
        <w:szCs w:val="18"/>
      </w:rPr>
      <w:tab/>
    </w:r>
    <w:r>
      <w:rPr>
        <w:rStyle w:val="PageNumber"/>
        <w:sz w:val="18"/>
        <w:szCs w:val="18"/>
      </w:rPr>
      <w:tab/>
      <w:t>November 2014</w:t>
    </w:r>
  </w:p>
  <w:p w:rsidR="00B31DC7" w:rsidRPr="00B47E2C" w:rsidRDefault="00B31DC7" w:rsidP="0049622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13C" w:rsidRDefault="00E6713C" w:rsidP="00973631">
      <w:r>
        <w:separator/>
      </w:r>
    </w:p>
  </w:footnote>
  <w:footnote w:type="continuationSeparator" w:id="0">
    <w:p w:rsidR="00E6713C" w:rsidRDefault="00E6713C" w:rsidP="00973631">
      <w:r>
        <w:continuationSeparator/>
      </w:r>
    </w:p>
  </w:footnote>
  <w:footnote w:id="1">
    <w:p w:rsidR="00B31DC7" w:rsidRPr="007F3AED" w:rsidRDefault="00B31DC7" w:rsidP="008E5E73">
      <w:pPr>
        <w:pStyle w:val="FootnoteText"/>
        <w:rPr>
          <w:rFonts w:ascii="Corbel" w:hAnsi="Corbel"/>
          <w:sz w:val="16"/>
          <w:szCs w:val="16"/>
        </w:rPr>
      </w:pPr>
      <w:r w:rsidRPr="007F3AED">
        <w:rPr>
          <w:rStyle w:val="FootnoteReference"/>
          <w:rFonts w:ascii="Corbel" w:hAnsi="Corbel"/>
          <w:sz w:val="16"/>
          <w:szCs w:val="16"/>
        </w:rPr>
        <w:footnoteRef/>
      </w:r>
      <w:r w:rsidRPr="007F3AED">
        <w:rPr>
          <w:rFonts w:ascii="Corbel" w:hAnsi="Corbel"/>
          <w:sz w:val="16"/>
          <w:szCs w:val="16"/>
        </w:rPr>
        <w:t xml:space="preserve"> </w:t>
      </w:r>
      <w:r w:rsidRPr="007F3AED">
        <w:rPr>
          <w:rFonts w:ascii="Corbel" w:hAnsi="Corbel" w:cs="Times New Roman"/>
          <w:sz w:val="16"/>
          <w:szCs w:val="16"/>
        </w:rPr>
        <w:t xml:space="preserve">SCRGSP (Steering Committee for the Review of Government Service Provision) 2012, </w:t>
      </w:r>
      <w:r w:rsidRPr="007F3AED">
        <w:rPr>
          <w:rFonts w:ascii="Corbel" w:hAnsi="Corbel" w:cs="Times"/>
          <w:iCs/>
          <w:sz w:val="16"/>
          <w:szCs w:val="16"/>
        </w:rPr>
        <w:t xml:space="preserve">2012 Indigenous Expenditure Report, </w:t>
      </w:r>
      <w:r w:rsidRPr="007F3AED">
        <w:rPr>
          <w:rFonts w:ascii="Corbel" w:hAnsi="Corbel" w:cs="Times New Roman"/>
          <w:sz w:val="16"/>
          <w:szCs w:val="16"/>
        </w:rPr>
        <w:t>Productivity Commission, Canberra</w:t>
      </w:r>
    </w:p>
  </w:footnote>
  <w:footnote w:id="2">
    <w:p w:rsidR="00B31DC7" w:rsidRPr="00D43B93" w:rsidRDefault="00B31DC7" w:rsidP="008E5E73">
      <w:pPr>
        <w:widowControl w:val="0"/>
        <w:autoSpaceDE w:val="0"/>
        <w:autoSpaceDN w:val="0"/>
        <w:adjustRightInd w:val="0"/>
      </w:pPr>
      <w:r w:rsidRPr="00D43B93">
        <w:rPr>
          <w:rStyle w:val="FootnoteReference"/>
          <w:rFonts w:ascii="Corbel" w:hAnsi="Corbel"/>
          <w:sz w:val="16"/>
          <w:szCs w:val="16"/>
        </w:rPr>
        <w:footnoteRef/>
      </w:r>
      <w:r w:rsidRPr="00D43B93">
        <w:rPr>
          <w:rFonts w:ascii="Corbel" w:hAnsi="Corbel"/>
          <w:sz w:val="16"/>
          <w:szCs w:val="16"/>
        </w:rPr>
        <w:t xml:space="preserve"> </w:t>
      </w:r>
      <w:proofErr w:type="spellStart"/>
      <w:r w:rsidRPr="00D43B93">
        <w:rPr>
          <w:rFonts w:ascii="Corbel" w:hAnsi="Corbel"/>
          <w:sz w:val="16"/>
          <w:szCs w:val="16"/>
        </w:rPr>
        <w:t>Deeble</w:t>
      </w:r>
      <w:proofErr w:type="spellEnd"/>
      <w:r w:rsidRPr="00D43B93">
        <w:rPr>
          <w:rFonts w:ascii="Corbel" w:hAnsi="Corbel"/>
          <w:sz w:val="16"/>
          <w:szCs w:val="16"/>
        </w:rPr>
        <w:t xml:space="preserve"> J.; </w:t>
      </w:r>
      <w:r w:rsidRPr="00D43B93">
        <w:rPr>
          <w:rFonts w:ascii="Corbel" w:hAnsi="Corbel" w:cs="Arial"/>
          <w:bCs/>
          <w:sz w:val="16"/>
          <w:szCs w:val="16"/>
        </w:rPr>
        <w:t>Assessing the health service use of Aboriginal and Torres Strait Islander peoples, undated</w:t>
      </w:r>
    </w:p>
  </w:footnote>
  <w:footnote w:id="3">
    <w:p w:rsidR="00B31DC7" w:rsidRPr="00D43B93" w:rsidRDefault="00B31DC7" w:rsidP="008E5E73">
      <w:pPr>
        <w:widowControl w:val="0"/>
        <w:autoSpaceDE w:val="0"/>
        <w:autoSpaceDN w:val="0"/>
        <w:adjustRightInd w:val="0"/>
        <w:rPr>
          <w:rFonts w:ascii="Corbel" w:hAnsi="Corbel"/>
          <w:sz w:val="16"/>
          <w:szCs w:val="16"/>
        </w:rPr>
      </w:pPr>
      <w:r w:rsidRPr="00D43B93">
        <w:rPr>
          <w:rStyle w:val="FootnoteReference"/>
          <w:rFonts w:ascii="Corbel" w:hAnsi="Corbel"/>
          <w:sz w:val="16"/>
          <w:szCs w:val="16"/>
        </w:rPr>
        <w:footnoteRef/>
      </w:r>
      <w:r w:rsidRPr="00D43B93">
        <w:rPr>
          <w:rFonts w:ascii="Corbel" w:hAnsi="Corbel"/>
          <w:sz w:val="16"/>
          <w:szCs w:val="16"/>
        </w:rPr>
        <w:t xml:space="preserve"> </w:t>
      </w:r>
      <w:r w:rsidRPr="00D43B93">
        <w:rPr>
          <w:rFonts w:ascii="Corbel" w:hAnsi="Corbel" w:cs="Arial"/>
          <w:sz w:val="16"/>
          <w:szCs w:val="16"/>
        </w:rPr>
        <w:t>Australian Institute of Health and Welfare, Expenditures oh health for Aboriginal and Torres Strait Islander peoples, 2004-05, Feb.2008, Cat.no HWE 40, pp 4-5, 21-22</w:t>
      </w:r>
    </w:p>
  </w:footnote>
  <w:footnote w:id="4">
    <w:p w:rsidR="00B31DC7" w:rsidRPr="006C6097" w:rsidRDefault="00B31DC7">
      <w:pPr>
        <w:pStyle w:val="FootnoteText"/>
        <w:rPr>
          <w:sz w:val="16"/>
          <w:szCs w:val="16"/>
        </w:rPr>
      </w:pPr>
      <w:r w:rsidRPr="006C6097">
        <w:rPr>
          <w:rStyle w:val="FootnoteReference"/>
          <w:sz w:val="16"/>
          <w:szCs w:val="16"/>
        </w:rPr>
        <w:footnoteRef/>
      </w:r>
      <w:r w:rsidRPr="006C6097">
        <w:rPr>
          <w:sz w:val="16"/>
          <w:szCs w:val="16"/>
        </w:rPr>
        <w:t xml:space="preserve"> </w:t>
      </w:r>
      <w:hyperlink r:id="rId1" w:history="1">
        <w:r w:rsidRPr="006C6097">
          <w:rPr>
            <w:rStyle w:val="Hyperlink"/>
            <w:rFonts w:ascii="Corbel" w:hAnsi="Corbel"/>
            <w:sz w:val="16"/>
            <w:szCs w:val="16"/>
          </w:rPr>
          <w:t>http://www.abs.gov.au/ausstats/abs@.nsf/latestProducts/3238.0.55.001Media%20Release1June%202011</w:t>
        </w:r>
      </w:hyperlink>
      <w:r w:rsidRPr="006C6097">
        <w:rPr>
          <w:rFonts w:ascii="Corbel" w:hAnsi="Corbel"/>
          <w:sz w:val="16"/>
          <w:szCs w:val="16"/>
        </w:rPr>
        <w:t xml:space="preserve"> accessed September 2014</w:t>
      </w:r>
    </w:p>
  </w:footnote>
  <w:footnote w:id="5">
    <w:p w:rsidR="00B31DC7" w:rsidRPr="006C6097" w:rsidRDefault="00B31DC7">
      <w:pPr>
        <w:pStyle w:val="FootnoteText"/>
        <w:rPr>
          <w:rFonts w:ascii="Corbel" w:hAnsi="Corbel"/>
          <w:sz w:val="16"/>
          <w:szCs w:val="16"/>
        </w:rPr>
      </w:pPr>
      <w:r w:rsidRPr="006C6097">
        <w:rPr>
          <w:rStyle w:val="FootnoteReference"/>
          <w:rFonts w:ascii="Corbel" w:hAnsi="Corbel"/>
          <w:sz w:val="16"/>
          <w:szCs w:val="16"/>
        </w:rPr>
        <w:footnoteRef/>
      </w:r>
      <w:r w:rsidRPr="006C6097">
        <w:rPr>
          <w:rFonts w:ascii="Corbel" w:hAnsi="Corbel"/>
          <w:sz w:val="16"/>
          <w:szCs w:val="16"/>
        </w:rPr>
        <w:t xml:space="preserve"> </w:t>
      </w:r>
      <w:hyperlink r:id="rId2" w:history="1">
        <w:r w:rsidRPr="006C6097">
          <w:rPr>
            <w:rStyle w:val="Hyperlink"/>
            <w:rFonts w:ascii="Corbel" w:hAnsi="Corbel"/>
            <w:sz w:val="16"/>
            <w:szCs w:val="16"/>
          </w:rPr>
          <w:t>http://www.abs.gov.au/ausstats/abs@.nsf/0/1647509ef7e25faaca2568a900154b63?opendocument</w:t>
        </w:r>
      </w:hyperlink>
      <w:r w:rsidRPr="006C6097">
        <w:rPr>
          <w:rFonts w:ascii="Corbel" w:hAnsi="Corbel"/>
          <w:sz w:val="16"/>
          <w:szCs w:val="16"/>
        </w:rPr>
        <w:t xml:space="preserve"> accessed September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C7" w:rsidRDefault="00B31DC7" w:rsidP="00B237F7">
    <w:pPr>
      <w:pStyle w:val="Header"/>
      <w:pBdr>
        <w:bottom w:val="thinThickSmallGap" w:sz="24" w:space="1" w:color="3366FF"/>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F84122"/>
    <w:lvl w:ilvl="0">
      <w:start w:val="1"/>
      <w:numFmt w:val="bullet"/>
      <w:pStyle w:val="Bullet"/>
      <w:lvlText w:val=""/>
      <w:lvlJc w:val="left"/>
      <w:pPr>
        <w:tabs>
          <w:tab w:val="num" w:pos="-7862"/>
        </w:tabs>
        <w:ind w:left="-7862" w:hanging="360"/>
      </w:pPr>
      <w:rPr>
        <w:rFonts w:ascii="Symbol" w:hAnsi="Symbol" w:hint="default"/>
      </w:rPr>
    </w:lvl>
  </w:abstractNum>
  <w:abstractNum w:abstractNumId="1">
    <w:nsid w:val="01926ED7"/>
    <w:multiLevelType w:val="hybridMultilevel"/>
    <w:tmpl w:val="EA22970E"/>
    <w:lvl w:ilvl="0" w:tplc="12163ACC">
      <w:start w:val="1"/>
      <w:numFmt w:val="decimal"/>
      <w:pStyle w:val="Numbered105cm"/>
      <w:lvlText w:val="(%1)"/>
      <w:lvlJc w:val="left"/>
      <w:pPr>
        <w:tabs>
          <w:tab w:val="num" w:pos="851"/>
        </w:tabs>
        <w:ind w:left="851"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F77109"/>
    <w:multiLevelType w:val="hybridMultilevel"/>
    <w:tmpl w:val="55622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E464A"/>
    <w:multiLevelType w:val="hybridMultilevel"/>
    <w:tmpl w:val="98A6BE50"/>
    <w:lvl w:ilvl="0" w:tplc="0FF443DC">
      <w:start w:val="1"/>
      <w:numFmt w:val="bullet"/>
      <w:pStyle w:val="Bulleted1"/>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0E7699"/>
    <w:multiLevelType w:val="hybridMultilevel"/>
    <w:tmpl w:val="4ACA9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356C9E"/>
    <w:multiLevelType w:val="hybridMultilevel"/>
    <w:tmpl w:val="A16C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C06C9"/>
    <w:multiLevelType w:val="hybridMultilevel"/>
    <w:tmpl w:val="0408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77B91"/>
    <w:multiLevelType w:val="hybridMultilevel"/>
    <w:tmpl w:val="86527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3160B"/>
    <w:multiLevelType w:val="hybridMultilevel"/>
    <w:tmpl w:val="CB889F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67DE9"/>
    <w:multiLevelType w:val="hybridMultilevel"/>
    <w:tmpl w:val="EE54D340"/>
    <w:lvl w:ilvl="0" w:tplc="220EF6A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B57F2"/>
    <w:multiLevelType w:val="hybridMultilevel"/>
    <w:tmpl w:val="EEFCC31E"/>
    <w:lvl w:ilvl="0" w:tplc="1FD45A3E">
      <w:start w:val="1"/>
      <w:numFmt w:val="bullet"/>
      <w:pStyle w:val="bullets"/>
      <w:lvlText w:val=""/>
      <w:lvlJc w:val="left"/>
      <w:pPr>
        <w:tabs>
          <w:tab w:val="num" w:pos="360"/>
        </w:tabs>
        <w:ind w:left="312" w:hanging="312"/>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AE0823"/>
    <w:multiLevelType w:val="hybridMultilevel"/>
    <w:tmpl w:val="B482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044EC4"/>
    <w:multiLevelType w:val="hybridMultilevel"/>
    <w:tmpl w:val="26B2E1E6"/>
    <w:lvl w:ilvl="0" w:tplc="0E005C52">
      <w:numFmt w:val="bullet"/>
      <w:pStyle w:val="BulletPoints"/>
      <w:lvlText w:val="•"/>
      <w:lvlJc w:val="left"/>
      <w:pPr>
        <w:ind w:left="6" w:hanging="360"/>
      </w:pPr>
      <w:rPr>
        <w:rFonts w:ascii="Calibri" w:eastAsia="Calibri" w:hAnsi="Calibri" w:cs="Symbol" w:hint="default"/>
        <w:sz w:val="18"/>
      </w:rPr>
    </w:lvl>
    <w:lvl w:ilvl="1" w:tplc="D33C6388">
      <w:start w:val="1"/>
      <w:numFmt w:val="bullet"/>
      <w:lvlText w:val="-"/>
      <w:lvlJc w:val="left"/>
      <w:pPr>
        <w:ind w:left="726" w:hanging="360"/>
      </w:pPr>
      <w:rPr>
        <w:rFonts w:ascii="Times New Roman" w:hAnsi="Times New Roman" w:cs="Times New Roman" w:hint="default"/>
        <w:sz w:val="18"/>
      </w:rPr>
    </w:lvl>
    <w:lvl w:ilvl="2" w:tplc="0C090005">
      <w:start w:val="1"/>
      <w:numFmt w:val="bullet"/>
      <w:lvlText w:val=""/>
      <w:lvlJc w:val="left"/>
      <w:pPr>
        <w:ind w:left="1446" w:hanging="360"/>
      </w:pPr>
      <w:rPr>
        <w:rFonts w:ascii="Wingdings" w:hAnsi="Wingdings" w:hint="default"/>
      </w:rPr>
    </w:lvl>
    <w:lvl w:ilvl="3" w:tplc="0C090001">
      <w:start w:val="1"/>
      <w:numFmt w:val="bullet"/>
      <w:lvlText w:val=""/>
      <w:lvlJc w:val="left"/>
      <w:pPr>
        <w:ind w:left="2166" w:hanging="360"/>
      </w:pPr>
      <w:rPr>
        <w:rFonts w:ascii="Symbol" w:hAnsi="Symbol" w:hint="default"/>
      </w:rPr>
    </w:lvl>
    <w:lvl w:ilvl="4" w:tplc="0C090003">
      <w:start w:val="1"/>
      <w:numFmt w:val="bullet"/>
      <w:lvlText w:val="o"/>
      <w:lvlJc w:val="left"/>
      <w:pPr>
        <w:ind w:left="2886" w:hanging="360"/>
      </w:pPr>
      <w:rPr>
        <w:rFonts w:ascii="Courier New" w:hAnsi="Courier New" w:cs="Courier New" w:hint="default"/>
      </w:rPr>
    </w:lvl>
    <w:lvl w:ilvl="5" w:tplc="0C090005">
      <w:start w:val="1"/>
      <w:numFmt w:val="bullet"/>
      <w:lvlText w:val=""/>
      <w:lvlJc w:val="left"/>
      <w:pPr>
        <w:ind w:left="3606" w:hanging="360"/>
      </w:pPr>
      <w:rPr>
        <w:rFonts w:ascii="Wingdings" w:hAnsi="Wingdings" w:hint="default"/>
      </w:rPr>
    </w:lvl>
    <w:lvl w:ilvl="6" w:tplc="0C090001">
      <w:start w:val="1"/>
      <w:numFmt w:val="bullet"/>
      <w:lvlText w:val=""/>
      <w:lvlJc w:val="left"/>
      <w:pPr>
        <w:ind w:left="4326" w:hanging="360"/>
      </w:pPr>
      <w:rPr>
        <w:rFonts w:ascii="Symbol" w:hAnsi="Symbol" w:hint="default"/>
      </w:rPr>
    </w:lvl>
    <w:lvl w:ilvl="7" w:tplc="0C090003">
      <w:start w:val="1"/>
      <w:numFmt w:val="bullet"/>
      <w:lvlText w:val="o"/>
      <w:lvlJc w:val="left"/>
      <w:pPr>
        <w:ind w:left="5046" w:hanging="360"/>
      </w:pPr>
      <w:rPr>
        <w:rFonts w:ascii="Courier New" w:hAnsi="Courier New" w:cs="Courier New" w:hint="default"/>
      </w:rPr>
    </w:lvl>
    <w:lvl w:ilvl="8" w:tplc="0C090005">
      <w:start w:val="1"/>
      <w:numFmt w:val="bullet"/>
      <w:lvlText w:val=""/>
      <w:lvlJc w:val="left"/>
      <w:pPr>
        <w:ind w:left="5766" w:hanging="360"/>
      </w:pPr>
      <w:rPr>
        <w:rFonts w:ascii="Wingdings" w:hAnsi="Wingdings" w:hint="default"/>
      </w:rPr>
    </w:lvl>
  </w:abstractNum>
  <w:abstractNum w:abstractNumId="13">
    <w:nsid w:val="226D683C"/>
    <w:multiLevelType w:val="hybridMultilevel"/>
    <w:tmpl w:val="EE2A8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405501"/>
    <w:multiLevelType w:val="hybridMultilevel"/>
    <w:tmpl w:val="49385A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16A61"/>
    <w:multiLevelType w:val="multilevel"/>
    <w:tmpl w:val="7EB2FE08"/>
    <w:lvl w:ilvl="0">
      <w:start w:val="1"/>
      <w:numFmt w:val="decimal"/>
      <w:pStyle w:val="Heading1"/>
      <w:lvlText w:val="%1"/>
      <w:lvlJc w:val="left"/>
      <w:pPr>
        <w:ind w:left="8222" w:firstLine="0"/>
      </w:pPr>
      <w:rPr>
        <w:rFonts w:ascii="Arial" w:hAnsi="Arial" w:hint="default"/>
        <w:b/>
        <w:i w:val="0"/>
        <w:caps/>
        <w:strike w:val="0"/>
        <w:dstrike w:val="0"/>
        <w:vanish w:val="0"/>
        <w:color w:val="A6A6A6" w:themeColor="background1" w:themeShade="A6"/>
        <w:spacing w:val="0"/>
        <w:w w:val="100"/>
        <w:kern w:val="0"/>
        <w:position w:val="0"/>
        <w:sz w:val="36"/>
        <w:szCs w:val="96"/>
        <w:u w:val="none"/>
        <w:vertAlign w:val="baseline"/>
        <w14:ligatures w14:val="none"/>
        <w14:numForm w14:val="default"/>
        <w14:numSpacing w14:val="default"/>
        <w14:stylisticSets/>
        <w14:cntxtAlts w14:val="0"/>
      </w:rPr>
    </w:lvl>
    <w:lvl w:ilvl="1">
      <w:start w:val="1"/>
      <w:numFmt w:val="decimal"/>
      <w:lvlText w:val="%1.%2"/>
      <w:lvlJc w:val="left"/>
      <w:pPr>
        <w:tabs>
          <w:tab w:val="num" w:pos="8942"/>
        </w:tabs>
        <w:ind w:left="8222" w:firstLine="0"/>
      </w:pPr>
      <w:rPr>
        <w:rFonts w:hint="default"/>
      </w:rPr>
    </w:lvl>
    <w:lvl w:ilvl="2">
      <w:start w:val="1"/>
      <w:numFmt w:val="decimal"/>
      <w:lvlText w:val="%1.%2.%3"/>
      <w:lvlJc w:val="left"/>
      <w:pPr>
        <w:tabs>
          <w:tab w:val="num" w:pos="8942"/>
        </w:tabs>
        <w:ind w:left="8222" w:firstLine="0"/>
      </w:pPr>
      <w:rPr>
        <w:rFonts w:hint="default"/>
      </w:rPr>
    </w:lvl>
    <w:lvl w:ilvl="3">
      <w:start w:val="1"/>
      <w:numFmt w:val="none"/>
      <w:lvlText w:val="%4"/>
      <w:lvlJc w:val="left"/>
      <w:pPr>
        <w:tabs>
          <w:tab w:val="num" w:pos="8222"/>
        </w:tabs>
        <w:ind w:left="8222" w:firstLine="0"/>
      </w:pPr>
      <w:rPr>
        <w:rFonts w:hint="default"/>
      </w:rPr>
    </w:lvl>
    <w:lvl w:ilvl="4">
      <w:start w:val="1"/>
      <w:numFmt w:val="none"/>
      <w:lvlText w:val=""/>
      <w:lvlJc w:val="left"/>
      <w:pPr>
        <w:tabs>
          <w:tab w:val="num" w:pos="8222"/>
        </w:tabs>
        <w:ind w:left="8222" w:firstLine="0"/>
      </w:pPr>
      <w:rPr>
        <w:rFonts w:hint="default"/>
      </w:rPr>
    </w:lvl>
    <w:lvl w:ilvl="5">
      <w:start w:val="1"/>
      <w:numFmt w:val="none"/>
      <w:lvlText w:val=""/>
      <w:lvlJc w:val="left"/>
      <w:pPr>
        <w:tabs>
          <w:tab w:val="num" w:pos="8222"/>
        </w:tabs>
        <w:ind w:left="8222" w:firstLine="0"/>
      </w:pPr>
      <w:rPr>
        <w:rFonts w:hint="default"/>
      </w:rPr>
    </w:lvl>
    <w:lvl w:ilvl="6">
      <w:start w:val="1"/>
      <w:numFmt w:val="none"/>
      <w:lvlText w:val=""/>
      <w:lvlJc w:val="left"/>
      <w:pPr>
        <w:tabs>
          <w:tab w:val="num" w:pos="8222"/>
        </w:tabs>
        <w:ind w:left="8222" w:firstLine="0"/>
      </w:pPr>
      <w:rPr>
        <w:rFonts w:hint="default"/>
      </w:rPr>
    </w:lvl>
    <w:lvl w:ilvl="7">
      <w:start w:val="1"/>
      <w:numFmt w:val="none"/>
      <w:lvlText w:val=""/>
      <w:lvlJc w:val="left"/>
      <w:pPr>
        <w:tabs>
          <w:tab w:val="num" w:pos="8222"/>
        </w:tabs>
        <w:ind w:left="8222" w:firstLine="0"/>
      </w:pPr>
      <w:rPr>
        <w:rFonts w:hint="default"/>
      </w:rPr>
    </w:lvl>
    <w:lvl w:ilvl="8">
      <w:start w:val="1"/>
      <w:numFmt w:val="none"/>
      <w:lvlText w:val=""/>
      <w:lvlJc w:val="left"/>
      <w:pPr>
        <w:tabs>
          <w:tab w:val="num" w:pos="8222"/>
        </w:tabs>
        <w:ind w:left="8222" w:firstLine="0"/>
      </w:pPr>
      <w:rPr>
        <w:rFonts w:hint="default"/>
      </w:rPr>
    </w:lvl>
  </w:abstractNum>
  <w:abstractNum w:abstractNumId="16">
    <w:nsid w:val="2B4D742F"/>
    <w:multiLevelType w:val="hybridMultilevel"/>
    <w:tmpl w:val="2362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7D5B30"/>
    <w:multiLevelType w:val="hybridMultilevel"/>
    <w:tmpl w:val="371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B100CC"/>
    <w:multiLevelType w:val="hybridMultilevel"/>
    <w:tmpl w:val="6402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B95394"/>
    <w:multiLevelType w:val="hybridMultilevel"/>
    <w:tmpl w:val="1410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5F10E0"/>
    <w:multiLevelType w:val="multilevel"/>
    <w:tmpl w:val="3B7A0D06"/>
    <w:lvl w:ilvl="0">
      <w:start w:val="1"/>
      <w:numFmt w:val="none"/>
      <w:pStyle w:val="ExecSum"/>
      <w:suff w:val="nothing"/>
      <w:lvlText w:val="%1E"/>
      <w:lvlJc w:val="left"/>
      <w:pPr>
        <w:ind w:left="7938" w:firstLine="0"/>
      </w:pPr>
      <w:rPr>
        <w:rFonts w:ascii="Century Schoolbook" w:hAnsi="Century Schoolbook" w:hint="default"/>
        <w:b/>
        <w:i w:val="0"/>
        <w:color w:val="FFFFFF"/>
        <w:sz w:val="96"/>
        <w:szCs w:val="96"/>
      </w:rPr>
    </w:lvl>
    <w:lvl w:ilvl="1">
      <w:start w:val="1"/>
      <w:numFmt w:val="decimal"/>
      <w:lvlText w:val="%1E.%2"/>
      <w:lvlJc w:val="left"/>
      <w:pPr>
        <w:tabs>
          <w:tab w:val="num" w:pos="851"/>
        </w:tabs>
        <w:ind w:left="851" w:hanging="851"/>
      </w:pPr>
      <w:rPr>
        <w:rFonts w:ascii="Century Gothic" w:hAnsi="Century Gothic" w:hint="default"/>
        <w:b/>
        <w:i w:val="0"/>
        <w:sz w:val="26"/>
        <w:szCs w:val="26"/>
      </w:rPr>
    </w:lvl>
    <w:lvl w:ilvl="2">
      <w:start w:val="1"/>
      <w:numFmt w:val="decimal"/>
      <w:lvlText w:val="%1E.%2.%3"/>
      <w:lvlJc w:val="left"/>
      <w:pPr>
        <w:tabs>
          <w:tab w:val="num" w:pos="851"/>
        </w:tabs>
        <w:ind w:left="851" w:hanging="851"/>
      </w:pPr>
      <w:rPr>
        <w:rFonts w:ascii="Century Gothic" w:hAnsi="Century Gothic" w:hint="default"/>
        <w:b/>
        <w:i w:val="0"/>
        <w:sz w:val="22"/>
        <w:szCs w:val="22"/>
      </w:rPr>
    </w:lvl>
    <w:lvl w:ilvl="3">
      <w:start w:val="1"/>
      <w:numFmt w:val="none"/>
      <w:lvlText w:val=""/>
      <w:lvlJc w:val="left"/>
      <w:pPr>
        <w:tabs>
          <w:tab w:val="num" w:pos="7938"/>
        </w:tabs>
        <w:ind w:left="7938" w:firstLine="0"/>
      </w:pPr>
      <w:rPr>
        <w:rFonts w:hint="default"/>
      </w:rPr>
    </w:lvl>
    <w:lvl w:ilvl="4">
      <w:start w:val="1"/>
      <w:numFmt w:val="none"/>
      <w:lvlText w:val=""/>
      <w:lvlJc w:val="left"/>
      <w:pPr>
        <w:tabs>
          <w:tab w:val="num" w:pos="7938"/>
        </w:tabs>
        <w:ind w:left="7938" w:firstLine="0"/>
      </w:pPr>
      <w:rPr>
        <w:rFonts w:hint="default"/>
      </w:rPr>
    </w:lvl>
    <w:lvl w:ilvl="5">
      <w:start w:val="1"/>
      <w:numFmt w:val="none"/>
      <w:lvlText w:val=""/>
      <w:lvlJc w:val="left"/>
      <w:pPr>
        <w:tabs>
          <w:tab w:val="num" w:pos="7938"/>
        </w:tabs>
        <w:ind w:left="7938" w:firstLine="0"/>
      </w:pPr>
      <w:rPr>
        <w:rFonts w:hint="default"/>
      </w:rPr>
    </w:lvl>
    <w:lvl w:ilvl="6">
      <w:start w:val="1"/>
      <w:numFmt w:val="none"/>
      <w:lvlText w:val=""/>
      <w:lvlJc w:val="left"/>
      <w:pPr>
        <w:tabs>
          <w:tab w:val="num" w:pos="7938"/>
        </w:tabs>
        <w:ind w:left="7938" w:firstLine="0"/>
      </w:pPr>
      <w:rPr>
        <w:rFonts w:hint="default"/>
      </w:rPr>
    </w:lvl>
    <w:lvl w:ilvl="7">
      <w:start w:val="1"/>
      <w:numFmt w:val="none"/>
      <w:lvlText w:val=""/>
      <w:lvlJc w:val="left"/>
      <w:pPr>
        <w:tabs>
          <w:tab w:val="num" w:pos="7938"/>
        </w:tabs>
        <w:ind w:left="7938" w:firstLine="0"/>
      </w:pPr>
      <w:rPr>
        <w:rFonts w:hint="default"/>
      </w:rPr>
    </w:lvl>
    <w:lvl w:ilvl="8">
      <w:start w:val="1"/>
      <w:numFmt w:val="none"/>
      <w:lvlText w:val=""/>
      <w:lvlJc w:val="left"/>
      <w:pPr>
        <w:tabs>
          <w:tab w:val="num" w:pos="7938"/>
        </w:tabs>
        <w:ind w:left="7938" w:firstLine="0"/>
      </w:pPr>
      <w:rPr>
        <w:rFonts w:hint="default"/>
      </w:rPr>
    </w:lvl>
  </w:abstractNum>
  <w:abstractNum w:abstractNumId="21">
    <w:nsid w:val="32FE07D9"/>
    <w:multiLevelType w:val="hybridMultilevel"/>
    <w:tmpl w:val="64FEE1BA"/>
    <w:lvl w:ilvl="0" w:tplc="DA0232CA">
      <w:start w:val="1"/>
      <w:numFmt w:val="bullet"/>
      <w:pStyle w:val="BDOProfleBullets"/>
      <w:lvlText w:val=""/>
      <w:lvlJc w:val="left"/>
      <w:pPr>
        <w:tabs>
          <w:tab w:val="num" w:pos="360"/>
        </w:tabs>
        <w:ind w:left="360" w:hanging="360"/>
      </w:pPr>
      <w:rPr>
        <w:rFonts w:ascii="Symbol" w:hAnsi="Symbol" w:hint="default"/>
        <w:color w:val="685040"/>
        <w:sz w:val="1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CAD7C82"/>
    <w:multiLevelType w:val="multilevel"/>
    <w:tmpl w:val="69F65EC2"/>
    <w:lvl w:ilvl="0">
      <w:start w:val="1"/>
      <w:numFmt w:val="bullet"/>
      <w:pStyle w:val="EYBulletedLis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List2"/>
      <w:lvlText w:val="►"/>
      <w:lvlJc w:val="left"/>
      <w:pPr>
        <w:tabs>
          <w:tab w:val="num" w:pos="851"/>
        </w:tabs>
        <w:ind w:left="851" w:hanging="426"/>
      </w:pPr>
      <w:rPr>
        <w:rFonts w:ascii="Arial" w:hAnsi="Arial" w:cs="Times New Roman" w:hint="default"/>
        <w:color w:val="auto"/>
        <w:sz w:val="16"/>
        <w:szCs w:val="24"/>
      </w:rPr>
    </w:lvl>
    <w:lvl w:ilvl="2">
      <w:start w:val="1"/>
      <w:numFmt w:val="bullet"/>
      <w:pStyle w:val="EYBulletedList3"/>
      <w:lvlText w:val="►"/>
      <w:lvlJc w:val="left"/>
      <w:pPr>
        <w:tabs>
          <w:tab w:val="num" w:pos="1276"/>
        </w:tabs>
        <w:ind w:left="1276" w:hanging="425"/>
      </w:pPr>
      <w:rPr>
        <w:rFonts w:ascii="Arial" w:hAnsi="Arial" w:cs="Times New Roman" w:hint="default"/>
        <w:color w:val="auto"/>
        <w:sz w:val="16"/>
        <w:szCs w:val="24"/>
      </w:rPr>
    </w:lvl>
    <w:lvl w:ilvl="3">
      <w:start w:val="1"/>
      <w:numFmt w:val="bullet"/>
      <w:lvlText w:val="►"/>
      <w:lvlJc w:val="left"/>
      <w:pPr>
        <w:tabs>
          <w:tab w:val="num" w:pos="0"/>
        </w:tabs>
        <w:ind w:left="0" w:firstLine="0"/>
      </w:pPr>
      <w:rPr>
        <w:rFonts w:ascii="Arial" w:hAnsi="Arial" w:cs="Times New Roman" w:hint="default"/>
        <w:color w:val="auto"/>
        <w:sz w:val="16"/>
        <w:szCs w:val="24"/>
      </w:rPr>
    </w:lvl>
    <w:lvl w:ilvl="4">
      <w:start w:val="1"/>
      <w:numFmt w:val="bullet"/>
      <w:lvlText w:val="►"/>
      <w:lvlJc w:val="left"/>
      <w:pPr>
        <w:tabs>
          <w:tab w:val="num" w:pos="0"/>
        </w:tabs>
        <w:ind w:left="0" w:firstLine="0"/>
      </w:pPr>
      <w:rPr>
        <w:rFonts w:ascii="Arial" w:hAnsi="Arial" w:cs="Times New Roman" w:hint="default"/>
        <w:color w:val="auto"/>
        <w:sz w:val="16"/>
        <w:szCs w:val="24"/>
      </w:rPr>
    </w:lvl>
    <w:lvl w:ilvl="5">
      <w:start w:val="1"/>
      <w:numFmt w:val="bullet"/>
      <w:lvlText w:val="►"/>
      <w:lvlJc w:val="left"/>
      <w:pPr>
        <w:tabs>
          <w:tab w:val="num" w:pos="0"/>
        </w:tabs>
        <w:ind w:left="0" w:firstLine="0"/>
      </w:pPr>
      <w:rPr>
        <w:rFonts w:ascii="Arial" w:hAnsi="Arial" w:cs="Times New Roman"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23">
    <w:nsid w:val="437C1CF7"/>
    <w:multiLevelType w:val="hybridMultilevel"/>
    <w:tmpl w:val="C6485948"/>
    <w:lvl w:ilvl="0" w:tplc="ACBAD6EA">
      <w:start w:val="1"/>
      <w:numFmt w:val="lowerRoman"/>
      <w:lvlText w:val="%1.)"/>
      <w:lvlJc w:val="right"/>
      <w:pPr>
        <w:tabs>
          <w:tab w:val="num" w:pos="540"/>
        </w:tabs>
        <w:ind w:left="540" w:hanging="180"/>
      </w:pPr>
      <w:rPr>
        <w:rFonts w:hint="default"/>
      </w:rPr>
    </w:lvl>
    <w:lvl w:ilvl="1" w:tplc="C204C290">
      <w:start w:val="1"/>
      <w:numFmt w:val="lowerLetter"/>
      <w:pStyle w:val="BodyTextbullet"/>
      <w:lvlText w:val="%2)"/>
      <w:lvlJc w:val="left"/>
      <w:pPr>
        <w:tabs>
          <w:tab w:val="num" w:pos="1618"/>
        </w:tabs>
        <w:ind w:left="1618" w:hanging="538"/>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740E0E"/>
    <w:multiLevelType w:val="multilevel"/>
    <w:tmpl w:val="2E1AF63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b w:val="0"/>
        <w:bCs w:val="0"/>
        <w:i w:val="0"/>
        <w:iCs/>
      </w:rPr>
    </w:lvl>
    <w:lvl w:ilvl="3">
      <w:start w:val="1"/>
      <w:numFmt w:val="lowerRoman"/>
      <w:pStyle w:val="MELegal4"/>
      <w:lvlText w:val="(%4)"/>
      <w:lvlJc w:val="left"/>
      <w:pPr>
        <w:tabs>
          <w:tab w:val="num" w:pos="2098"/>
        </w:tabs>
        <w:ind w:left="2098"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1"/>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pStyle w:val="EYBodytextwithparaspace"/>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26">
    <w:nsid w:val="4E042AF8"/>
    <w:multiLevelType w:val="hybridMultilevel"/>
    <w:tmpl w:val="2CFC3CA0"/>
    <w:lvl w:ilvl="0" w:tplc="F808F7F4">
      <w:start w:val="1"/>
      <w:numFmt w:val="bullet"/>
      <w:pStyle w:val="2ndLevelBullet"/>
      <w:lvlText w:val="–"/>
      <w:lvlJc w:val="left"/>
      <w:pPr>
        <w:tabs>
          <w:tab w:val="num" w:pos="567"/>
        </w:tabs>
        <w:ind w:left="851" w:hanging="284"/>
      </w:pPr>
      <w:rPr>
        <w:rFonts w:ascii="Century Gothic" w:hAnsi="Century Gothic" w:hint="default"/>
      </w:rPr>
    </w:lvl>
    <w:lvl w:ilvl="1" w:tplc="F8AC80AE" w:tentative="1">
      <w:start w:val="1"/>
      <w:numFmt w:val="bullet"/>
      <w:lvlText w:val="o"/>
      <w:lvlJc w:val="left"/>
      <w:pPr>
        <w:tabs>
          <w:tab w:val="num" w:pos="1440"/>
        </w:tabs>
        <w:ind w:left="1440" w:hanging="360"/>
      </w:pPr>
      <w:rPr>
        <w:rFonts w:ascii="Courier New" w:hAnsi="Courier New" w:cs="Courier New" w:hint="default"/>
      </w:rPr>
    </w:lvl>
    <w:lvl w:ilvl="2" w:tplc="F7B4599A" w:tentative="1">
      <w:start w:val="1"/>
      <w:numFmt w:val="bullet"/>
      <w:lvlText w:val=""/>
      <w:lvlJc w:val="left"/>
      <w:pPr>
        <w:tabs>
          <w:tab w:val="num" w:pos="2160"/>
        </w:tabs>
        <w:ind w:left="2160" w:hanging="360"/>
      </w:pPr>
      <w:rPr>
        <w:rFonts w:ascii="Wingdings" w:hAnsi="Wingdings" w:hint="default"/>
      </w:rPr>
    </w:lvl>
    <w:lvl w:ilvl="3" w:tplc="BDF88A98" w:tentative="1">
      <w:start w:val="1"/>
      <w:numFmt w:val="bullet"/>
      <w:lvlText w:val=""/>
      <w:lvlJc w:val="left"/>
      <w:pPr>
        <w:tabs>
          <w:tab w:val="num" w:pos="2880"/>
        </w:tabs>
        <w:ind w:left="2880" w:hanging="360"/>
      </w:pPr>
      <w:rPr>
        <w:rFonts w:ascii="Symbol" w:hAnsi="Symbol" w:hint="default"/>
      </w:rPr>
    </w:lvl>
    <w:lvl w:ilvl="4" w:tplc="7C544A8C" w:tentative="1">
      <w:start w:val="1"/>
      <w:numFmt w:val="bullet"/>
      <w:lvlText w:val="o"/>
      <w:lvlJc w:val="left"/>
      <w:pPr>
        <w:tabs>
          <w:tab w:val="num" w:pos="3600"/>
        </w:tabs>
        <w:ind w:left="3600" w:hanging="360"/>
      </w:pPr>
      <w:rPr>
        <w:rFonts w:ascii="Courier New" w:hAnsi="Courier New" w:cs="Courier New" w:hint="default"/>
      </w:rPr>
    </w:lvl>
    <w:lvl w:ilvl="5" w:tplc="524ECD10" w:tentative="1">
      <w:start w:val="1"/>
      <w:numFmt w:val="bullet"/>
      <w:lvlText w:val=""/>
      <w:lvlJc w:val="left"/>
      <w:pPr>
        <w:tabs>
          <w:tab w:val="num" w:pos="4320"/>
        </w:tabs>
        <w:ind w:left="4320" w:hanging="360"/>
      </w:pPr>
      <w:rPr>
        <w:rFonts w:ascii="Wingdings" w:hAnsi="Wingdings" w:hint="default"/>
      </w:rPr>
    </w:lvl>
    <w:lvl w:ilvl="6" w:tplc="6936AFAE" w:tentative="1">
      <w:start w:val="1"/>
      <w:numFmt w:val="bullet"/>
      <w:lvlText w:val=""/>
      <w:lvlJc w:val="left"/>
      <w:pPr>
        <w:tabs>
          <w:tab w:val="num" w:pos="5040"/>
        </w:tabs>
        <w:ind w:left="5040" w:hanging="360"/>
      </w:pPr>
      <w:rPr>
        <w:rFonts w:ascii="Symbol" w:hAnsi="Symbol" w:hint="default"/>
      </w:rPr>
    </w:lvl>
    <w:lvl w:ilvl="7" w:tplc="292E3E80" w:tentative="1">
      <w:start w:val="1"/>
      <w:numFmt w:val="bullet"/>
      <w:lvlText w:val="o"/>
      <w:lvlJc w:val="left"/>
      <w:pPr>
        <w:tabs>
          <w:tab w:val="num" w:pos="5760"/>
        </w:tabs>
        <w:ind w:left="5760" w:hanging="360"/>
      </w:pPr>
      <w:rPr>
        <w:rFonts w:ascii="Courier New" w:hAnsi="Courier New" w:cs="Courier New" w:hint="default"/>
      </w:rPr>
    </w:lvl>
    <w:lvl w:ilvl="8" w:tplc="41A6F7EC" w:tentative="1">
      <w:start w:val="1"/>
      <w:numFmt w:val="bullet"/>
      <w:lvlText w:val=""/>
      <w:lvlJc w:val="left"/>
      <w:pPr>
        <w:tabs>
          <w:tab w:val="num" w:pos="6480"/>
        </w:tabs>
        <w:ind w:left="6480" w:hanging="360"/>
      </w:pPr>
      <w:rPr>
        <w:rFonts w:ascii="Wingdings" w:hAnsi="Wingdings" w:hint="default"/>
      </w:rPr>
    </w:lvl>
  </w:abstractNum>
  <w:abstractNum w:abstractNumId="27">
    <w:nsid w:val="5DBA6BAC"/>
    <w:multiLevelType w:val="hybridMultilevel"/>
    <w:tmpl w:val="F086C5A0"/>
    <w:lvl w:ilvl="0" w:tplc="0C090001">
      <w:start w:val="1"/>
      <w:numFmt w:val="bullet"/>
      <w:pStyle w:val="Outcome-BulletLis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8">
    <w:nsid w:val="5E036050"/>
    <w:multiLevelType w:val="hybridMultilevel"/>
    <w:tmpl w:val="7552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767C30"/>
    <w:multiLevelType w:val="hybridMultilevel"/>
    <w:tmpl w:val="591CF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873C6"/>
    <w:multiLevelType w:val="hybridMultilevel"/>
    <w:tmpl w:val="8A10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A3234"/>
    <w:multiLevelType w:val="hybridMultilevel"/>
    <w:tmpl w:val="7500050A"/>
    <w:lvl w:ilvl="0" w:tplc="0C090001">
      <w:start w:val="1"/>
      <w:numFmt w:val="bullet"/>
      <w:lvlText w:val=""/>
      <w:lvlJc w:val="left"/>
      <w:pPr>
        <w:ind w:left="1467" w:hanging="360"/>
      </w:pPr>
      <w:rPr>
        <w:rFonts w:ascii="Symbol" w:hAnsi="Symbol" w:hint="default"/>
      </w:rPr>
    </w:lvl>
    <w:lvl w:ilvl="1" w:tplc="0C090003" w:tentative="1">
      <w:start w:val="1"/>
      <w:numFmt w:val="bullet"/>
      <w:lvlText w:val="o"/>
      <w:lvlJc w:val="left"/>
      <w:pPr>
        <w:ind w:left="2187" w:hanging="360"/>
      </w:pPr>
      <w:rPr>
        <w:rFonts w:ascii="Courier New" w:hAnsi="Courier New" w:cs="Courier New" w:hint="default"/>
      </w:rPr>
    </w:lvl>
    <w:lvl w:ilvl="2" w:tplc="0C090005" w:tentative="1">
      <w:start w:val="1"/>
      <w:numFmt w:val="bullet"/>
      <w:lvlText w:val=""/>
      <w:lvlJc w:val="left"/>
      <w:pPr>
        <w:ind w:left="2907" w:hanging="360"/>
      </w:pPr>
      <w:rPr>
        <w:rFonts w:ascii="Wingdings" w:hAnsi="Wingdings" w:hint="default"/>
      </w:rPr>
    </w:lvl>
    <w:lvl w:ilvl="3" w:tplc="0C090001" w:tentative="1">
      <w:start w:val="1"/>
      <w:numFmt w:val="bullet"/>
      <w:lvlText w:val=""/>
      <w:lvlJc w:val="left"/>
      <w:pPr>
        <w:ind w:left="3627" w:hanging="360"/>
      </w:pPr>
      <w:rPr>
        <w:rFonts w:ascii="Symbol" w:hAnsi="Symbol" w:hint="default"/>
      </w:rPr>
    </w:lvl>
    <w:lvl w:ilvl="4" w:tplc="0C090003" w:tentative="1">
      <w:start w:val="1"/>
      <w:numFmt w:val="bullet"/>
      <w:lvlText w:val="o"/>
      <w:lvlJc w:val="left"/>
      <w:pPr>
        <w:ind w:left="4347" w:hanging="360"/>
      </w:pPr>
      <w:rPr>
        <w:rFonts w:ascii="Courier New" w:hAnsi="Courier New" w:cs="Courier New" w:hint="default"/>
      </w:rPr>
    </w:lvl>
    <w:lvl w:ilvl="5" w:tplc="0C090005" w:tentative="1">
      <w:start w:val="1"/>
      <w:numFmt w:val="bullet"/>
      <w:lvlText w:val=""/>
      <w:lvlJc w:val="left"/>
      <w:pPr>
        <w:ind w:left="5067" w:hanging="360"/>
      </w:pPr>
      <w:rPr>
        <w:rFonts w:ascii="Wingdings" w:hAnsi="Wingdings" w:hint="default"/>
      </w:rPr>
    </w:lvl>
    <w:lvl w:ilvl="6" w:tplc="0C090001" w:tentative="1">
      <w:start w:val="1"/>
      <w:numFmt w:val="bullet"/>
      <w:lvlText w:val=""/>
      <w:lvlJc w:val="left"/>
      <w:pPr>
        <w:ind w:left="5787" w:hanging="360"/>
      </w:pPr>
      <w:rPr>
        <w:rFonts w:ascii="Symbol" w:hAnsi="Symbol" w:hint="default"/>
      </w:rPr>
    </w:lvl>
    <w:lvl w:ilvl="7" w:tplc="0C090003" w:tentative="1">
      <w:start w:val="1"/>
      <w:numFmt w:val="bullet"/>
      <w:lvlText w:val="o"/>
      <w:lvlJc w:val="left"/>
      <w:pPr>
        <w:ind w:left="6507" w:hanging="360"/>
      </w:pPr>
      <w:rPr>
        <w:rFonts w:ascii="Courier New" w:hAnsi="Courier New" w:cs="Courier New" w:hint="default"/>
      </w:rPr>
    </w:lvl>
    <w:lvl w:ilvl="8" w:tplc="0C090005" w:tentative="1">
      <w:start w:val="1"/>
      <w:numFmt w:val="bullet"/>
      <w:lvlText w:val=""/>
      <w:lvlJc w:val="left"/>
      <w:pPr>
        <w:ind w:left="7227" w:hanging="360"/>
      </w:pPr>
      <w:rPr>
        <w:rFonts w:ascii="Wingdings" w:hAnsi="Wingdings" w:hint="default"/>
      </w:rPr>
    </w:lvl>
  </w:abstractNum>
  <w:abstractNum w:abstractNumId="32">
    <w:nsid w:val="644E6124"/>
    <w:multiLevelType w:val="multilevel"/>
    <w:tmpl w:val="900A4E86"/>
    <w:lvl w:ilvl="0">
      <w:start w:val="1"/>
      <w:numFmt w:val="decimal"/>
      <w:pStyle w:val="MEBasic1"/>
      <w:lvlText w:val="%1."/>
      <w:lvlJc w:val="left"/>
      <w:pPr>
        <w:tabs>
          <w:tab w:val="num" w:pos="680"/>
        </w:tabs>
        <w:ind w:left="680" w:hanging="680"/>
      </w:pPr>
      <w:rPr>
        <w:rFonts w:hint="default"/>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nsid w:val="65640B73"/>
    <w:multiLevelType w:val="hybridMultilevel"/>
    <w:tmpl w:val="F5E8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1"/>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5">
    <w:nsid w:val="6CC75D8A"/>
    <w:multiLevelType w:val="hybridMultilevel"/>
    <w:tmpl w:val="EEB66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6D15B1"/>
    <w:multiLevelType w:val="hybridMultilevel"/>
    <w:tmpl w:val="432AEF68"/>
    <w:lvl w:ilvl="0" w:tplc="4C7212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B11342"/>
    <w:multiLevelType w:val="multilevel"/>
    <w:tmpl w:val="258E39DA"/>
    <w:lvl w:ilvl="0">
      <w:start w:val="1"/>
      <w:numFmt w:val="bullet"/>
      <w:pStyle w:val="EYBulletedTex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38">
    <w:nsid w:val="71650E42"/>
    <w:multiLevelType w:val="hybridMultilevel"/>
    <w:tmpl w:val="488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3C48AA"/>
    <w:multiLevelType w:val="multilevel"/>
    <w:tmpl w:val="EF0C64EC"/>
    <w:lvl w:ilvl="0">
      <w:start w:val="1"/>
      <w:numFmt w:val="decimal"/>
      <w:lvlRestart w:val="0"/>
      <w:pStyle w:val="EYHeading1"/>
      <w:lvlText w:val="%1."/>
      <w:lvlJc w:val="left"/>
      <w:pPr>
        <w:tabs>
          <w:tab w:val="num" w:pos="850"/>
        </w:tabs>
        <w:ind w:left="850" w:hanging="850"/>
      </w:pPr>
      <w:rPr>
        <w:rFonts w:ascii="EYInterstate Light" w:hAnsi="EYInterstate Light" w:hint="default"/>
        <w:b/>
        <w:i w:val="0"/>
        <w:color w:val="7F7E82"/>
        <w:sz w:val="40"/>
      </w:rPr>
    </w:lvl>
    <w:lvl w:ilvl="1">
      <w:start w:val="1"/>
      <w:numFmt w:val="decimal"/>
      <w:lvlText w:val="%1.%2"/>
      <w:lvlJc w:val="left"/>
      <w:pPr>
        <w:tabs>
          <w:tab w:val="num" w:pos="850"/>
        </w:tabs>
        <w:ind w:left="850" w:hanging="850"/>
      </w:pPr>
      <w:rPr>
        <w:rFonts w:ascii="EYInterstate Light" w:hAnsi="EYInterstate Light" w:hint="default"/>
        <w:b/>
        <w:i w:val="0"/>
        <w:color w:val="000000"/>
        <w:sz w:val="28"/>
      </w:rPr>
    </w:lvl>
    <w:lvl w:ilvl="2">
      <w:start w:val="1"/>
      <w:numFmt w:val="decimal"/>
      <w:lvlText w:val="%1.%2.%3"/>
      <w:lvlJc w:val="left"/>
      <w:pPr>
        <w:tabs>
          <w:tab w:val="num" w:pos="850"/>
        </w:tabs>
        <w:ind w:left="850" w:hanging="850"/>
      </w:pPr>
      <w:rPr>
        <w:rFonts w:ascii="EYInterstate Light" w:hAnsi="EYInterstate Light" w:hint="default"/>
        <w:b/>
        <w:i w:val="0"/>
        <w:color w:val="000000"/>
        <w:sz w:val="24"/>
      </w:rPr>
    </w:lvl>
    <w:lvl w:ilvl="3">
      <w:start w:val="1"/>
      <w:numFmt w:val="decimal"/>
      <w:lvlText w:val="%1.%2.%3.%4"/>
      <w:lvlJc w:val="left"/>
      <w:pPr>
        <w:tabs>
          <w:tab w:val="num" w:pos="850"/>
        </w:tabs>
        <w:ind w:left="850" w:hanging="850"/>
      </w:pPr>
      <w:rPr>
        <w:rFonts w:ascii="EYInterstate" w:hAnsi="EYInterstate" w:hint="default"/>
        <w:b w:val="0"/>
        <w:i/>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40">
    <w:nsid w:val="73387DF1"/>
    <w:multiLevelType w:val="hybridMultilevel"/>
    <w:tmpl w:val="A94C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5468E0"/>
    <w:multiLevelType w:val="hybridMultilevel"/>
    <w:tmpl w:val="86B2CB22"/>
    <w:lvl w:ilvl="0" w:tplc="8F4E230E">
      <w:start w:val="1"/>
      <w:numFmt w:val="decimal"/>
      <w:pStyle w:val="NumberedList"/>
      <w:lvlText w:val="%1."/>
      <w:lvlJc w:val="left"/>
      <w:pPr>
        <w:tabs>
          <w:tab w:val="num" w:pos="851"/>
        </w:tabs>
        <w:ind w:left="851" w:hanging="851"/>
      </w:pPr>
      <w:rPr>
        <w:rFonts w:hint="default"/>
      </w:rPr>
    </w:lvl>
    <w:lvl w:ilvl="1" w:tplc="43987EB6" w:tentative="1">
      <w:start w:val="1"/>
      <w:numFmt w:val="lowerLetter"/>
      <w:lvlText w:val="%2."/>
      <w:lvlJc w:val="left"/>
      <w:pPr>
        <w:tabs>
          <w:tab w:val="num" w:pos="1440"/>
        </w:tabs>
        <w:ind w:left="1440" w:hanging="360"/>
      </w:pPr>
    </w:lvl>
    <w:lvl w:ilvl="2" w:tplc="825A3CEE" w:tentative="1">
      <w:start w:val="1"/>
      <w:numFmt w:val="lowerRoman"/>
      <w:lvlText w:val="%3."/>
      <w:lvlJc w:val="right"/>
      <w:pPr>
        <w:tabs>
          <w:tab w:val="num" w:pos="2160"/>
        </w:tabs>
        <w:ind w:left="2160" w:hanging="180"/>
      </w:pPr>
    </w:lvl>
    <w:lvl w:ilvl="3" w:tplc="C888A520" w:tentative="1">
      <w:start w:val="1"/>
      <w:numFmt w:val="decimal"/>
      <w:lvlText w:val="%4."/>
      <w:lvlJc w:val="left"/>
      <w:pPr>
        <w:tabs>
          <w:tab w:val="num" w:pos="2880"/>
        </w:tabs>
        <w:ind w:left="2880" w:hanging="360"/>
      </w:pPr>
    </w:lvl>
    <w:lvl w:ilvl="4" w:tplc="53AA2658" w:tentative="1">
      <w:start w:val="1"/>
      <w:numFmt w:val="lowerLetter"/>
      <w:lvlText w:val="%5."/>
      <w:lvlJc w:val="left"/>
      <w:pPr>
        <w:tabs>
          <w:tab w:val="num" w:pos="3600"/>
        </w:tabs>
        <w:ind w:left="3600" w:hanging="360"/>
      </w:pPr>
    </w:lvl>
    <w:lvl w:ilvl="5" w:tplc="54AA7EE8" w:tentative="1">
      <w:start w:val="1"/>
      <w:numFmt w:val="lowerRoman"/>
      <w:lvlText w:val="%6."/>
      <w:lvlJc w:val="right"/>
      <w:pPr>
        <w:tabs>
          <w:tab w:val="num" w:pos="4320"/>
        </w:tabs>
        <w:ind w:left="4320" w:hanging="180"/>
      </w:pPr>
    </w:lvl>
    <w:lvl w:ilvl="6" w:tplc="EC44AFEE" w:tentative="1">
      <w:start w:val="1"/>
      <w:numFmt w:val="decimal"/>
      <w:lvlText w:val="%7."/>
      <w:lvlJc w:val="left"/>
      <w:pPr>
        <w:tabs>
          <w:tab w:val="num" w:pos="5040"/>
        </w:tabs>
        <w:ind w:left="5040" w:hanging="360"/>
      </w:pPr>
    </w:lvl>
    <w:lvl w:ilvl="7" w:tplc="AED21FE0" w:tentative="1">
      <w:start w:val="1"/>
      <w:numFmt w:val="lowerLetter"/>
      <w:lvlText w:val="%8."/>
      <w:lvlJc w:val="left"/>
      <w:pPr>
        <w:tabs>
          <w:tab w:val="num" w:pos="5760"/>
        </w:tabs>
        <w:ind w:left="5760" w:hanging="360"/>
      </w:pPr>
    </w:lvl>
    <w:lvl w:ilvl="8" w:tplc="3886C71C" w:tentative="1">
      <w:start w:val="1"/>
      <w:numFmt w:val="lowerRoman"/>
      <w:lvlText w:val="%9."/>
      <w:lvlJc w:val="right"/>
      <w:pPr>
        <w:tabs>
          <w:tab w:val="num" w:pos="6480"/>
        </w:tabs>
        <w:ind w:left="6480" w:hanging="180"/>
      </w:pPr>
    </w:lvl>
  </w:abstractNum>
  <w:abstractNum w:abstractNumId="42">
    <w:nsid w:val="75A04E39"/>
    <w:multiLevelType w:val="hybridMultilevel"/>
    <w:tmpl w:val="95BA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5D2DB8"/>
    <w:multiLevelType w:val="hybridMultilevel"/>
    <w:tmpl w:val="6370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C306B"/>
    <w:multiLevelType w:val="hybridMultilevel"/>
    <w:tmpl w:val="8F6C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494FDE"/>
    <w:multiLevelType w:val="hybridMultilevel"/>
    <w:tmpl w:val="97B6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4D5B4A"/>
    <w:multiLevelType w:val="hybridMultilevel"/>
    <w:tmpl w:val="EE2A8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95869F8"/>
    <w:multiLevelType w:val="hybridMultilevel"/>
    <w:tmpl w:val="51B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4C5398"/>
    <w:multiLevelType w:val="hybridMultilevel"/>
    <w:tmpl w:val="64AC8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CE76EB"/>
    <w:multiLevelType w:val="multilevel"/>
    <w:tmpl w:val="1824833A"/>
    <w:lvl w:ilvl="0">
      <w:start w:val="18"/>
      <w:numFmt w:val="none"/>
      <w:pStyle w:val="Rec"/>
      <w:suff w:val="nothing"/>
      <w:lvlText w:val="%1"/>
      <w:lvlJc w:val="left"/>
      <w:pPr>
        <w:ind w:left="7938" w:firstLine="0"/>
      </w:pPr>
      <w:rPr>
        <w:rFonts w:ascii="Times New Roman" w:hAnsi="Times New Roman" w:hint="default"/>
        <w:b/>
        <w:i w:val="0"/>
        <w:color w:val="FFFFFF"/>
        <w:sz w:val="96"/>
        <w:szCs w:val="96"/>
      </w:rPr>
    </w:lvl>
    <w:lvl w:ilvl="1">
      <w:start w:val="1"/>
      <w:numFmt w:val="decimal"/>
      <w:lvlText w:val="%1R.%2"/>
      <w:lvlJc w:val="left"/>
      <w:pPr>
        <w:tabs>
          <w:tab w:val="num" w:pos="851"/>
        </w:tabs>
        <w:ind w:left="851" w:hanging="851"/>
      </w:pPr>
      <w:rPr>
        <w:rFonts w:ascii="Century Gothic" w:hAnsi="Century Gothic" w:hint="default"/>
        <w:b/>
        <w:i w:val="0"/>
        <w:sz w:val="26"/>
        <w:szCs w:val="26"/>
      </w:rPr>
    </w:lvl>
    <w:lvl w:ilvl="2">
      <w:start w:val="1"/>
      <w:numFmt w:val="decimal"/>
      <w:lvlText w:val="%1R.%2.%3"/>
      <w:lvlJc w:val="left"/>
      <w:pPr>
        <w:tabs>
          <w:tab w:val="num" w:pos="851"/>
        </w:tabs>
        <w:ind w:left="851" w:hanging="851"/>
      </w:pPr>
      <w:rPr>
        <w:rFonts w:ascii="Century Gothic" w:hAnsi="Century Gothic" w:hint="default"/>
        <w:b/>
        <w:i w:val="0"/>
        <w:sz w:val="22"/>
        <w:szCs w:val="22"/>
      </w:rPr>
    </w:lvl>
    <w:lvl w:ilvl="3">
      <w:start w:val="1"/>
      <w:numFmt w:val="none"/>
      <w:lvlText w:val="%4"/>
      <w:lvlJc w:val="left"/>
      <w:pPr>
        <w:tabs>
          <w:tab w:val="num" w:pos="7938"/>
        </w:tabs>
        <w:ind w:left="7938" w:firstLine="0"/>
      </w:pPr>
      <w:rPr>
        <w:rFonts w:hint="default"/>
      </w:rPr>
    </w:lvl>
    <w:lvl w:ilvl="4">
      <w:start w:val="1"/>
      <w:numFmt w:val="none"/>
      <w:lvlText w:val=""/>
      <w:lvlJc w:val="left"/>
      <w:pPr>
        <w:tabs>
          <w:tab w:val="num" w:pos="7938"/>
        </w:tabs>
        <w:ind w:left="7938" w:firstLine="0"/>
      </w:pPr>
      <w:rPr>
        <w:rFonts w:hint="default"/>
      </w:rPr>
    </w:lvl>
    <w:lvl w:ilvl="5">
      <w:start w:val="1"/>
      <w:numFmt w:val="none"/>
      <w:lvlText w:val=""/>
      <w:lvlJc w:val="left"/>
      <w:pPr>
        <w:tabs>
          <w:tab w:val="num" w:pos="7938"/>
        </w:tabs>
        <w:ind w:left="7938" w:firstLine="0"/>
      </w:pPr>
      <w:rPr>
        <w:rFonts w:hint="default"/>
      </w:rPr>
    </w:lvl>
    <w:lvl w:ilvl="6">
      <w:start w:val="1"/>
      <w:numFmt w:val="none"/>
      <w:lvlText w:val=""/>
      <w:lvlJc w:val="left"/>
      <w:pPr>
        <w:tabs>
          <w:tab w:val="num" w:pos="7938"/>
        </w:tabs>
        <w:ind w:left="7938" w:firstLine="0"/>
      </w:pPr>
      <w:rPr>
        <w:rFonts w:hint="default"/>
      </w:rPr>
    </w:lvl>
    <w:lvl w:ilvl="7">
      <w:start w:val="1"/>
      <w:numFmt w:val="none"/>
      <w:lvlText w:val=""/>
      <w:lvlJc w:val="left"/>
      <w:pPr>
        <w:tabs>
          <w:tab w:val="num" w:pos="7938"/>
        </w:tabs>
        <w:ind w:left="7938" w:firstLine="0"/>
      </w:pPr>
      <w:rPr>
        <w:rFonts w:hint="default"/>
      </w:rPr>
    </w:lvl>
    <w:lvl w:ilvl="8">
      <w:start w:val="1"/>
      <w:numFmt w:val="none"/>
      <w:lvlText w:val=""/>
      <w:lvlJc w:val="left"/>
      <w:pPr>
        <w:tabs>
          <w:tab w:val="num" w:pos="7938"/>
        </w:tabs>
        <w:ind w:left="7938" w:firstLine="0"/>
      </w:pPr>
      <w:rPr>
        <w:rFonts w:hint="default"/>
      </w:rPr>
    </w:lvl>
  </w:abstractNum>
  <w:num w:numId="1">
    <w:abstractNumId w:val="37"/>
  </w:num>
  <w:num w:numId="2">
    <w:abstractNumId w:val="22"/>
  </w:num>
  <w:num w:numId="3">
    <w:abstractNumId w:val="0"/>
  </w:num>
  <w:num w:numId="4">
    <w:abstractNumId w:val="20"/>
  </w:num>
  <w:num w:numId="5">
    <w:abstractNumId w:val="41"/>
  </w:num>
  <w:num w:numId="6">
    <w:abstractNumId w:val="24"/>
  </w:num>
  <w:num w:numId="7">
    <w:abstractNumId w:val="34"/>
  </w:num>
  <w:num w:numId="8">
    <w:abstractNumId w:val="32"/>
  </w:num>
  <w:num w:numId="9">
    <w:abstractNumId w:val="1"/>
  </w:num>
  <w:num w:numId="10">
    <w:abstractNumId w:val="10"/>
  </w:num>
  <w:num w:numId="11">
    <w:abstractNumId w:val="26"/>
  </w:num>
  <w:num w:numId="12">
    <w:abstractNumId w:val="49"/>
  </w:num>
  <w:num w:numId="13">
    <w:abstractNumId w:val="27"/>
  </w:num>
  <w:num w:numId="14">
    <w:abstractNumId w:val="23"/>
  </w:num>
  <w:num w:numId="15">
    <w:abstractNumId w:val="12"/>
  </w:num>
  <w:num w:numId="16">
    <w:abstractNumId w:val="21"/>
  </w:num>
  <w:num w:numId="17">
    <w:abstractNumId w:val="3"/>
  </w:num>
  <w:num w:numId="18">
    <w:abstractNumId w:val="39"/>
  </w:num>
  <w:num w:numId="19">
    <w:abstractNumId w:val="25"/>
  </w:num>
  <w:num w:numId="20">
    <w:abstractNumId w:val="31"/>
  </w:num>
  <w:num w:numId="21">
    <w:abstractNumId w:val="35"/>
  </w:num>
  <w:num w:numId="22">
    <w:abstractNumId w:val="28"/>
  </w:num>
  <w:num w:numId="23">
    <w:abstractNumId w:val="45"/>
  </w:num>
  <w:num w:numId="24">
    <w:abstractNumId w:val="42"/>
  </w:num>
  <w:num w:numId="25">
    <w:abstractNumId w:val="8"/>
  </w:num>
  <w:num w:numId="26">
    <w:abstractNumId w:val="19"/>
  </w:num>
  <w:num w:numId="27">
    <w:abstractNumId w:val="30"/>
  </w:num>
  <w:num w:numId="28">
    <w:abstractNumId w:val="33"/>
  </w:num>
  <w:num w:numId="29">
    <w:abstractNumId w:val="47"/>
  </w:num>
  <w:num w:numId="30">
    <w:abstractNumId w:val="5"/>
  </w:num>
  <w:num w:numId="31">
    <w:abstractNumId w:val="48"/>
  </w:num>
  <w:num w:numId="32">
    <w:abstractNumId w:val="18"/>
  </w:num>
  <w:num w:numId="33">
    <w:abstractNumId w:val="40"/>
  </w:num>
  <w:num w:numId="34">
    <w:abstractNumId w:val="14"/>
  </w:num>
  <w:num w:numId="35">
    <w:abstractNumId w:val="11"/>
  </w:num>
  <w:num w:numId="36">
    <w:abstractNumId w:val="6"/>
  </w:num>
  <w:num w:numId="37">
    <w:abstractNumId w:val="38"/>
  </w:num>
  <w:num w:numId="38">
    <w:abstractNumId w:val="2"/>
  </w:num>
  <w:num w:numId="39">
    <w:abstractNumId w:val="44"/>
  </w:num>
  <w:num w:numId="40">
    <w:abstractNumId w:val="7"/>
  </w:num>
  <w:num w:numId="41">
    <w:abstractNumId w:val="29"/>
  </w:num>
  <w:num w:numId="42">
    <w:abstractNumId w:val="17"/>
  </w:num>
  <w:num w:numId="43">
    <w:abstractNumId w:val="43"/>
  </w:num>
  <w:num w:numId="44">
    <w:abstractNumId w:val="36"/>
  </w:num>
  <w:num w:numId="45">
    <w:abstractNumId w:val="9"/>
  </w:num>
  <w:num w:numId="46">
    <w:abstractNumId w:val="4"/>
  </w:num>
  <w:num w:numId="47">
    <w:abstractNumId w:val="16"/>
  </w:num>
  <w:num w:numId="48">
    <w:abstractNumId w:val="46"/>
  </w:num>
  <w:num w:numId="49">
    <w:abstractNumId w:val="15"/>
  </w:num>
  <w:num w:numId="50">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03"/>
    <w:rsid w:val="000001A5"/>
    <w:rsid w:val="0000108E"/>
    <w:rsid w:val="00001366"/>
    <w:rsid w:val="00001B6E"/>
    <w:rsid w:val="00002235"/>
    <w:rsid w:val="00003510"/>
    <w:rsid w:val="00004584"/>
    <w:rsid w:val="00005BAC"/>
    <w:rsid w:val="000063EC"/>
    <w:rsid w:val="0000661A"/>
    <w:rsid w:val="000071EA"/>
    <w:rsid w:val="00007907"/>
    <w:rsid w:val="00007C19"/>
    <w:rsid w:val="00010228"/>
    <w:rsid w:val="00010DD4"/>
    <w:rsid w:val="0001173F"/>
    <w:rsid w:val="00011EE2"/>
    <w:rsid w:val="000132EB"/>
    <w:rsid w:val="00013857"/>
    <w:rsid w:val="00013E6A"/>
    <w:rsid w:val="00014090"/>
    <w:rsid w:val="00014206"/>
    <w:rsid w:val="00015198"/>
    <w:rsid w:val="000156A2"/>
    <w:rsid w:val="0002005E"/>
    <w:rsid w:val="000202D3"/>
    <w:rsid w:val="0002067D"/>
    <w:rsid w:val="00021AA5"/>
    <w:rsid w:val="0002338E"/>
    <w:rsid w:val="00023A21"/>
    <w:rsid w:val="0002419A"/>
    <w:rsid w:val="00024A09"/>
    <w:rsid w:val="00024E92"/>
    <w:rsid w:val="00026D38"/>
    <w:rsid w:val="00027208"/>
    <w:rsid w:val="00030E4A"/>
    <w:rsid w:val="00031455"/>
    <w:rsid w:val="00031EB2"/>
    <w:rsid w:val="00031FBC"/>
    <w:rsid w:val="0003234D"/>
    <w:rsid w:val="00032AA4"/>
    <w:rsid w:val="0003339E"/>
    <w:rsid w:val="00033E5D"/>
    <w:rsid w:val="00034270"/>
    <w:rsid w:val="0003495E"/>
    <w:rsid w:val="000356E7"/>
    <w:rsid w:val="00035ED9"/>
    <w:rsid w:val="00036CD8"/>
    <w:rsid w:val="000411F9"/>
    <w:rsid w:val="00043443"/>
    <w:rsid w:val="0004444A"/>
    <w:rsid w:val="000448BF"/>
    <w:rsid w:val="00044EC3"/>
    <w:rsid w:val="00045307"/>
    <w:rsid w:val="00045613"/>
    <w:rsid w:val="00045778"/>
    <w:rsid w:val="00045A8A"/>
    <w:rsid w:val="00046456"/>
    <w:rsid w:val="00046718"/>
    <w:rsid w:val="00046D9A"/>
    <w:rsid w:val="00047EBB"/>
    <w:rsid w:val="000513BC"/>
    <w:rsid w:val="00051B58"/>
    <w:rsid w:val="000524DC"/>
    <w:rsid w:val="000528B2"/>
    <w:rsid w:val="000530EA"/>
    <w:rsid w:val="00053AEA"/>
    <w:rsid w:val="00054A7B"/>
    <w:rsid w:val="00054BF4"/>
    <w:rsid w:val="00055AAE"/>
    <w:rsid w:val="00055AB7"/>
    <w:rsid w:val="000565FC"/>
    <w:rsid w:val="00056AD5"/>
    <w:rsid w:val="00056F2D"/>
    <w:rsid w:val="00057278"/>
    <w:rsid w:val="000578CA"/>
    <w:rsid w:val="0006069C"/>
    <w:rsid w:val="00061120"/>
    <w:rsid w:val="000611DF"/>
    <w:rsid w:val="00061BB3"/>
    <w:rsid w:val="0006315F"/>
    <w:rsid w:val="0006323E"/>
    <w:rsid w:val="0006338E"/>
    <w:rsid w:val="0006471D"/>
    <w:rsid w:val="00064B16"/>
    <w:rsid w:val="0006511F"/>
    <w:rsid w:val="00065E52"/>
    <w:rsid w:val="000666B2"/>
    <w:rsid w:val="00066870"/>
    <w:rsid w:val="000679F9"/>
    <w:rsid w:val="00067A06"/>
    <w:rsid w:val="000708E8"/>
    <w:rsid w:val="0007119F"/>
    <w:rsid w:val="00071397"/>
    <w:rsid w:val="00071C09"/>
    <w:rsid w:val="00071E5E"/>
    <w:rsid w:val="00072A50"/>
    <w:rsid w:val="00072AF1"/>
    <w:rsid w:val="00072B0F"/>
    <w:rsid w:val="00072FFA"/>
    <w:rsid w:val="0007385E"/>
    <w:rsid w:val="0007394A"/>
    <w:rsid w:val="00075018"/>
    <w:rsid w:val="00075231"/>
    <w:rsid w:val="00075AD0"/>
    <w:rsid w:val="00076365"/>
    <w:rsid w:val="000773A7"/>
    <w:rsid w:val="00077DEE"/>
    <w:rsid w:val="00080091"/>
    <w:rsid w:val="00080432"/>
    <w:rsid w:val="000805DE"/>
    <w:rsid w:val="00080F62"/>
    <w:rsid w:val="00081217"/>
    <w:rsid w:val="00081DAF"/>
    <w:rsid w:val="00084A50"/>
    <w:rsid w:val="00084FFE"/>
    <w:rsid w:val="0008774E"/>
    <w:rsid w:val="00090A02"/>
    <w:rsid w:val="00091B70"/>
    <w:rsid w:val="00091EEB"/>
    <w:rsid w:val="0009494D"/>
    <w:rsid w:val="00094BA5"/>
    <w:rsid w:val="00094C8A"/>
    <w:rsid w:val="00095BE2"/>
    <w:rsid w:val="0009716C"/>
    <w:rsid w:val="000972F0"/>
    <w:rsid w:val="00097341"/>
    <w:rsid w:val="000A06DF"/>
    <w:rsid w:val="000A09E1"/>
    <w:rsid w:val="000A0A45"/>
    <w:rsid w:val="000A2A3D"/>
    <w:rsid w:val="000A3B6D"/>
    <w:rsid w:val="000A4E5B"/>
    <w:rsid w:val="000A66F8"/>
    <w:rsid w:val="000A6CA6"/>
    <w:rsid w:val="000A6F6B"/>
    <w:rsid w:val="000A74A6"/>
    <w:rsid w:val="000A7902"/>
    <w:rsid w:val="000A7CDB"/>
    <w:rsid w:val="000B1144"/>
    <w:rsid w:val="000B12E5"/>
    <w:rsid w:val="000B1455"/>
    <w:rsid w:val="000B1557"/>
    <w:rsid w:val="000B395A"/>
    <w:rsid w:val="000B466E"/>
    <w:rsid w:val="000B4A74"/>
    <w:rsid w:val="000B5460"/>
    <w:rsid w:val="000B654D"/>
    <w:rsid w:val="000C08FC"/>
    <w:rsid w:val="000C0A1F"/>
    <w:rsid w:val="000C2896"/>
    <w:rsid w:val="000C3667"/>
    <w:rsid w:val="000C412F"/>
    <w:rsid w:val="000C4891"/>
    <w:rsid w:val="000C506F"/>
    <w:rsid w:val="000C54E1"/>
    <w:rsid w:val="000C576F"/>
    <w:rsid w:val="000D03A3"/>
    <w:rsid w:val="000D04C3"/>
    <w:rsid w:val="000D1559"/>
    <w:rsid w:val="000D2723"/>
    <w:rsid w:val="000D2BB1"/>
    <w:rsid w:val="000D37F8"/>
    <w:rsid w:val="000D3E00"/>
    <w:rsid w:val="000D3F6B"/>
    <w:rsid w:val="000D475C"/>
    <w:rsid w:val="000D518D"/>
    <w:rsid w:val="000D6352"/>
    <w:rsid w:val="000D66B6"/>
    <w:rsid w:val="000D6A43"/>
    <w:rsid w:val="000D7F23"/>
    <w:rsid w:val="000E006F"/>
    <w:rsid w:val="000E04B7"/>
    <w:rsid w:val="000E0DE2"/>
    <w:rsid w:val="000E1B9F"/>
    <w:rsid w:val="000E1D0D"/>
    <w:rsid w:val="000E2C00"/>
    <w:rsid w:val="000E3966"/>
    <w:rsid w:val="000E42DF"/>
    <w:rsid w:val="000E5AC8"/>
    <w:rsid w:val="000E5B25"/>
    <w:rsid w:val="000E6E28"/>
    <w:rsid w:val="000F0773"/>
    <w:rsid w:val="000F1543"/>
    <w:rsid w:val="000F2C54"/>
    <w:rsid w:val="000F3369"/>
    <w:rsid w:val="000F51C8"/>
    <w:rsid w:val="000F5F4E"/>
    <w:rsid w:val="000F60D1"/>
    <w:rsid w:val="000F6941"/>
    <w:rsid w:val="000F752F"/>
    <w:rsid w:val="000F77AF"/>
    <w:rsid w:val="000F7A4D"/>
    <w:rsid w:val="0010015C"/>
    <w:rsid w:val="0010067C"/>
    <w:rsid w:val="00101D20"/>
    <w:rsid w:val="00102FEB"/>
    <w:rsid w:val="00104A49"/>
    <w:rsid w:val="00106344"/>
    <w:rsid w:val="00106B7C"/>
    <w:rsid w:val="0011002D"/>
    <w:rsid w:val="00110176"/>
    <w:rsid w:val="001108CF"/>
    <w:rsid w:val="00110950"/>
    <w:rsid w:val="00111865"/>
    <w:rsid w:val="00112A73"/>
    <w:rsid w:val="00114FBA"/>
    <w:rsid w:val="001152EF"/>
    <w:rsid w:val="0011575D"/>
    <w:rsid w:val="00115FE7"/>
    <w:rsid w:val="00116325"/>
    <w:rsid w:val="00117584"/>
    <w:rsid w:val="00117606"/>
    <w:rsid w:val="00117AF9"/>
    <w:rsid w:val="00117F85"/>
    <w:rsid w:val="00120D06"/>
    <w:rsid w:val="00120F7A"/>
    <w:rsid w:val="00121874"/>
    <w:rsid w:val="00122435"/>
    <w:rsid w:val="0012249C"/>
    <w:rsid w:val="001236E1"/>
    <w:rsid w:val="001247DC"/>
    <w:rsid w:val="00124A24"/>
    <w:rsid w:val="0012509F"/>
    <w:rsid w:val="001258A7"/>
    <w:rsid w:val="0012598E"/>
    <w:rsid w:val="001268FA"/>
    <w:rsid w:val="00127999"/>
    <w:rsid w:val="0013007B"/>
    <w:rsid w:val="001310DB"/>
    <w:rsid w:val="001319AB"/>
    <w:rsid w:val="00131E94"/>
    <w:rsid w:val="001324B1"/>
    <w:rsid w:val="00132FBA"/>
    <w:rsid w:val="00133921"/>
    <w:rsid w:val="00133E18"/>
    <w:rsid w:val="00134796"/>
    <w:rsid w:val="00136A75"/>
    <w:rsid w:val="00137019"/>
    <w:rsid w:val="00137272"/>
    <w:rsid w:val="001372F3"/>
    <w:rsid w:val="00137F31"/>
    <w:rsid w:val="00137FD9"/>
    <w:rsid w:val="00140C35"/>
    <w:rsid w:val="00141DB0"/>
    <w:rsid w:val="00142094"/>
    <w:rsid w:val="001424C8"/>
    <w:rsid w:val="00143028"/>
    <w:rsid w:val="00144A38"/>
    <w:rsid w:val="00145C14"/>
    <w:rsid w:val="00146203"/>
    <w:rsid w:val="00146B73"/>
    <w:rsid w:val="00147BDE"/>
    <w:rsid w:val="001508DA"/>
    <w:rsid w:val="00150956"/>
    <w:rsid w:val="00150B15"/>
    <w:rsid w:val="0015188C"/>
    <w:rsid w:val="00151F9D"/>
    <w:rsid w:val="001528C9"/>
    <w:rsid w:val="001537DB"/>
    <w:rsid w:val="00153C3F"/>
    <w:rsid w:val="00154888"/>
    <w:rsid w:val="00155073"/>
    <w:rsid w:val="0015586D"/>
    <w:rsid w:val="00155B31"/>
    <w:rsid w:val="00155BD4"/>
    <w:rsid w:val="00155F49"/>
    <w:rsid w:val="001562E0"/>
    <w:rsid w:val="00157565"/>
    <w:rsid w:val="00157A1A"/>
    <w:rsid w:val="001618CA"/>
    <w:rsid w:val="00162248"/>
    <w:rsid w:val="001634FC"/>
    <w:rsid w:val="001638C0"/>
    <w:rsid w:val="00165C98"/>
    <w:rsid w:val="00165D75"/>
    <w:rsid w:val="00166078"/>
    <w:rsid w:val="001677F2"/>
    <w:rsid w:val="0017051F"/>
    <w:rsid w:val="001728A9"/>
    <w:rsid w:val="00172B50"/>
    <w:rsid w:val="00172D78"/>
    <w:rsid w:val="00172E66"/>
    <w:rsid w:val="001742C3"/>
    <w:rsid w:val="001751C7"/>
    <w:rsid w:val="00175244"/>
    <w:rsid w:val="001767AD"/>
    <w:rsid w:val="00177670"/>
    <w:rsid w:val="001779EF"/>
    <w:rsid w:val="00180642"/>
    <w:rsid w:val="00181183"/>
    <w:rsid w:val="0018326F"/>
    <w:rsid w:val="00185812"/>
    <w:rsid w:val="001859F6"/>
    <w:rsid w:val="00186B70"/>
    <w:rsid w:val="00186F0B"/>
    <w:rsid w:val="001877AA"/>
    <w:rsid w:val="00187B41"/>
    <w:rsid w:val="0019077F"/>
    <w:rsid w:val="00190BDD"/>
    <w:rsid w:val="00190E37"/>
    <w:rsid w:val="00191233"/>
    <w:rsid w:val="00192580"/>
    <w:rsid w:val="00192BB3"/>
    <w:rsid w:val="001930CE"/>
    <w:rsid w:val="00193A89"/>
    <w:rsid w:val="00193DB1"/>
    <w:rsid w:val="001940A5"/>
    <w:rsid w:val="00194352"/>
    <w:rsid w:val="00194D0F"/>
    <w:rsid w:val="00194D81"/>
    <w:rsid w:val="00195F6E"/>
    <w:rsid w:val="00196A63"/>
    <w:rsid w:val="00196A94"/>
    <w:rsid w:val="00196CD5"/>
    <w:rsid w:val="00197B5B"/>
    <w:rsid w:val="001A16B6"/>
    <w:rsid w:val="001A1BEF"/>
    <w:rsid w:val="001A2A86"/>
    <w:rsid w:val="001A2C7D"/>
    <w:rsid w:val="001A3471"/>
    <w:rsid w:val="001A6598"/>
    <w:rsid w:val="001A664F"/>
    <w:rsid w:val="001A6F1B"/>
    <w:rsid w:val="001A7F87"/>
    <w:rsid w:val="001B0CAE"/>
    <w:rsid w:val="001B0D56"/>
    <w:rsid w:val="001B0F96"/>
    <w:rsid w:val="001B0FE5"/>
    <w:rsid w:val="001B15A4"/>
    <w:rsid w:val="001B16C8"/>
    <w:rsid w:val="001B2624"/>
    <w:rsid w:val="001B3D57"/>
    <w:rsid w:val="001B3D93"/>
    <w:rsid w:val="001B54F9"/>
    <w:rsid w:val="001B593E"/>
    <w:rsid w:val="001B59C6"/>
    <w:rsid w:val="001B60BD"/>
    <w:rsid w:val="001B671D"/>
    <w:rsid w:val="001B6B02"/>
    <w:rsid w:val="001B7081"/>
    <w:rsid w:val="001B769B"/>
    <w:rsid w:val="001C0579"/>
    <w:rsid w:val="001C11A1"/>
    <w:rsid w:val="001C2C45"/>
    <w:rsid w:val="001C2FAB"/>
    <w:rsid w:val="001C3EA9"/>
    <w:rsid w:val="001C48BB"/>
    <w:rsid w:val="001C4BCF"/>
    <w:rsid w:val="001C4CB6"/>
    <w:rsid w:val="001C599A"/>
    <w:rsid w:val="001C64E9"/>
    <w:rsid w:val="001C7CCB"/>
    <w:rsid w:val="001D1C87"/>
    <w:rsid w:val="001D3C17"/>
    <w:rsid w:val="001D4121"/>
    <w:rsid w:val="001D45B4"/>
    <w:rsid w:val="001D4FB2"/>
    <w:rsid w:val="001D6A52"/>
    <w:rsid w:val="001D740E"/>
    <w:rsid w:val="001D7780"/>
    <w:rsid w:val="001D7BDE"/>
    <w:rsid w:val="001D7F4F"/>
    <w:rsid w:val="001D7FAB"/>
    <w:rsid w:val="001E0145"/>
    <w:rsid w:val="001E01AC"/>
    <w:rsid w:val="001E165C"/>
    <w:rsid w:val="001E22B8"/>
    <w:rsid w:val="001E2B31"/>
    <w:rsid w:val="001E332C"/>
    <w:rsid w:val="001E4AF9"/>
    <w:rsid w:val="001E4D80"/>
    <w:rsid w:val="001E5232"/>
    <w:rsid w:val="001E582A"/>
    <w:rsid w:val="001E5C6D"/>
    <w:rsid w:val="001E7090"/>
    <w:rsid w:val="001E76E7"/>
    <w:rsid w:val="001E7C7A"/>
    <w:rsid w:val="001F0090"/>
    <w:rsid w:val="001F0A28"/>
    <w:rsid w:val="001F0D95"/>
    <w:rsid w:val="001F0E34"/>
    <w:rsid w:val="001F1E4F"/>
    <w:rsid w:val="001F2266"/>
    <w:rsid w:val="001F4290"/>
    <w:rsid w:val="001F495F"/>
    <w:rsid w:val="001F4B50"/>
    <w:rsid w:val="001F50C3"/>
    <w:rsid w:val="001F5FF6"/>
    <w:rsid w:val="001F629E"/>
    <w:rsid w:val="001F645E"/>
    <w:rsid w:val="001F6493"/>
    <w:rsid w:val="001F6725"/>
    <w:rsid w:val="001F6FEF"/>
    <w:rsid w:val="001F70D1"/>
    <w:rsid w:val="001F734D"/>
    <w:rsid w:val="001F7D05"/>
    <w:rsid w:val="00200C57"/>
    <w:rsid w:val="00200DF8"/>
    <w:rsid w:val="002019C1"/>
    <w:rsid w:val="00201E6F"/>
    <w:rsid w:val="002038B3"/>
    <w:rsid w:val="00203D88"/>
    <w:rsid w:val="00203EF1"/>
    <w:rsid w:val="00203FE4"/>
    <w:rsid w:val="00204186"/>
    <w:rsid w:val="00206028"/>
    <w:rsid w:val="00206BB2"/>
    <w:rsid w:val="00206F5C"/>
    <w:rsid w:val="0020750D"/>
    <w:rsid w:val="00207847"/>
    <w:rsid w:val="00210B96"/>
    <w:rsid w:val="00211272"/>
    <w:rsid w:val="002114EE"/>
    <w:rsid w:val="00211A23"/>
    <w:rsid w:val="00212AFF"/>
    <w:rsid w:val="00213095"/>
    <w:rsid w:val="002140D8"/>
    <w:rsid w:val="00214CCF"/>
    <w:rsid w:val="00215860"/>
    <w:rsid w:val="00215A30"/>
    <w:rsid w:val="00215EC9"/>
    <w:rsid w:val="00215EFE"/>
    <w:rsid w:val="0021649F"/>
    <w:rsid w:val="0021660D"/>
    <w:rsid w:val="00220259"/>
    <w:rsid w:val="00220980"/>
    <w:rsid w:val="00220DE9"/>
    <w:rsid w:val="0022138F"/>
    <w:rsid w:val="002217A6"/>
    <w:rsid w:val="002217D5"/>
    <w:rsid w:val="00222831"/>
    <w:rsid w:val="00223488"/>
    <w:rsid w:val="002236B0"/>
    <w:rsid w:val="002236FC"/>
    <w:rsid w:val="00223B11"/>
    <w:rsid w:val="00224105"/>
    <w:rsid w:val="002244B2"/>
    <w:rsid w:val="002246B4"/>
    <w:rsid w:val="002254F9"/>
    <w:rsid w:val="00226F1B"/>
    <w:rsid w:val="00230B0B"/>
    <w:rsid w:val="002316C2"/>
    <w:rsid w:val="00232FE7"/>
    <w:rsid w:val="002360C7"/>
    <w:rsid w:val="0023620E"/>
    <w:rsid w:val="00236D25"/>
    <w:rsid w:val="00237FAE"/>
    <w:rsid w:val="002402A3"/>
    <w:rsid w:val="00240793"/>
    <w:rsid w:val="002409AA"/>
    <w:rsid w:val="0024143A"/>
    <w:rsid w:val="00241A64"/>
    <w:rsid w:val="002424DB"/>
    <w:rsid w:val="0024300C"/>
    <w:rsid w:val="00244A6C"/>
    <w:rsid w:val="00246D74"/>
    <w:rsid w:val="0024725B"/>
    <w:rsid w:val="0025056E"/>
    <w:rsid w:val="002506FD"/>
    <w:rsid w:val="00252396"/>
    <w:rsid w:val="002523A1"/>
    <w:rsid w:val="00252E7B"/>
    <w:rsid w:val="002543D9"/>
    <w:rsid w:val="00254541"/>
    <w:rsid w:val="002566EE"/>
    <w:rsid w:val="00257458"/>
    <w:rsid w:val="00257482"/>
    <w:rsid w:val="0025756F"/>
    <w:rsid w:val="00257F34"/>
    <w:rsid w:val="002603FC"/>
    <w:rsid w:val="00260E0F"/>
    <w:rsid w:val="002612A1"/>
    <w:rsid w:val="00261E92"/>
    <w:rsid w:val="002621ED"/>
    <w:rsid w:val="00262447"/>
    <w:rsid w:val="00262543"/>
    <w:rsid w:val="002627AB"/>
    <w:rsid w:val="0026331C"/>
    <w:rsid w:val="00263E6C"/>
    <w:rsid w:val="00263EB9"/>
    <w:rsid w:val="0026505C"/>
    <w:rsid w:val="0026540C"/>
    <w:rsid w:val="00265682"/>
    <w:rsid w:val="002658D6"/>
    <w:rsid w:val="00265A87"/>
    <w:rsid w:val="002661A4"/>
    <w:rsid w:val="002661CB"/>
    <w:rsid w:val="00266542"/>
    <w:rsid w:val="00266A72"/>
    <w:rsid w:val="0026717F"/>
    <w:rsid w:val="00270691"/>
    <w:rsid w:val="00270C1D"/>
    <w:rsid w:val="00271637"/>
    <w:rsid w:val="002717CE"/>
    <w:rsid w:val="00271B0A"/>
    <w:rsid w:val="002724C4"/>
    <w:rsid w:val="00273042"/>
    <w:rsid w:val="00273482"/>
    <w:rsid w:val="002741FC"/>
    <w:rsid w:val="002757E0"/>
    <w:rsid w:val="00276142"/>
    <w:rsid w:val="0027692F"/>
    <w:rsid w:val="00280677"/>
    <w:rsid w:val="00280C85"/>
    <w:rsid w:val="002825EA"/>
    <w:rsid w:val="002832AC"/>
    <w:rsid w:val="00283C9F"/>
    <w:rsid w:val="00284A9D"/>
    <w:rsid w:val="00284E7A"/>
    <w:rsid w:val="002862A8"/>
    <w:rsid w:val="002867BB"/>
    <w:rsid w:val="00287348"/>
    <w:rsid w:val="00287349"/>
    <w:rsid w:val="00287791"/>
    <w:rsid w:val="00287A6A"/>
    <w:rsid w:val="00287F96"/>
    <w:rsid w:val="0029004B"/>
    <w:rsid w:val="0029034B"/>
    <w:rsid w:val="00290D53"/>
    <w:rsid w:val="00291369"/>
    <w:rsid w:val="0029143B"/>
    <w:rsid w:val="002939CE"/>
    <w:rsid w:val="00293B87"/>
    <w:rsid w:val="00294ECD"/>
    <w:rsid w:val="00294F32"/>
    <w:rsid w:val="00295275"/>
    <w:rsid w:val="00295539"/>
    <w:rsid w:val="00295B08"/>
    <w:rsid w:val="00296C04"/>
    <w:rsid w:val="00297F83"/>
    <w:rsid w:val="002A0482"/>
    <w:rsid w:val="002A17A1"/>
    <w:rsid w:val="002A1A22"/>
    <w:rsid w:val="002A3D50"/>
    <w:rsid w:val="002A4454"/>
    <w:rsid w:val="002A55E5"/>
    <w:rsid w:val="002A5665"/>
    <w:rsid w:val="002A5E87"/>
    <w:rsid w:val="002A684A"/>
    <w:rsid w:val="002A6A37"/>
    <w:rsid w:val="002A749E"/>
    <w:rsid w:val="002A7E77"/>
    <w:rsid w:val="002B0DD8"/>
    <w:rsid w:val="002B44FF"/>
    <w:rsid w:val="002B46AF"/>
    <w:rsid w:val="002B4AC8"/>
    <w:rsid w:val="002B4FC5"/>
    <w:rsid w:val="002B60E4"/>
    <w:rsid w:val="002B6C5B"/>
    <w:rsid w:val="002B7AC7"/>
    <w:rsid w:val="002B7AF7"/>
    <w:rsid w:val="002B7CC0"/>
    <w:rsid w:val="002C13D7"/>
    <w:rsid w:val="002C1460"/>
    <w:rsid w:val="002C2A0A"/>
    <w:rsid w:val="002C2E80"/>
    <w:rsid w:val="002C2F99"/>
    <w:rsid w:val="002C3783"/>
    <w:rsid w:val="002C465C"/>
    <w:rsid w:val="002C4A5E"/>
    <w:rsid w:val="002C734E"/>
    <w:rsid w:val="002C7506"/>
    <w:rsid w:val="002C7EE7"/>
    <w:rsid w:val="002D013D"/>
    <w:rsid w:val="002D02E5"/>
    <w:rsid w:val="002D0A46"/>
    <w:rsid w:val="002D1C79"/>
    <w:rsid w:val="002D20BA"/>
    <w:rsid w:val="002D35D4"/>
    <w:rsid w:val="002D3796"/>
    <w:rsid w:val="002D3EE8"/>
    <w:rsid w:val="002D42AC"/>
    <w:rsid w:val="002D51D1"/>
    <w:rsid w:val="002D7433"/>
    <w:rsid w:val="002E095C"/>
    <w:rsid w:val="002E0E52"/>
    <w:rsid w:val="002E0E72"/>
    <w:rsid w:val="002E1243"/>
    <w:rsid w:val="002E18B6"/>
    <w:rsid w:val="002E2062"/>
    <w:rsid w:val="002E32FB"/>
    <w:rsid w:val="002E41FB"/>
    <w:rsid w:val="002E4C5D"/>
    <w:rsid w:val="002E4CFE"/>
    <w:rsid w:val="002E5009"/>
    <w:rsid w:val="002E523B"/>
    <w:rsid w:val="002E53B0"/>
    <w:rsid w:val="002E53CF"/>
    <w:rsid w:val="002E5E33"/>
    <w:rsid w:val="002E6822"/>
    <w:rsid w:val="002E76CC"/>
    <w:rsid w:val="002E79AB"/>
    <w:rsid w:val="002F01A3"/>
    <w:rsid w:val="002F06A6"/>
    <w:rsid w:val="002F0A4E"/>
    <w:rsid w:val="002F12A0"/>
    <w:rsid w:val="002F139B"/>
    <w:rsid w:val="002F1EA3"/>
    <w:rsid w:val="002F2942"/>
    <w:rsid w:val="002F29A4"/>
    <w:rsid w:val="002F29D1"/>
    <w:rsid w:val="002F2E07"/>
    <w:rsid w:val="002F332A"/>
    <w:rsid w:val="002F3CFC"/>
    <w:rsid w:val="002F471E"/>
    <w:rsid w:val="002F6884"/>
    <w:rsid w:val="002F69E1"/>
    <w:rsid w:val="002F7F7C"/>
    <w:rsid w:val="00301ADB"/>
    <w:rsid w:val="00301E6B"/>
    <w:rsid w:val="003020BD"/>
    <w:rsid w:val="00302E1D"/>
    <w:rsid w:val="00302EDF"/>
    <w:rsid w:val="00304015"/>
    <w:rsid w:val="003042E5"/>
    <w:rsid w:val="00305553"/>
    <w:rsid w:val="00305CC7"/>
    <w:rsid w:val="00306087"/>
    <w:rsid w:val="003111C6"/>
    <w:rsid w:val="00311634"/>
    <w:rsid w:val="0031179D"/>
    <w:rsid w:val="00311FE6"/>
    <w:rsid w:val="00313408"/>
    <w:rsid w:val="00314A52"/>
    <w:rsid w:val="00315927"/>
    <w:rsid w:val="0031642A"/>
    <w:rsid w:val="00316E21"/>
    <w:rsid w:val="00316FF5"/>
    <w:rsid w:val="0032065A"/>
    <w:rsid w:val="00320A38"/>
    <w:rsid w:val="00321189"/>
    <w:rsid w:val="00321288"/>
    <w:rsid w:val="00321897"/>
    <w:rsid w:val="0032247A"/>
    <w:rsid w:val="00323D24"/>
    <w:rsid w:val="00324A18"/>
    <w:rsid w:val="00324D65"/>
    <w:rsid w:val="00325414"/>
    <w:rsid w:val="003254EA"/>
    <w:rsid w:val="00325620"/>
    <w:rsid w:val="0032602A"/>
    <w:rsid w:val="00327ABE"/>
    <w:rsid w:val="00330C03"/>
    <w:rsid w:val="00331399"/>
    <w:rsid w:val="00331B96"/>
    <w:rsid w:val="003320C4"/>
    <w:rsid w:val="0033363C"/>
    <w:rsid w:val="00333F2D"/>
    <w:rsid w:val="00333FAB"/>
    <w:rsid w:val="003347A7"/>
    <w:rsid w:val="00334AF0"/>
    <w:rsid w:val="0033661D"/>
    <w:rsid w:val="00340335"/>
    <w:rsid w:val="00341F91"/>
    <w:rsid w:val="00342AC0"/>
    <w:rsid w:val="00342BB8"/>
    <w:rsid w:val="00342F9B"/>
    <w:rsid w:val="00343098"/>
    <w:rsid w:val="00343737"/>
    <w:rsid w:val="00343CCF"/>
    <w:rsid w:val="003446F0"/>
    <w:rsid w:val="0034519E"/>
    <w:rsid w:val="0034595A"/>
    <w:rsid w:val="003472F5"/>
    <w:rsid w:val="00347F9C"/>
    <w:rsid w:val="00350F44"/>
    <w:rsid w:val="00350FB5"/>
    <w:rsid w:val="00351030"/>
    <w:rsid w:val="003515E2"/>
    <w:rsid w:val="00352F0B"/>
    <w:rsid w:val="00352FE3"/>
    <w:rsid w:val="0035338E"/>
    <w:rsid w:val="00353689"/>
    <w:rsid w:val="00354FAB"/>
    <w:rsid w:val="00355B6F"/>
    <w:rsid w:val="00355C45"/>
    <w:rsid w:val="00355E70"/>
    <w:rsid w:val="0035699A"/>
    <w:rsid w:val="00356D46"/>
    <w:rsid w:val="00356E88"/>
    <w:rsid w:val="003571C0"/>
    <w:rsid w:val="00357257"/>
    <w:rsid w:val="00357537"/>
    <w:rsid w:val="0035766E"/>
    <w:rsid w:val="00360799"/>
    <w:rsid w:val="003609F9"/>
    <w:rsid w:val="003609FA"/>
    <w:rsid w:val="003617D7"/>
    <w:rsid w:val="00361929"/>
    <w:rsid w:val="00361E11"/>
    <w:rsid w:val="003628DE"/>
    <w:rsid w:val="00363CAC"/>
    <w:rsid w:val="00364314"/>
    <w:rsid w:val="00365557"/>
    <w:rsid w:val="00365859"/>
    <w:rsid w:val="00365B03"/>
    <w:rsid w:val="00366E66"/>
    <w:rsid w:val="00367A91"/>
    <w:rsid w:val="003713A5"/>
    <w:rsid w:val="00371D16"/>
    <w:rsid w:val="003721F5"/>
    <w:rsid w:val="003724C3"/>
    <w:rsid w:val="00372F0A"/>
    <w:rsid w:val="0037335A"/>
    <w:rsid w:val="00373C74"/>
    <w:rsid w:val="00374E1D"/>
    <w:rsid w:val="00375295"/>
    <w:rsid w:val="003764BC"/>
    <w:rsid w:val="003765D5"/>
    <w:rsid w:val="003766B7"/>
    <w:rsid w:val="00376BB0"/>
    <w:rsid w:val="00381910"/>
    <w:rsid w:val="00381CA1"/>
    <w:rsid w:val="00381F8E"/>
    <w:rsid w:val="003832AD"/>
    <w:rsid w:val="003832F0"/>
    <w:rsid w:val="0038332E"/>
    <w:rsid w:val="00383653"/>
    <w:rsid w:val="003839C1"/>
    <w:rsid w:val="003841B6"/>
    <w:rsid w:val="003841FC"/>
    <w:rsid w:val="003854EE"/>
    <w:rsid w:val="003855DB"/>
    <w:rsid w:val="00386122"/>
    <w:rsid w:val="003866F4"/>
    <w:rsid w:val="00386C1C"/>
    <w:rsid w:val="003877F4"/>
    <w:rsid w:val="00390966"/>
    <w:rsid w:val="0039173F"/>
    <w:rsid w:val="003921C6"/>
    <w:rsid w:val="003923F4"/>
    <w:rsid w:val="003924F0"/>
    <w:rsid w:val="0039285C"/>
    <w:rsid w:val="00392991"/>
    <w:rsid w:val="0039311B"/>
    <w:rsid w:val="0039398F"/>
    <w:rsid w:val="00393C57"/>
    <w:rsid w:val="003943D1"/>
    <w:rsid w:val="00394B6A"/>
    <w:rsid w:val="0039544E"/>
    <w:rsid w:val="003955DE"/>
    <w:rsid w:val="00395893"/>
    <w:rsid w:val="00395952"/>
    <w:rsid w:val="00395E3A"/>
    <w:rsid w:val="0039619D"/>
    <w:rsid w:val="00396414"/>
    <w:rsid w:val="0039712B"/>
    <w:rsid w:val="003A014A"/>
    <w:rsid w:val="003A22C5"/>
    <w:rsid w:val="003A2E13"/>
    <w:rsid w:val="003A3125"/>
    <w:rsid w:val="003A4E4F"/>
    <w:rsid w:val="003A523A"/>
    <w:rsid w:val="003B0333"/>
    <w:rsid w:val="003B0AE0"/>
    <w:rsid w:val="003B1BDE"/>
    <w:rsid w:val="003B2586"/>
    <w:rsid w:val="003B2F44"/>
    <w:rsid w:val="003B3CFE"/>
    <w:rsid w:val="003B4227"/>
    <w:rsid w:val="003B458E"/>
    <w:rsid w:val="003B4B76"/>
    <w:rsid w:val="003B4D31"/>
    <w:rsid w:val="003B515F"/>
    <w:rsid w:val="003B5993"/>
    <w:rsid w:val="003B6230"/>
    <w:rsid w:val="003B67EF"/>
    <w:rsid w:val="003B68B8"/>
    <w:rsid w:val="003B76DD"/>
    <w:rsid w:val="003C0074"/>
    <w:rsid w:val="003C01D4"/>
    <w:rsid w:val="003C02FE"/>
    <w:rsid w:val="003C0D65"/>
    <w:rsid w:val="003C0D67"/>
    <w:rsid w:val="003C1C96"/>
    <w:rsid w:val="003C27B3"/>
    <w:rsid w:val="003C36B3"/>
    <w:rsid w:val="003C5BD5"/>
    <w:rsid w:val="003C5E3F"/>
    <w:rsid w:val="003C631D"/>
    <w:rsid w:val="003C718A"/>
    <w:rsid w:val="003D044E"/>
    <w:rsid w:val="003D0B6B"/>
    <w:rsid w:val="003D0F78"/>
    <w:rsid w:val="003D35A5"/>
    <w:rsid w:val="003D4299"/>
    <w:rsid w:val="003D471B"/>
    <w:rsid w:val="003D522F"/>
    <w:rsid w:val="003D5C94"/>
    <w:rsid w:val="003D64FA"/>
    <w:rsid w:val="003D67BE"/>
    <w:rsid w:val="003D6E18"/>
    <w:rsid w:val="003D70B0"/>
    <w:rsid w:val="003D7904"/>
    <w:rsid w:val="003E0DA1"/>
    <w:rsid w:val="003E1287"/>
    <w:rsid w:val="003E1525"/>
    <w:rsid w:val="003E1ADC"/>
    <w:rsid w:val="003E2853"/>
    <w:rsid w:val="003E2C02"/>
    <w:rsid w:val="003E30BF"/>
    <w:rsid w:val="003E332F"/>
    <w:rsid w:val="003E4419"/>
    <w:rsid w:val="003E48DB"/>
    <w:rsid w:val="003E4BC7"/>
    <w:rsid w:val="003E50F6"/>
    <w:rsid w:val="003E5A2C"/>
    <w:rsid w:val="003E731C"/>
    <w:rsid w:val="003E7711"/>
    <w:rsid w:val="003F0D52"/>
    <w:rsid w:val="003F1771"/>
    <w:rsid w:val="003F1E5B"/>
    <w:rsid w:val="003F1F61"/>
    <w:rsid w:val="003F4EE2"/>
    <w:rsid w:val="003F5FCC"/>
    <w:rsid w:val="003F6053"/>
    <w:rsid w:val="003F67BE"/>
    <w:rsid w:val="003F6BF5"/>
    <w:rsid w:val="003F7D1D"/>
    <w:rsid w:val="003F7FB5"/>
    <w:rsid w:val="00400D09"/>
    <w:rsid w:val="004011CE"/>
    <w:rsid w:val="004014E5"/>
    <w:rsid w:val="00401614"/>
    <w:rsid w:val="0040297A"/>
    <w:rsid w:val="00404431"/>
    <w:rsid w:val="00406799"/>
    <w:rsid w:val="004075A7"/>
    <w:rsid w:val="004076E3"/>
    <w:rsid w:val="004077E4"/>
    <w:rsid w:val="00407B26"/>
    <w:rsid w:val="00410F37"/>
    <w:rsid w:val="004121C4"/>
    <w:rsid w:val="004125EA"/>
    <w:rsid w:val="00412CC9"/>
    <w:rsid w:val="004131E2"/>
    <w:rsid w:val="00413CE5"/>
    <w:rsid w:val="00414F3D"/>
    <w:rsid w:val="00414FF9"/>
    <w:rsid w:val="00415E1C"/>
    <w:rsid w:val="004166A9"/>
    <w:rsid w:val="004172A5"/>
    <w:rsid w:val="004178BE"/>
    <w:rsid w:val="004205D7"/>
    <w:rsid w:val="00420794"/>
    <w:rsid w:val="00421AE0"/>
    <w:rsid w:val="004223CA"/>
    <w:rsid w:val="00422754"/>
    <w:rsid w:val="00422992"/>
    <w:rsid w:val="004235FF"/>
    <w:rsid w:val="00423900"/>
    <w:rsid w:val="0042394B"/>
    <w:rsid w:val="00425575"/>
    <w:rsid w:val="00425A68"/>
    <w:rsid w:val="00427773"/>
    <w:rsid w:val="004277FA"/>
    <w:rsid w:val="00430818"/>
    <w:rsid w:val="00430A5C"/>
    <w:rsid w:val="00431080"/>
    <w:rsid w:val="004318A0"/>
    <w:rsid w:val="00432789"/>
    <w:rsid w:val="004345C4"/>
    <w:rsid w:val="00434D70"/>
    <w:rsid w:val="00434E40"/>
    <w:rsid w:val="00434F05"/>
    <w:rsid w:val="004350E9"/>
    <w:rsid w:val="00435431"/>
    <w:rsid w:val="004354E8"/>
    <w:rsid w:val="00436150"/>
    <w:rsid w:val="004375F1"/>
    <w:rsid w:val="00437DEF"/>
    <w:rsid w:val="00440D08"/>
    <w:rsid w:val="004427F2"/>
    <w:rsid w:val="00442903"/>
    <w:rsid w:val="004440B7"/>
    <w:rsid w:val="004442CA"/>
    <w:rsid w:val="004442CD"/>
    <w:rsid w:val="00444CA1"/>
    <w:rsid w:val="00445B3D"/>
    <w:rsid w:val="00447D62"/>
    <w:rsid w:val="004503F5"/>
    <w:rsid w:val="0045046E"/>
    <w:rsid w:val="00450636"/>
    <w:rsid w:val="00451D45"/>
    <w:rsid w:val="00452016"/>
    <w:rsid w:val="004528BF"/>
    <w:rsid w:val="00452BD3"/>
    <w:rsid w:val="00452E4D"/>
    <w:rsid w:val="00453B06"/>
    <w:rsid w:val="00453E82"/>
    <w:rsid w:val="00455079"/>
    <w:rsid w:val="004550B0"/>
    <w:rsid w:val="00455678"/>
    <w:rsid w:val="00455A21"/>
    <w:rsid w:val="00455FA8"/>
    <w:rsid w:val="00456541"/>
    <w:rsid w:val="00457E9A"/>
    <w:rsid w:val="004607D8"/>
    <w:rsid w:val="00460B97"/>
    <w:rsid w:val="004628CE"/>
    <w:rsid w:val="00463BD5"/>
    <w:rsid w:val="00464306"/>
    <w:rsid w:val="0046436A"/>
    <w:rsid w:val="00464D2A"/>
    <w:rsid w:val="0046588A"/>
    <w:rsid w:val="00465E16"/>
    <w:rsid w:val="00466634"/>
    <w:rsid w:val="004672DC"/>
    <w:rsid w:val="00467801"/>
    <w:rsid w:val="00467AAF"/>
    <w:rsid w:val="00467B9D"/>
    <w:rsid w:val="00467CC4"/>
    <w:rsid w:val="00467FCA"/>
    <w:rsid w:val="004706D8"/>
    <w:rsid w:val="00470930"/>
    <w:rsid w:val="00472A01"/>
    <w:rsid w:val="00472A6C"/>
    <w:rsid w:val="004754AC"/>
    <w:rsid w:val="00475E1B"/>
    <w:rsid w:val="00476C01"/>
    <w:rsid w:val="00476CE6"/>
    <w:rsid w:val="00476F46"/>
    <w:rsid w:val="00477594"/>
    <w:rsid w:val="00482617"/>
    <w:rsid w:val="00484B90"/>
    <w:rsid w:val="00485EE9"/>
    <w:rsid w:val="00487CDA"/>
    <w:rsid w:val="00490286"/>
    <w:rsid w:val="004902E7"/>
    <w:rsid w:val="00491BB9"/>
    <w:rsid w:val="00493233"/>
    <w:rsid w:val="00494B34"/>
    <w:rsid w:val="004953BD"/>
    <w:rsid w:val="00496229"/>
    <w:rsid w:val="0049731D"/>
    <w:rsid w:val="00497AB9"/>
    <w:rsid w:val="004A12B3"/>
    <w:rsid w:val="004A15BF"/>
    <w:rsid w:val="004A1E6B"/>
    <w:rsid w:val="004A2066"/>
    <w:rsid w:val="004A221C"/>
    <w:rsid w:val="004A2396"/>
    <w:rsid w:val="004A3E4C"/>
    <w:rsid w:val="004A3E87"/>
    <w:rsid w:val="004A5D5B"/>
    <w:rsid w:val="004A67C7"/>
    <w:rsid w:val="004A6C8D"/>
    <w:rsid w:val="004B0D69"/>
    <w:rsid w:val="004B302A"/>
    <w:rsid w:val="004B3BF6"/>
    <w:rsid w:val="004B3CC6"/>
    <w:rsid w:val="004B516C"/>
    <w:rsid w:val="004B51D6"/>
    <w:rsid w:val="004B5C25"/>
    <w:rsid w:val="004B7EEB"/>
    <w:rsid w:val="004C0760"/>
    <w:rsid w:val="004C08D8"/>
    <w:rsid w:val="004C17FD"/>
    <w:rsid w:val="004C2D04"/>
    <w:rsid w:val="004C3E8E"/>
    <w:rsid w:val="004C4DD4"/>
    <w:rsid w:val="004C5387"/>
    <w:rsid w:val="004C54DE"/>
    <w:rsid w:val="004C5EA1"/>
    <w:rsid w:val="004C617B"/>
    <w:rsid w:val="004C6995"/>
    <w:rsid w:val="004C6FC1"/>
    <w:rsid w:val="004C76F8"/>
    <w:rsid w:val="004C7C3F"/>
    <w:rsid w:val="004C7EFE"/>
    <w:rsid w:val="004D02B0"/>
    <w:rsid w:val="004D0E69"/>
    <w:rsid w:val="004D10DC"/>
    <w:rsid w:val="004D14FE"/>
    <w:rsid w:val="004D16E9"/>
    <w:rsid w:val="004D1EC9"/>
    <w:rsid w:val="004D21FA"/>
    <w:rsid w:val="004D2482"/>
    <w:rsid w:val="004D2A11"/>
    <w:rsid w:val="004D35F0"/>
    <w:rsid w:val="004D36BE"/>
    <w:rsid w:val="004D3C29"/>
    <w:rsid w:val="004D559A"/>
    <w:rsid w:val="004D605D"/>
    <w:rsid w:val="004E0440"/>
    <w:rsid w:val="004E0CC1"/>
    <w:rsid w:val="004E0D0E"/>
    <w:rsid w:val="004E0F4B"/>
    <w:rsid w:val="004E17FB"/>
    <w:rsid w:val="004E1C07"/>
    <w:rsid w:val="004E1D65"/>
    <w:rsid w:val="004E2264"/>
    <w:rsid w:val="004E2451"/>
    <w:rsid w:val="004E275F"/>
    <w:rsid w:val="004E2A9F"/>
    <w:rsid w:val="004E471A"/>
    <w:rsid w:val="004E47AC"/>
    <w:rsid w:val="004E5AE9"/>
    <w:rsid w:val="004E61F9"/>
    <w:rsid w:val="004E6507"/>
    <w:rsid w:val="004E654D"/>
    <w:rsid w:val="004E65B3"/>
    <w:rsid w:val="004E6AD8"/>
    <w:rsid w:val="004E7277"/>
    <w:rsid w:val="004F191B"/>
    <w:rsid w:val="004F20D4"/>
    <w:rsid w:val="004F21A0"/>
    <w:rsid w:val="004F44A2"/>
    <w:rsid w:val="004F5B73"/>
    <w:rsid w:val="004F5FAA"/>
    <w:rsid w:val="004F631B"/>
    <w:rsid w:val="004F6BAA"/>
    <w:rsid w:val="004F7D6A"/>
    <w:rsid w:val="00500648"/>
    <w:rsid w:val="0050078A"/>
    <w:rsid w:val="005014E5"/>
    <w:rsid w:val="00501642"/>
    <w:rsid w:val="00501771"/>
    <w:rsid w:val="00502107"/>
    <w:rsid w:val="0050333E"/>
    <w:rsid w:val="0050343B"/>
    <w:rsid w:val="0050357B"/>
    <w:rsid w:val="00504875"/>
    <w:rsid w:val="005048F3"/>
    <w:rsid w:val="00505BAB"/>
    <w:rsid w:val="00506290"/>
    <w:rsid w:val="005066FB"/>
    <w:rsid w:val="00506853"/>
    <w:rsid w:val="00506B6D"/>
    <w:rsid w:val="00506E62"/>
    <w:rsid w:val="00510F29"/>
    <w:rsid w:val="00511584"/>
    <w:rsid w:val="00511BAA"/>
    <w:rsid w:val="00511BB3"/>
    <w:rsid w:val="00511C02"/>
    <w:rsid w:val="005122D3"/>
    <w:rsid w:val="00512725"/>
    <w:rsid w:val="00513F03"/>
    <w:rsid w:val="0051616D"/>
    <w:rsid w:val="005162E5"/>
    <w:rsid w:val="00516EE2"/>
    <w:rsid w:val="005201E7"/>
    <w:rsid w:val="005205C4"/>
    <w:rsid w:val="00520A53"/>
    <w:rsid w:val="00520C80"/>
    <w:rsid w:val="00521956"/>
    <w:rsid w:val="00522927"/>
    <w:rsid w:val="00523692"/>
    <w:rsid w:val="00523C33"/>
    <w:rsid w:val="005252D3"/>
    <w:rsid w:val="00525AC3"/>
    <w:rsid w:val="00526339"/>
    <w:rsid w:val="00527475"/>
    <w:rsid w:val="0052754C"/>
    <w:rsid w:val="00527600"/>
    <w:rsid w:val="00527A55"/>
    <w:rsid w:val="005308BA"/>
    <w:rsid w:val="0053099D"/>
    <w:rsid w:val="00530B85"/>
    <w:rsid w:val="00531206"/>
    <w:rsid w:val="005327CD"/>
    <w:rsid w:val="00532A59"/>
    <w:rsid w:val="005338B1"/>
    <w:rsid w:val="005339CF"/>
    <w:rsid w:val="00534640"/>
    <w:rsid w:val="00534B3F"/>
    <w:rsid w:val="005352C1"/>
    <w:rsid w:val="00535F95"/>
    <w:rsid w:val="00537132"/>
    <w:rsid w:val="005375B2"/>
    <w:rsid w:val="00537F62"/>
    <w:rsid w:val="00537FFB"/>
    <w:rsid w:val="005404F7"/>
    <w:rsid w:val="00540814"/>
    <w:rsid w:val="00540985"/>
    <w:rsid w:val="0054180E"/>
    <w:rsid w:val="005431D3"/>
    <w:rsid w:val="0054362F"/>
    <w:rsid w:val="005436CB"/>
    <w:rsid w:val="00543A5A"/>
    <w:rsid w:val="00543F39"/>
    <w:rsid w:val="005440C0"/>
    <w:rsid w:val="00544A58"/>
    <w:rsid w:val="00544BCD"/>
    <w:rsid w:val="00544CAD"/>
    <w:rsid w:val="00545EDB"/>
    <w:rsid w:val="00546C0E"/>
    <w:rsid w:val="005470CC"/>
    <w:rsid w:val="00547353"/>
    <w:rsid w:val="005475E0"/>
    <w:rsid w:val="005505B5"/>
    <w:rsid w:val="00551A53"/>
    <w:rsid w:val="005522CC"/>
    <w:rsid w:val="0055247C"/>
    <w:rsid w:val="00552765"/>
    <w:rsid w:val="005560D0"/>
    <w:rsid w:val="005575F5"/>
    <w:rsid w:val="0055763D"/>
    <w:rsid w:val="0056272A"/>
    <w:rsid w:val="00564C27"/>
    <w:rsid w:val="00565547"/>
    <w:rsid w:val="00566D91"/>
    <w:rsid w:val="00566E26"/>
    <w:rsid w:val="005700D2"/>
    <w:rsid w:val="00570149"/>
    <w:rsid w:val="00571D2E"/>
    <w:rsid w:val="005720F1"/>
    <w:rsid w:val="0057252F"/>
    <w:rsid w:val="00572672"/>
    <w:rsid w:val="00573B98"/>
    <w:rsid w:val="00573F9A"/>
    <w:rsid w:val="005743ED"/>
    <w:rsid w:val="00574D87"/>
    <w:rsid w:val="00574E33"/>
    <w:rsid w:val="00574E9A"/>
    <w:rsid w:val="00575B28"/>
    <w:rsid w:val="00580B9C"/>
    <w:rsid w:val="00584B96"/>
    <w:rsid w:val="005853B0"/>
    <w:rsid w:val="0058555E"/>
    <w:rsid w:val="00585D36"/>
    <w:rsid w:val="0058710B"/>
    <w:rsid w:val="005878C1"/>
    <w:rsid w:val="00587924"/>
    <w:rsid w:val="00587E19"/>
    <w:rsid w:val="00590744"/>
    <w:rsid w:val="00591150"/>
    <w:rsid w:val="005911DA"/>
    <w:rsid w:val="00591262"/>
    <w:rsid w:val="00591A80"/>
    <w:rsid w:val="00591CA3"/>
    <w:rsid w:val="0059316F"/>
    <w:rsid w:val="00593303"/>
    <w:rsid w:val="00593A45"/>
    <w:rsid w:val="00593B94"/>
    <w:rsid w:val="005943A0"/>
    <w:rsid w:val="00594ACF"/>
    <w:rsid w:val="00594B2F"/>
    <w:rsid w:val="00594D3E"/>
    <w:rsid w:val="005959A3"/>
    <w:rsid w:val="00595A31"/>
    <w:rsid w:val="005972CC"/>
    <w:rsid w:val="00597E92"/>
    <w:rsid w:val="005A0441"/>
    <w:rsid w:val="005A0A79"/>
    <w:rsid w:val="005A287C"/>
    <w:rsid w:val="005A28C3"/>
    <w:rsid w:val="005A42EC"/>
    <w:rsid w:val="005A4D6B"/>
    <w:rsid w:val="005A7214"/>
    <w:rsid w:val="005B07E3"/>
    <w:rsid w:val="005B098D"/>
    <w:rsid w:val="005B184D"/>
    <w:rsid w:val="005B3009"/>
    <w:rsid w:val="005B3A9E"/>
    <w:rsid w:val="005B3E07"/>
    <w:rsid w:val="005B3FF3"/>
    <w:rsid w:val="005B46FE"/>
    <w:rsid w:val="005B5EEF"/>
    <w:rsid w:val="005C0604"/>
    <w:rsid w:val="005C07CD"/>
    <w:rsid w:val="005C1911"/>
    <w:rsid w:val="005C33C5"/>
    <w:rsid w:val="005C4770"/>
    <w:rsid w:val="005C55E4"/>
    <w:rsid w:val="005C58DC"/>
    <w:rsid w:val="005C6117"/>
    <w:rsid w:val="005C658D"/>
    <w:rsid w:val="005C665D"/>
    <w:rsid w:val="005C7F7E"/>
    <w:rsid w:val="005D02F4"/>
    <w:rsid w:val="005D09C9"/>
    <w:rsid w:val="005D3425"/>
    <w:rsid w:val="005D4D15"/>
    <w:rsid w:val="005D5824"/>
    <w:rsid w:val="005D5A1D"/>
    <w:rsid w:val="005D65BB"/>
    <w:rsid w:val="005D7EF6"/>
    <w:rsid w:val="005E000C"/>
    <w:rsid w:val="005E123C"/>
    <w:rsid w:val="005E152C"/>
    <w:rsid w:val="005E24BE"/>
    <w:rsid w:val="005E2D30"/>
    <w:rsid w:val="005E30FF"/>
    <w:rsid w:val="005E32C2"/>
    <w:rsid w:val="005E362E"/>
    <w:rsid w:val="005E3DCD"/>
    <w:rsid w:val="005E50FE"/>
    <w:rsid w:val="005E54F8"/>
    <w:rsid w:val="005E5750"/>
    <w:rsid w:val="005E5D63"/>
    <w:rsid w:val="005E6149"/>
    <w:rsid w:val="005E6A66"/>
    <w:rsid w:val="005E76C7"/>
    <w:rsid w:val="005E7BBC"/>
    <w:rsid w:val="005F05AE"/>
    <w:rsid w:val="005F0CC9"/>
    <w:rsid w:val="005F0FF3"/>
    <w:rsid w:val="005F28E9"/>
    <w:rsid w:val="005F2D7F"/>
    <w:rsid w:val="005F3269"/>
    <w:rsid w:val="005F3306"/>
    <w:rsid w:val="005F35DB"/>
    <w:rsid w:val="005F3F24"/>
    <w:rsid w:val="005F556B"/>
    <w:rsid w:val="005F57FF"/>
    <w:rsid w:val="005F7361"/>
    <w:rsid w:val="005F7483"/>
    <w:rsid w:val="005F796B"/>
    <w:rsid w:val="00600440"/>
    <w:rsid w:val="00600807"/>
    <w:rsid w:val="00600ECD"/>
    <w:rsid w:val="00601874"/>
    <w:rsid w:val="0060272B"/>
    <w:rsid w:val="006030BC"/>
    <w:rsid w:val="0060347D"/>
    <w:rsid w:val="00605207"/>
    <w:rsid w:val="00606FF5"/>
    <w:rsid w:val="00607AA6"/>
    <w:rsid w:val="006100ED"/>
    <w:rsid w:val="00610267"/>
    <w:rsid w:val="00610504"/>
    <w:rsid w:val="00611C61"/>
    <w:rsid w:val="0061239C"/>
    <w:rsid w:val="00612FA5"/>
    <w:rsid w:val="00613382"/>
    <w:rsid w:val="006140BB"/>
    <w:rsid w:val="00614196"/>
    <w:rsid w:val="00615C9C"/>
    <w:rsid w:val="00615FDE"/>
    <w:rsid w:val="006161B9"/>
    <w:rsid w:val="006162DB"/>
    <w:rsid w:val="006165AB"/>
    <w:rsid w:val="00617021"/>
    <w:rsid w:val="00617AE5"/>
    <w:rsid w:val="00620356"/>
    <w:rsid w:val="006205D9"/>
    <w:rsid w:val="006226AC"/>
    <w:rsid w:val="0062275E"/>
    <w:rsid w:val="0062298C"/>
    <w:rsid w:val="00623AC4"/>
    <w:rsid w:val="00624A0B"/>
    <w:rsid w:val="0062716D"/>
    <w:rsid w:val="006276AE"/>
    <w:rsid w:val="00627E50"/>
    <w:rsid w:val="00630B40"/>
    <w:rsid w:val="00630DD3"/>
    <w:rsid w:val="00631E2E"/>
    <w:rsid w:val="00633622"/>
    <w:rsid w:val="00633DCF"/>
    <w:rsid w:val="0063419F"/>
    <w:rsid w:val="006345AE"/>
    <w:rsid w:val="00634827"/>
    <w:rsid w:val="00635F9A"/>
    <w:rsid w:val="006360E2"/>
    <w:rsid w:val="0063690A"/>
    <w:rsid w:val="00637319"/>
    <w:rsid w:val="00637B31"/>
    <w:rsid w:val="006403F8"/>
    <w:rsid w:val="00640CF7"/>
    <w:rsid w:val="0064118C"/>
    <w:rsid w:val="00642853"/>
    <w:rsid w:val="00642974"/>
    <w:rsid w:val="0064319F"/>
    <w:rsid w:val="00644DEC"/>
    <w:rsid w:val="006475CC"/>
    <w:rsid w:val="0065063B"/>
    <w:rsid w:val="00650E8E"/>
    <w:rsid w:val="00651B01"/>
    <w:rsid w:val="006523D3"/>
    <w:rsid w:val="0065325C"/>
    <w:rsid w:val="00654488"/>
    <w:rsid w:val="00655763"/>
    <w:rsid w:val="00655910"/>
    <w:rsid w:val="0065731F"/>
    <w:rsid w:val="0065768E"/>
    <w:rsid w:val="00657AA3"/>
    <w:rsid w:val="00657BCE"/>
    <w:rsid w:val="0066031A"/>
    <w:rsid w:val="00662BAB"/>
    <w:rsid w:val="00662BF8"/>
    <w:rsid w:val="00662E80"/>
    <w:rsid w:val="006630A2"/>
    <w:rsid w:val="00663641"/>
    <w:rsid w:val="00664272"/>
    <w:rsid w:val="006648DB"/>
    <w:rsid w:val="00664DED"/>
    <w:rsid w:val="00665228"/>
    <w:rsid w:val="00665949"/>
    <w:rsid w:val="006659EC"/>
    <w:rsid w:val="00665D74"/>
    <w:rsid w:val="00666A06"/>
    <w:rsid w:val="00667FD1"/>
    <w:rsid w:val="00670AFA"/>
    <w:rsid w:val="006721D2"/>
    <w:rsid w:val="00673CF3"/>
    <w:rsid w:val="00673F0A"/>
    <w:rsid w:val="00674628"/>
    <w:rsid w:val="00674B0E"/>
    <w:rsid w:val="00674BE4"/>
    <w:rsid w:val="00674EFD"/>
    <w:rsid w:val="00675195"/>
    <w:rsid w:val="00676900"/>
    <w:rsid w:val="0067753A"/>
    <w:rsid w:val="00680147"/>
    <w:rsid w:val="00682180"/>
    <w:rsid w:val="0068246C"/>
    <w:rsid w:val="00682595"/>
    <w:rsid w:val="0068298B"/>
    <w:rsid w:val="00682B53"/>
    <w:rsid w:val="006837D9"/>
    <w:rsid w:val="00683E9C"/>
    <w:rsid w:val="00687116"/>
    <w:rsid w:val="00687158"/>
    <w:rsid w:val="006875D1"/>
    <w:rsid w:val="006905DA"/>
    <w:rsid w:val="0069077B"/>
    <w:rsid w:val="00690C7F"/>
    <w:rsid w:val="00690DFD"/>
    <w:rsid w:val="006916FF"/>
    <w:rsid w:val="00692052"/>
    <w:rsid w:val="006921C7"/>
    <w:rsid w:val="006930CA"/>
    <w:rsid w:val="00694586"/>
    <w:rsid w:val="00695EDE"/>
    <w:rsid w:val="00696D19"/>
    <w:rsid w:val="006977CB"/>
    <w:rsid w:val="006A0591"/>
    <w:rsid w:val="006A0803"/>
    <w:rsid w:val="006A2D5E"/>
    <w:rsid w:val="006A2F45"/>
    <w:rsid w:val="006A3999"/>
    <w:rsid w:val="006A3C64"/>
    <w:rsid w:val="006A4431"/>
    <w:rsid w:val="006A4720"/>
    <w:rsid w:val="006A5459"/>
    <w:rsid w:val="006A5B23"/>
    <w:rsid w:val="006A6B54"/>
    <w:rsid w:val="006A72D3"/>
    <w:rsid w:val="006A7D03"/>
    <w:rsid w:val="006B06CD"/>
    <w:rsid w:val="006B109C"/>
    <w:rsid w:val="006B19F3"/>
    <w:rsid w:val="006B1C36"/>
    <w:rsid w:val="006B223C"/>
    <w:rsid w:val="006B2513"/>
    <w:rsid w:val="006B3B7C"/>
    <w:rsid w:val="006B3CB7"/>
    <w:rsid w:val="006B4664"/>
    <w:rsid w:val="006B6179"/>
    <w:rsid w:val="006B6265"/>
    <w:rsid w:val="006B6B6E"/>
    <w:rsid w:val="006B7C9D"/>
    <w:rsid w:val="006B7CFD"/>
    <w:rsid w:val="006C00D6"/>
    <w:rsid w:val="006C14FF"/>
    <w:rsid w:val="006C1B0C"/>
    <w:rsid w:val="006C2A06"/>
    <w:rsid w:val="006C44B6"/>
    <w:rsid w:val="006C4602"/>
    <w:rsid w:val="006C4D96"/>
    <w:rsid w:val="006C52C7"/>
    <w:rsid w:val="006C6097"/>
    <w:rsid w:val="006C6B90"/>
    <w:rsid w:val="006C751B"/>
    <w:rsid w:val="006C7B9B"/>
    <w:rsid w:val="006D0010"/>
    <w:rsid w:val="006D0702"/>
    <w:rsid w:val="006D0989"/>
    <w:rsid w:val="006D0B78"/>
    <w:rsid w:val="006D1766"/>
    <w:rsid w:val="006D19C0"/>
    <w:rsid w:val="006D2086"/>
    <w:rsid w:val="006D27E9"/>
    <w:rsid w:val="006D346C"/>
    <w:rsid w:val="006D352F"/>
    <w:rsid w:val="006D366B"/>
    <w:rsid w:val="006D504B"/>
    <w:rsid w:val="006D529B"/>
    <w:rsid w:val="006D5983"/>
    <w:rsid w:val="006D64E9"/>
    <w:rsid w:val="006D67B6"/>
    <w:rsid w:val="006D6AA4"/>
    <w:rsid w:val="006D77B5"/>
    <w:rsid w:val="006E1128"/>
    <w:rsid w:val="006E6BB3"/>
    <w:rsid w:val="006E75C7"/>
    <w:rsid w:val="006E7768"/>
    <w:rsid w:val="006E7D58"/>
    <w:rsid w:val="006E7D7C"/>
    <w:rsid w:val="006F0590"/>
    <w:rsid w:val="006F09F4"/>
    <w:rsid w:val="006F0B76"/>
    <w:rsid w:val="006F10C2"/>
    <w:rsid w:val="006F153B"/>
    <w:rsid w:val="006F16D5"/>
    <w:rsid w:val="006F4159"/>
    <w:rsid w:val="006F4197"/>
    <w:rsid w:val="006F4D3C"/>
    <w:rsid w:val="006F5B9D"/>
    <w:rsid w:val="006F61B4"/>
    <w:rsid w:val="006F6733"/>
    <w:rsid w:val="006F6AAC"/>
    <w:rsid w:val="006F6DA1"/>
    <w:rsid w:val="006F707F"/>
    <w:rsid w:val="006F71F0"/>
    <w:rsid w:val="006F733A"/>
    <w:rsid w:val="007011D5"/>
    <w:rsid w:val="00701A5E"/>
    <w:rsid w:val="007027C2"/>
    <w:rsid w:val="007033B5"/>
    <w:rsid w:val="00703828"/>
    <w:rsid w:val="007047AF"/>
    <w:rsid w:val="00704930"/>
    <w:rsid w:val="00705198"/>
    <w:rsid w:val="00705F81"/>
    <w:rsid w:val="0070645F"/>
    <w:rsid w:val="00706924"/>
    <w:rsid w:val="007101BC"/>
    <w:rsid w:val="00710C79"/>
    <w:rsid w:val="0071125D"/>
    <w:rsid w:val="00711617"/>
    <w:rsid w:val="007116E7"/>
    <w:rsid w:val="00712236"/>
    <w:rsid w:val="00712379"/>
    <w:rsid w:val="00712FA4"/>
    <w:rsid w:val="00714753"/>
    <w:rsid w:val="007148D9"/>
    <w:rsid w:val="00714F40"/>
    <w:rsid w:val="00715A30"/>
    <w:rsid w:val="00716088"/>
    <w:rsid w:val="00716C78"/>
    <w:rsid w:val="00717AC0"/>
    <w:rsid w:val="00717C50"/>
    <w:rsid w:val="00720161"/>
    <w:rsid w:val="00720463"/>
    <w:rsid w:val="00721F6B"/>
    <w:rsid w:val="00722D52"/>
    <w:rsid w:val="0072405C"/>
    <w:rsid w:val="007246D1"/>
    <w:rsid w:val="00724A6F"/>
    <w:rsid w:val="00724D78"/>
    <w:rsid w:val="00724E77"/>
    <w:rsid w:val="007253AD"/>
    <w:rsid w:val="00725475"/>
    <w:rsid w:val="00725B2E"/>
    <w:rsid w:val="00725DCB"/>
    <w:rsid w:val="007260E6"/>
    <w:rsid w:val="00726685"/>
    <w:rsid w:val="00727449"/>
    <w:rsid w:val="0072790F"/>
    <w:rsid w:val="007303BC"/>
    <w:rsid w:val="00731193"/>
    <w:rsid w:val="00732209"/>
    <w:rsid w:val="00734D7A"/>
    <w:rsid w:val="007350F7"/>
    <w:rsid w:val="00735A48"/>
    <w:rsid w:val="00736E89"/>
    <w:rsid w:val="0074118D"/>
    <w:rsid w:val="00741874"/>
    <w:rsid w:val="00742732"/>
    <w:rsid w:val="00743020"/>
    <w:rsid w:val="00743AEE"/>
    <w:rsid w:val="007445E6"/>
    <w:rsid w:val="0074464D"/>
    <w:rsid w:val="0074511E"/>
    <w:rsid w:val="007453A7"/>
    <w:rsid w:val="00746BAC"/>
    <w:rsid w:val="007478BE"/>
    <w:rsid w:val="00747F58"/>
    <w:rsid w:val="00750F74"/>
    <w:rsid w:val="00754437"/>
    <w:rsid w:val="00754883"/>
    <w:rsid w:val="00755F79"/>
    <w:rsid w:val="00756929"/>
    <w:rsid w:val="00756EE9"/>
    <w:rsid w:val="00757814"/>
    <w:rsid w:val="007638FF"/>
    <w:rsid w:val="00763D1C"/>
    <w:rsid w:val="007641DE"/>
    <w:rsid w:val="00765BC4"/>
    <w:rsid w:val="0076602B"/>
    <w:rsid w:val="00766A3A"/>
    <w:rsid w:val="00766BFE"/>
    <w:rsid w:val="00766CD6"/>
    <w:rsid w:val="007709D3"/>
    <w:rsid w:val="00770CAA"/>
    <w:rsid w:val="00770E0D"/>
    <w:rsid w:val="00771F64"/>
    <w:rsid w:val="007720B2"/>
    <w:rsid w:val="00773014"/>
    <w:rsid w:val="00773537"/>
    <w:rsid w:val="00773865"/>
    <w:rsid w:val="00773AA1"/>
    <w:rsid w:val="00773B2B"/>
    <w:rsid w:val="00773D87"/>
    <w:rsid w:val="00773FA2"/>
    <w:rsid w:val="007746B3"/>
    <w:rsid w:val="00775046"/>
    <w:rsid w:val="00776113"/>
    <w:rsid w:val="007763D8"/>
    <w:rsid w:val="00776559"/>
    <w:rsid w:val="0077667D"/>
    <w:rsid w:val="0077705F"/>
    <w:rsid w:val="0077745C"/>
    <w:rsid w:val="00780764"/>
    <w:rsid w:val="00780E8B"/>
    <w:rsid w:val="00780F62"/>
    <w:rsid w:val="00780FF1"/>
    <w:rsid w:val="007820D4"/>
    <w:rsid w:val="00783A86"/>
    <w:rsid w:val="007842B4"/>
    <w:rsid w:val="007842F2"/>
    <w:rsid w:val="00784410"/>
    <w:rsid w:val="007849D8"/>
    <w:rsid w:val="007858FE"/>
    <w:rsid w:val="00785C23"/>
    <w:rsid w:val="00786885"/>
    <w:rsid w:val="00786A45"/>
    <w:rsid w:val="00786DBA"/>
    <w:rsid w:val="00787C82"/>
    <w:rsid w:val="0079004F"/>
    <w:rsid w:val="0079058C"/>
    <w:rsid w:val="00790667"/>
    <w:rsid w:val="007917E2"/>
    <w:rsid w:val="00791A2A"/>
    <w:rsid w:val="0079232D"/>
    <w:rsid w:val="00792BD8"/>
    <w:rsid w:val="00792EB3"/>
    <w:rsid w:val="007946FE"/>
    <w:rsid w:val="00794B49"/>
    <w:rsid w:val="00795195"/>
    <w:rsid w:val="00796414"/>
    <w:rsid w:val="0079729A"/>
    <w:rsid w:val="007973C5"/>
    <w:rsid w:val="00797DA2"/>
    <w:rsid w:val="007A06DE"/>
    <w:rsid w:val="007A097D"/>
    <w:rsid w:val="007A0E82"/>
    <w:rsid w:val="007A192C"/>
    <w:rsid w:val="007A1E14"/>
    <w:rsid w:val="007A3837"/>
    <w:rsid w:val="007A395F"/>
    <w:rsid w:val="007A3FC8"/>
    <w:rsid w:val="007A4E16"/>
    <w:rsid w:val="007A5128"/>
    <w:rsid w:val="007A56BF"/>
    <w:rsid w:val="007A61EC"/>
    <w:rsid w:val="007A63B6"/>
    <w:rsid w:val="007A6675"/>
    <w:rsid w:val="007A7169"/>
    <w:rsid w:val="007A7720"/>
    <w:rsid w:val="007B0224"/>
    <w:rsid w:val="007B1247"/>
    <w:rsid w:val="007B1BA2"/>
    <w:rsid w:val="007B2113"/>
    <w:rsid w:val="007B298F"/>
    <w:rsid w:val="007B2B4C"/>
    <w:rsid w:val="007B2EDF"/>
    <w:rsid w:val="007B43EA"/>
    <w:rsid w:val="007B5B4A"/>
    <w:rsid w:val="007B65FE"/>
    <w:rsid w:val="007B6CD5"/>
    <w:rsid w:val="007B7E0B"/>
    <w:rsid w:val="007C077E"/>
    <w:rsid w:val="007C1985"/>
    <w:rsid w:val="007C1B7F"/>
    <w:rsid w:val="007C20DA"/>
    <w:rsid w:val="007C4BEB"/>
    <w:rsid w:val="007C505F"/>
    <w:rsid w:val="007C5248"/>
    <w:rsid w:val="007C53AE"/>
    <w:rsid w:val="007C5444"/>
    <w:rsid w:val="007C5812"/>
    <w:rsid w:val="007C62A6"/>
    <w:rsid w:val="007C773C"/>
    <w:rsid w:val="007C7DA9"/>
    <w:rsid w:val="007C7F3A"/>
    <w:rsid w:val="007D051A"/>
    <w:rsid w:val="007D1135"/>
    <w:rsid w:val="007D15EA"/>
    <w:rsid w:val="007D3287"/>
    <w:rsid w:val="007D3472"/>
    <w:rsid w:val="007D3F7A"/>
    <w:rsid w:val="007D425D"/>
    <w:rsid w:val="007D54A5"/>
    <w:rsid w:val="007D6195"/>
    <w:rsid w:val="007D641E"/>
    <w:rsid w:val="007D6540"/>
    <w:rsid w:val="007E033E"/>
    <w:rsid w:val="007E0C4F"/>
    <w:rsid w:val="007E2210"/>
    <w:rsid w:val="007E23C0"/>
    <w:rsid w:val="007E2733"/>
    <w:rsid w:val="007E4455"/>
    <w:rsid w:val="007E48BF"/>
    <w:rsid w:val="007E4B05"/>
    <w:rsid w:val="007E5831"/>
    <w:rsid w:val="007E584D"/>
    <w:rsid w:val="007E586B"/>
    <w:rsid w:val="007E5C5A"/>
    <w:rsid w:val="007E5CE2"/>
    <w:rsid w:val="007F0D23"/>
    <w:rsid w:val="007F1796"/>
    <w:rsid w:val="007F1E08"/>
    <w:rsid w:val="007F24E9"/>
    <w:rsid w:val="007F2F54"/>
    <w:rsid w:val="007F352D"/>
    <w:rsid w:val="007F39A7"/>
    <w:rsid w:val="007F3AED"/>
    <w:rsid w:val="007F4F82"/>
    <w:rsid w:val="007F5D6D"/>
    <w:rsid w:val="007F6F67"/>
    <w:rsid w:val="007F73A7"/>
    <w:rsid w:val="007F7676"/>
    <w:rsid w:val="007F7F6E"/>
    <w:rsid w:val="00800F5B"/>
    <w:rsid w:val="00801499"/>
    <w:rsid w:val="00802074"/>
    <w:rsid w:val="008022B0"/>
    <w:rsid w:val="00802437"/>
    <w:rsid w:val="00802636"/>
    <w:rsid w:val="00802902"/>
    <w:rsid w:val="00802BFD"/>
    <w:rsid w:val="00803097"/>
    <w:rsid w:val="008033BE"/>
    <w:rsid w:val="0080519A"/>
    <w:rsid w:val="0080584A"/>
    <w:rsid w:val="00806CB9"/>
    <w:rsid w:val="00806D4E"/>
    <w:rsid w:val="00806D88"/>
    <w:rsid w:val="00806F94"/>
    <w:rsid w:val="008070F8"/>
    <w:rsid w:val="00807C8B"/>
    <w:rsid w:val="008102DC"/>
    <w:rsid w:val="00810F85"/>
    <w:rsid w:val="008116FD"/>
    <w:rsid w:val="00811754"/>
    <w:rsid w:val="0081261C"/>
    <w:rsid w:val="0081649C"/>
    <w:rsid w:val="00816626"/>
    <w:rsid w:val="00817348"/>
    <w:rsid w:val="0081774C"/>
    <w:rsid w:val="00817F1F"/>
    <w:rsid w:val="00820633"/>
    <w:rsid w:val="008206E9"/>
    <w:rsid w:val="008217C1"/>
    <w:rsid w:val="00822E18"/>
    <w:rsid w:val="00822EF4"/>
    <w:rsid w:val="008233AA"/>
    <w:rsid w:val="008236CE"/>
    <w:rsid w:val="008237D0"/>
    <w:rsid w:val="00823CD4"/>
    <w:rsid w:val="00823CDF"/>
    <w:rsid w:val="0082446B"/>
    <w:rsid w:val="00824A66"/>
    <w:rsid w:val="0082521D"/>
    <w:rsid w:val="00826738"/>
    <w:rsid w:val="00827E55"/>
    <w:rsid w:val="0083068A"/>
    <w:rsid w:val="008312D0"/>
    <w:rsid w:val="00831FFC"/>
    <w:rsid w:val="0083294D"/>
    <w:rsid w:val="008343F2"/>
    <w:rsid w:val="00834AF0"/>
    <w:rsid w:val="00835D70"/>
    <w:rsid w:val="00836916"/>
    <w:rsid w:val="00836A69"/>
    <w:rsid w:val="00840985"/>
    <w:rsid w:val="008414BE"/>
    <w:rsid w:val="00841525"/>
    <w:rsid w:val="00841C8C"/>
    <w:rsid w:val="00841E16"/>
    <w:rsid w:val="00841ED3"/>
    <w:rsid w:val="00842174"/>
    <w:rsid w:val="00842DF9"/>
    <w:rsid w:val="00842E6C"/>
    <w:rsid w:val="00843CCE"/>
    <w:rsid w:val="008443AA"/>
    <w:rsid w:val="008445E1"/>
    <w:rsid w:val="008457F8"/>
    <w:rsid w:val="0084592B"/>
    <w:rsid w:val="0084630F"/>
    <w:rsid w:val="00846B99"/>
    <w:rsid w:val="00846C5F"/>
    <w:rsid w:val="00847735"/>
    <w:rsid w:val="00847C65"/>
    <w:rsid w:val="0085123F"/>
    <w:rsid w:val="0085175B"/>
    <w:rsid w:val="0085193E"/>
    <w:rsid w:val="00851B56"/>
    <w:rsid w:val="0085237E"/>
    <w:rsid w:val="00852736"/>
    <w:rsid w:val="00852D51"/>
    <w:rsid w:val="00853622"/>
    <w:rsid w:val="00855162"/>
    <w:rsid w:val="0085549F"/>
    <w:rsid w:val="00855FB6"/>
    <w:rsid w:val="008567CB"/>
    <w:rsid w:val="0085712B"/>
    <w:rsid w:val="00857306"/>
    <w:rsid w:val="00857EBE"/>
    <w:rsid w:val="00861412"/>
    <w:rsid w:val="0086165E"/>
    <w:rsid w:val="0086173A"/>
    <w:rsid w:val="00862EF2"/>
    <w:rsid w:val="00863AF5"/>
    <w:rsid w:val="00864040"/>
    <w:rsid w:val="00866D44"/>
    <w:rsid w:val="00866EF1"/>
    <w:rsid w:val="00867441"/>
    <w:rsid w:val="00867AF2"/>
    <w:rsid w:val="00867D64"/>
    <w:rsid w:val="00867EAA"/>
    <w:rsid w:val="00870AC5"/>
    <w:rsid w:val="0087222E"/>
    <w:rsid w:val="00872321"/>
    <w:rsid w:val="008726B0"/>
    <w:rsid w:val="008729F7"/>
    <w:rsid w:val="00872F36"/>
    <w:rsid w:val="00873087"/>
    <w:rsid w:val="00873794"/>
    <w:rsid w:val="00873A06"/>
    <w:rsid w:val="00873B1D"/>
    <w:rsid w:val="00874B67"/>
    <w:rsid w:val="00874D91"/>
    <w:rsid w:val="00874F53"/>
    <w:rsid w:val="0087661D"/>
    <w:rsid w:val="008768C4"/>
    <w:rsid w:val="008768D7"/>
    <w:rsid w:val="00880A9A"/>
    <w:rsid w:val="00880CFB"/>
    <w:rsid w:val="00880E3C"/>
    <w:rsid w:val="00881700"/>
    <w:rsid w:val="00882BC0"/>
    <w:rsid w:val="00882EC6"/>
    <w:rsid w:val="008831DA"/>
    <w:rsid w:val="008847B3"/>
    <w:rsid w:val="00884C3D"/>
    <w:rsid w:val="00885506"/>
    <w:rsid w:val="008855E4"/>
    <w:rsid w:val="00887320"/>
    <w:rsid w:val="00887AF2"/>
    <w:rsid w:val="00890208"/>
    <w:rsid w:val="00890B35"/>
    <w:rsid w:val="00891124"/>
    <w:rsid w:val="0089115F"/>
    <w:rsid w:val="008912B4"/>
    <w:rsid w:val="0089184C"/>
    <w:rsid w:val="0089273D"/>
    <w:rsid w:val="008929F0"/>
    <w:rsid w:val="00893313"/>
    <w:rsid w:val="008941D0"/>
    <w:rsid w:val="00894A63"/>
    <w:rsid w:val="00895719"/>
    <w:rsid w:val="008964BF"/>
    <w:rsid w:val="008964C7"/>
    <w:rsid w:val="008975B9"/>
    <w:rsid w:val="008A04AF"/>
    <w:rsid w:val="008A4ABB"/>
    <w:rsid w:val="008A50A7"/>
    <w:rsid w:val="008A53A7"/>
    <w:rsid w:val="008A6393"/>
    <w:rsid w:val="008A71F9"/>
    <w:rsid w:val="008A751A"/>
    <w:rsid w:val="008B1549"/>
    <w:rsid w:val="008B1BAF"/>
    <w:rsid w:val="008B2CAE"/>
    <w:rsid w:val="008B31AB"/>
    <w:rsid w:val="008B335C"/>
    <w:rsid w:val="008B3FE9"/>
    <w:rsid w:val="008B4D5B"/>
    <w:rsid w:val="008B69D7"/>
    <w:rsid w:val="008B6B72"/>
    <w:rsid w:val="008B73A6"/>
    <w:rsid w:val="008B7562"/>
    <w:rsid w:val="008B75B6"/>
    <w:rsid w:val="008B7D6A"/>
    <w:rsid w:val="008C0AE1"/>
    <w:rsid w:val="008C2CDC"/>
    <w:rsid w:val="008C38F7"/>
    <w:rsid w:val="008C39EE"/>
    <w:rsid w:val="008C3FC1"/>
    <w:rsid w:val="008C6914"/>
    <w:rsid w:val="008C6C08"/>
    <w:rsid w:val="008D005B"/>
    <w:rsid w:val="008D03D4"/>
    <w:rsid w:val="008D08A0"/>
    <w:rsid w:val="008D0A4E"/>
    <w:rsid w:val="008D16DC"/>
    <w:rsid w:val="008D1870"/>
    <w:rsid w:val="008D1AC5"/>
    <w:rsid w:val="008D37C8"/>
    <w:rsid w:val="008D3AE6"/>
    <w:rsid w:val="008D4243"/>
    <w:rsid w:val="008D453D"/>
    <w:rsid w:val="008D4898"/>
    <w:rsid w:val="008D6DD7"/>
    <w:rsid w:val="008D7E92"/>
    <w:rsid w:val="008E0443"/>
    <w:rsid w:val="008E0671"/>
    <w:rsid w:val="008E0751"/>
    <w:rsid w:val="008E090E"/>
    <w:rsid w:val="008E0C60"/>
    <w:rsid w:val="008E1095"/>
    <w:rsid w:val="008E158D"/>
    <w:rsid w:val="008E2BF5"/>
    <w:rsid w:val="008E2E20"/>
    <w:rsid w:val="008E2FE3"/>
    <w:rsid w:val="008E3EB0"/>
    <w:rsid w:val="008E4236"/>
    <w:rsid w:val="008E50D1"/>
    <w:rsid w:val="008E5575"/>
    <w:rsid w:val="008E5A41"/>
    <w:rsid w:val="008E5E73"/>
    <w:rsid w:val="008E6D5F"/>
    <w:rsid w:val="008F1D6E"/>
    <w:rsid w:val="008F2931"/>
    <w:rsid w:val="008F2E33"/>
    <w:rsid w:val="008F5278"/>
    <w:rsid w:val="008F5B7F"/>
    <w:rsid w:val="008F6414"/>
    <w:rsid w:val="00900418"/>
    <w:rsid w:val="00900966"/>
    <w:rsid w:val="00900DAD"/>
    <w:rsid w:val="00901C0F"/>
    <w:rsid w:val="009026F1"/>
    <w:rsid w:val="00903A86"/>
    <w:rsid w:val="0090423A"/>
    <w:rsid w:val="00904508"/>
    <w:rsid w:val="00905026"/>
    <w:rsid w:val="009051EA"/>
    <w:rsid w:val="009066D5"/>
    <w:rsid w:val="009104BD"/>
    <w:rsid w:val="00910F6A"/>
    <w:rsid w:val="009110DC"/>
    <w:rsid w:val="0091124B"/>
    <w:rsid w:val="00912983"/>
    <w:rsid w:val="00913AC9"/>
    <w:rsid w:val="00914592"/>
    <w:rsid w:val="009151EA"/>
    <w:rsid w:val="00915365"/>
    <w:rsid w:val="0091699D"/>
    <w:rsid w:val="00916CC0"/>
    <w:rsid w:val="00916FA7"/>
    <w:rsid w:val="00917287"/>
    <w:rsid w:val="00917D0A"/>
    <w:rsid w:val="00920A6E"/>
    <w:rsid w:val="00920D6B"/>
    <w:rsid w:val="00922D52"/>
    <w:rsid w:val="00922DFC"/>
    <w:rsid w:val="00923836"/>
    <w:rsid w:val="00924C08"/>
    <w:rsid w:val="0092593E"/>
    <w:rsid w:val="00925F99"/>
    <w:rsid w:val="00926180"/>
    <w:rsid w:val="00926337"/>
    <w:rsid w:val="00926603"/>
    <w:rsid w:val="00927CAD"/>
    <w:rsid w:val="00927DBA"/>
    <w:rsid w:val="00930206"/>
    <w:rsid w:val="009311E1"/>
    <w:rsid w:val="00931F3C"/>
    <w:rsid w:val="00933470"/>
    <w:rsid w:val="009336E0"/>
    <w:rsid w:val="00933C20"/>
    <w:rsid w:val="00933E34"/>
    <w:rsid w:val="00934D8E"/>
    <w:rsid w:val="009355B2"/>
    <w:rsid w:val="00935AFB"/>
    <w:rsid w:val="00936CF5"/>
    <w:rsid w:val="00937BFB"/>
    <w:rsid w:val="00937ED4"/>
    <w:rsid w:val="009409CC"/>
    <w:rsid w:val="00940F46"/>
    <w:rsid w:val="00941478"/>
    <w:rsid w:val="00941875"/>
    <w:rsid w:val="00944089"/>
    <w:rsid w:val="00944960"/>
    <w:rsid w:val="009449A6"/>
    <w:rsid w:val="00944C2C"/>
    <w:rsid w:val="00945776"/>
    <w:rsid w:val="0094594F"/>
    <w:rsid w:val="00945D30"/>
    <w:rsid w:val="009461D8"/>
    <w:rsid w:val="00946579"/>
    <w:rsid w:val="009470ED"/>
    <w:rsid w:val="00947318"/>
    <w:rsid w:val="00950D9B"/>
    <w:rsid w:val="00950F1B"/>
    <w:rsid w:val="00950F47"/>
    <w:rsid w:val="00950FD0"/>
    <w:rsid w:val="009513D0"/>
    <w:rsid w:val="00951EEE"/>
    <w:rsid w:val="00952903"/>
    <w:rsid w:val="00952AE9"/>
    <w:rsid w:val="00952D29"/>
    <w:rsid w:val="00952F31"/>
    <w:rsid w:val="00954CCE"/>
    <w:rsid w:val="009553B2"/>
    <w:rsid w:val="00955460"/>
    <w:rsid w:val="00956108"/>
    <w:rsid w:val="009570F2"/>
    <w:rsid w:val="00957116"/>
    <w:rsid w:val="009576EE"/>
    <w:rsid w:val="009577D6"/>
    <w:rsid w:val="00961436"/>
    <w:rsid w:val="00961C1C"/>
    <w:rsid w:val="00962278"/>
    <w:rsid w:val="00962D5C"/>
    <w:rsid w:val="00963FE6"/>
    <w:rsid w:val="00964623"/>
    <w:rsid w:val="0096492C"/>
    <w:rsid w:val="009651DE"/>
    <w:rsid w:val="00965285"/>
    <w:rsid w:val="00967078"/>
    <w:rsid w:val="0096782B"/>
    <w:rsid w:val="009707DC"/>
    <w:rsid w:val="00970985"/>
    <w:rsid w:val="00970A64"/>
    <w:rsid w:val="0097144E"/>
    <w:rsid w:val="009718D1"/>
    <w:rsid w:val="00971B90"/>
    <w:rsid w:val="00971EBC"/>
    <w:rsid w:val="00972534"/>
    <w:rsid w:val="00972C21"/>
    <w:rsid w:val="00973486"/>
    <w:rsid w:val="00973631"/>
    <w:rsid w:val="00974948"/>
    <w:rsid w:val="00975085"/>
    <w:rsid w:val="00975CC8"/>
    <w:rsid w:val="00975F8A"/>
    <w:rsid w:val="0097733A"/>
    <w:rsid w:val="00977F3F"/>
    <w:rsid w:val="00980163"/>
    <w:rsid w:val="00982185"/>
    <w:rsid w:val="009822B0"/>
    <w:rsid w:val="00982783"/>
    <w:rsid w:val="00983223"/>
    <w:rsid w:val="00983727"/>
    <w:rsid w:val="00984D31"/>
    <w:rsid w:val="00986138"/>
    <w:rsid w:val="009868C1"/>
    <w:rsid w:val="00990120"/>
    <w:rsid w:val="009914EE"/>
    <w:rsid w:val="00992268"/>
    <w:rsid w:val="009932AF"/>
    <w:rsid w:val="009934EC"/>
    <w:rsid w:val="00994691"/>
    <w:rsid w:val="0099517E"/>
    <w:rsid w:val="009954F5"/>
    <w:rsid w:val="0099552C"/>
    <w:rsid w:val="0099609A"/>
    <w:rsid w:val="00996676"/>
    <w:rsid w:val="009966D5"/>
    <w:rsid w:val="009967A5"/>
    <w:rsid w:val="009969E2"/>
    <w:rsid w:val="009971FC"/>
    <w:rsid w:val="009A06C2"/>
    <w:rsid w:val="009A0A9E"/>
    <w:rsid w:val="009A10DB"/>
    <w:rsid w:val="009A230F"/>
    <w:rsid w:val="009A367C"/>
    <w:rsid w:val="009A3746"/>
    <w:rsid w:val="009A3B11"/>
    <w:rsid w:val="009A4C68"/>
    <w:rsid w:val="009A623B"/>
    <w:rsid w:val="009A68B7"/>
    <w:rsid w:val="009A6B5A"/>
    <w:rsid w:val="009A7208"/>
    <w:rsid w:val="009B07F9"/>
    <w:rsid w:val="009B0D2D"/>
    <w:rsid w:val="009B11AE"/>
    <w:rsid w:val="009B1316"/>
    <w:rsid w:val="009B1728"/>
    <w:rsid w:val="009B25C5"/>
    <w:rsid w:val="009B349D"/>
    <w:rsid w:val="009B378B"/>
    <w:rsid w:val="009B3A32"/>
    <w:rsid w:val="009B40D7"/>
    <w:rsid w:val="009B432C"/>
    <w:rsid w:val="009B4EAF"/>
    <w:rsid w:val="009B508C"/>
    <w:rsid w:val="009B5592"/>
    <w:rsid w:val="009B5896"/>
    <w:rsid w:val="009B58D7"/>
    <w:rsid w:val="009B64D1"/>
    <w:rsid w:val="009B6A6C"/>
    <w:rsid w:val="009B6E2F"/>
    <w:rsid w:val="009C1A0A"/>
    <w:rsid w:val="009C1AF8"/>
    <w:rsid w:val="009C2002"/>
    <w:rsid w:val="009C3E10"/>
    <w:rsid w:val="009C4998"/>
    <w:rsid w:val="009D0AC8"/>
    <w:rsid w:val="009D0CFA"/>
    <w:rsid w:val="009D142B"/>
    <w:rsid w:val="009D2545"/>
    <w:rsid w:val="009D2D38"/>
    <w:rsid w:val="009D3152"/>
    <w:rsid w:val="009D390D"/>
    <w:rsid w:val="009D404A"/>
    <w:rsid w:val="009D4130"/>
    <w:rsid w:val="009D4232"/>
    <w:rsid w:val="009D4BD9"/>
    <w:rsid w:val="009D4FE5"/>
    <w:rsid w:val="009D4FE6"/>
    <w:rsid w:val="009D5538"/>
    <w:rsid w:val="009D5687"/>
    <w:rsid w:val="009D60E4"/>
    <w:rsid w:val="009D61B7"/>
    <w:rsid w:val="009D7F6D"/>
    <w:rsid w:val="009E01DC"/>
    <w:rsid w:val="009E0989"/>
    <w:rsid w:val="009E0FC4"/>
    <w:rsid w:val="009E10AF"/>
    <w:rsid w:val="009E17D9"/>
    <w:rsid w:val="009E197F"/>
    <w:rsid w:val="009E2319"/>
    <w:rsid w:val="009E3328"/>
    <w:rsid w:val="009E352F"/>
    <w:rsid w:val="009E6740"/>
    <w:rsid w:val="009E6861"/>
    <w:rsid w:val="009E6D39"/>
    <w:rsid w:val="009E7586"/>
    <w:rsid w:val="009F0081"/>
    <w:rsid w:val="009F05D5"/>
    <w:rsid w:val="009F19B9"/>
    <w:rsid w:val="009F1AE4"/>
    <w:rsid w:val="009F2850"/>
    <w:rsid w:val="009F34B9"/>
    <w:rsid w:val="009F3689"/>
    <w:rsid w:val="009F36B4"/>
    <w:rsid w:val="009F6F08"/>
    <w:rsid w:val="009F72E2"/>
    <w:rsid w:val="00A026A3"/>
    <w:rsid w:val="00A03253"/>
    <w:rsid w:val="00A0365A"/>
    <w:rsid w:val="00A043B4"/>
    <w:rsid w:val="00A055D0"/>
    <w:rsid w:val="00A0584C"/>
    <w:rsid w:val="00A05904"/>
    <w:rsid w:val="00A06293"/>
    <w:rsid w:val="00A06620"/>
    <w:rsid w:val="00A1118F"/>
    <w:rsid w:val="00A115A4"/>
    <w:rsid w:val="00A117FC"/>
    <w:rsid w:val="00A122D6"/>
    <w:rsid w:val="00A124D7"/>
    <w:rsid w:val="00A1331E"/>
    <w:rsid w:val="00A13AC7"/>
    <w:rsid w:val="00A142B0"/>
    <w:rsid w:val="00A14A49"/>
    <w:rsid w:val="00A14C8C"/>
    <w:rsid w:val="00A14E6F"/>
    <w:rsid w:val="00A16110"/>
    <w:rsid w:val="00A2065F"/>
    <w:rsid w:val="00A212A0"/>
    <w:rsid w:val="00A22774"/>
    <w:rsid w:val="00A23D94"/>
    <w:rsid w:val="00A23E13"/>
    <w:rsid w:val="00A250E7"/>
    <w:rsid w:val="00A25545"/>
    <w:rsid w:val="00A25973"/>
    <w:rsid w:val="00A265DB"/>
    <w:rsid w:val="00A26DD7"/>
    <w:rsid w:val="00A26F19"/>
    <w:rsid w:val="00A26FF8"/>
    <w:rsid w:val="00A2794E"/>
    <w:rsid w:val="00A3014A"/>
    <w:rsid w:val="00A31043"/>
    <w:rsid w:val="00A321B3"/>
    <w:rsid w:val="00A323F9"/>
    <w:rsid w:val="00A33140"/>
    <w:rsid w:val="00A3362B"/>
    <w:rsid w:val="00A34BBE"/>
    <w:rsid w:val="00A34C7B"/>
    <w:rsid w:val="00A3675F"/>
    <w:rsid w:val="00A37A8D"/>
    <w:rsid w:val="00A41C50"/>
    <w:rsid w:val="00A41E22"/>
    <w:rsid w:val="00A42CA7"/>
    <w:rsid w:val="00A42CFE"/>
    <w:rsid w:val="00A433E1"/>
    <w:rsid w:val="00A44423"/>
    <w:rsid w:val="00A444BA"/>
    <w:rsid w:val="00A44A63"/>
    <w:rsid w:val="00A45677"/>
    <w:rsid w:val="00A46AE7"/>
    <w:rsid w:val="00A51882"/>
    <w:rsid w:val="00A51ED9"/>
    <w:rsid w:val="00A52A7F"/>
    <w:rsid w:val="00A546CF"/>
    <w:rsid w:val="00A55197"/>
    <w:rsid w:val="00A552F0"/>
    <w:rsid w:val="00A554B7"/>
    <w:rsid w:val="00A55E78"/>
    <w:rsid w:val="00A564A7"/>
    <w:rsid w:val="00A566B9"/>
    <w:rsid w:val="00A56FFF"/>
    <w:rsid w:val="00A57467"/>
    <w:rsid w:val="00A575B1"/>
    <w:rsid w:val="00A60015"/>
    <w:rsid w:val="00A601D7"/>
    <w:rsid w:val="00A61468"/>
    <w:rsid w:val="00A615FE"/>
    <w:rsid w:val="00A6184B"/>
    <w:rsid w:val="00A62BFC"/>
    <w:rsid w:val="00A63571"/>
    <w:rsid w:val="00A639C9"/>
    <w:rsid w:val="00A653A0"/>
    <w:rsid w:val="00A6627A"/>
    <w:rsid w:val="00A67D1C"/>
    <w:rsid w:val="00A709C1"/>
    <w:rsid w:val="00A70C0A"/>
    <w:rsid w:val="00A7200A"/>
    <w:rsid w:val="00A723AA"/>
    <w:rsid w:val="00A7248A"/>
    <w:rsid w:val="00A72812"/>
    <w:rsid w:val="00A73499"/>
    <w:rsid w:val="00A7359E"/>
    <w:rsid w:val="00A73AE9"/>
    <w:rsid w:val="00A7414A"/>
    <w:rsid w:val="00A74C25"/>
    <w:rsid w:val="00A75636"/>
    <w:rsid w:val="00A75F68"/>
    <w:rsid w:val="00A76939"/>
    <w:rsid w:val="00A816A4"/>
    <w:rsid w:val="00A82072"/>
    <w:rsid w:val="00A82E48"/>
    <w:rsid w:val="00A82FCC"/>
    <w:rsid w:val="00A84C57"/>
    <w:rsid w:val="00A867D1"/>
    <w:rsid w:val="00A868A3"/>
    <w:rsid w:val="00A87444"/>
    <w:rsid w:val="00A87D3F"/>
    <w:rsid w:val="00A90554"/>
    <w:rsid w:val="00A908D3"/>
    <w:rsid w:val="00A90A1F"/>
    <w:rsid w:val="00A912E1"/>
    <w:rsid w:val="00A9168B"/>
    <w:rsid w:val="00A91C1B"/>
    <w:rsid w:val="00A91EF8"/>
    <w:rsid w:val="00A92B8D"/>
    <w:rsid w:val="00A92CF1"/>
    <w:rsid w:val="00A93392"/>
    <w:rsid w:val="00A9382C"/>
    <w:rsid w:val="00A93923"/>
    <w:rsid w:val="00A941E2"/>
    <w:rsid w:val="00A949A6"/>
    <w:rsid w:val="00A95162"/>
    <w:rsid w:val="00A95E59"/>
    <w:rsid w:val="00A95E93"/>
    <w:rsid w:val="00A96066"/>
    <w:rsid w:val="00AA03A9"/>
    <w:rsid w:val="00AA11B8"/>
    <w:rsid w:val="00AA1588"/>
    <w:rsid w:val="00AA197E"/>
    <w:rsid w:val="00AA1A95"/>
    <w:rsid w:val="00AA2084"/>
    <w:rsid w:val="00AA24FC"/>
    <w:rsid w:val="00AA2711"/>
    <w:rsid w:val="00AA2E00"/>
    <w:rsid w:val="00AA2F3B"/>
    <w:rsid w:val="00AA361F"/>
    <w:rsid w:val="00AA3859"/>
    <w:rsid w:val="00AA3BCC"/>
    <w:rsid w:val="00AA4194"/>
    <w:rsid w:val="00AA57F9"/>
    <w:rsid w:val="00AA621F"/>
    <w:rsid w:val="00AA6862"/>
    <w:rsid w:val="00AA6A11"/>
    <w:rsid w:val="00AA776A"/>
    <w:rsid w:val="00AA7890"/>
    <w:rsid w:val="00AB0AD3"/>
    <w:rsid w:val="00AB0F38"/>
    <w:rsid w:val="00AB15C4"/>
    <w:rsid w:val="00AB2F52"/>
    <w:rsid w:val="00AB54EE"/>
    <w:rsid w:val="00AB6032"/>
    <w:rsid w:val="00AB636B"/>
    <w:rsid w:val="00AB6D2E"/>
    <w:rsid w:val="00AB7699"/>
    <w:rsid w:val="00AB7C1F"/>
    <w:rsid w:val="00AB7C8B"/>
    <w:rsid w:val="00AC0483"/>
    <w:rsid w:val="00AC04A0"/>
    <w:rsid w:val="00AC0940"/>
    <w:rsid w:val="00AC0C63"/>
    <w:rsid w:val="00AC0D63"/>
    <w:rsid w:val="00AC276B"/>
    <w:rsid w:val="00AC2890"/>
    <w:rsid w:val="00AC2A48"/>
    <w:rsid w:val="00AC2C9A"/>
    <w:rsid w:val="00AC2D9A"/>
    <w:rsid w:val="00AC46DB"/>
    <w:rsid w:val="00AC537C"/>
    <w:rsid w:val="00AC53C4"/>
    <w:rsid w:val="00AC5E19"/>
    <w:rsid w:val="00AC6227"/>
    <w:rsid w:val="00AC6345"/>
    <w:rsid w:val="00AC6733"/>
    <w:rsid w:val="00AC7B55"/>
    <w:rsid w:val="00AD0769"/>
    <w:rsid w:val="00AD0B1F"/>
    <w:rsid w:val="00AD1D94"/>
    <w:rsid w:val="00AD2773"/>
    <w:rsid w:val="00AD41F1"/>
    <w:rsid w:val="00AD6313"/>
    <w:rsid w:val="00AE0EE8"/>
    <w:rsid w:val="00AE15FB"/>
    <w:rsid w:val="00AE162F"/>
    <w:rsid w:val="00AE306C"/>
    <w:rsid w:val="00AE322C"/>
    <w:rsid w:val="00AE3440"/>
    <w:rsid w:val="00AE367A"/>
    <w:rsid w:val="00AE3BB0"/>
    <w:rsid w:val="00AE409F"/>
    <w:rsid w:val="00AE449B"/>
    <w:rsid w:val="00AE4597"/>
    <w:rsid w:val="00AE470A"/>
    <w:rsid w:val="00AE499F"/>
    <w:rsid w:val="00AE50FE"/>
    <w:rsid w:val="00AE54B0"/>
    <w:rsid w:val="00AE58A2"/>
    <w:rsid w:val="00AE68A5"/>
    <w:rsid w:val="00AE75C2"/>
    <w:rsid w:val="00AE7910"/>
    <w:rsid w:val="00AE7962"/>
    <w:rsid w:val="00AE7E3A"/>
    <w:rsid w:val="00AF0D18"/>
    <w:rsid w:val="00AF0F6F"/>
    <w:rsid w:val="00AF1119"/>
    <w:rsid w:val="00AF1439"/>
    <w:rsid w:val="00AF2079"/>
    <w:rsid w:val="00AF2DDF"/>
    <w:rsid w:val="00AF3238"/>
    <w:rsid w:val="00AF37E4"/>
    <w:rsid w:val="00AF3845"/>
    <w:rsid w:val="00AF421E"/>
    <w:rsid w:val="00AF52AE"/>
    <w:rsid w:val="00AF5AC7"/>
    <w:rsid w:val="00AF5D1E"/>
    <w:rsid w:val="00AF69A3"/>
    <w:rsid w:val="00AF7867"/>
    <w:rsid w:val="00AF7965"/>
    <w:rsid w:val="00AF7C09"/>
    <w:rsid w:val="00B00CD3"/>
    <w:rsid w:val="00B00D6D"/>
    <w:rsid w:val="00B010CE"/>
    <w:rsid w:val="00B03724"/>
    <w:rsid w:val="00B03883"/>
    <w:rsid w:val="00B03B9C"/>
    <w:rsid w:val="00B041BC"/>
    <w:rsid w:val="00B044E5"/>
    <w:rsid w:val="00B0566F"/>
    <w:rsid w:val="00B05D0B"/>
    <w:rsid w:val="00B05F03"/>
    <w:rsid w:val="00B0744A"/>
    <w:rsid w:val="00B112D1"/>
    <w:rsid w:val="00B11580"/>
    <w:rsid w:val="00B12191"/>
    <w:rsid w:val="00B125B7"/>
    <w:rsid w:val="00B12C2E"/>
    <w:rsid w:val="00B12ECB"/>
    <w:rsid w:val="00B12ED5"/>
    <w:rsid w:val="00B13842"/>
    <w:rsid w:val="00B13A4D"/>
    <w:rsid w:val="00B14855"/>
    <w:rsid w:val="00B16DA6"/>
    <w:rsid w:val="00B20106"/>
    <w:rsid w:val="00B207C6"/>
    <w:rsid w:val="00B20BFC"/>
    <w:rsid w:val="00B20DDD"/>
    <w:rsid w:val="00B21A18"/>
    <w:rsid w:val="00B21FDB"/>
    <w:rsid w:val="00B237F7"/>
    <w:rsid w:val="00B23CC8"/>
    <w:rsid w:val="00B2426E"/>
    <w:rsid w:val="00B24EC4"/>
    <w:rsid w:val="00B2503E"/>
    <w:rsid w:val="00B26809"/>
    <w:rsid w:val="00B269DB"/>
    <w:rsid w:val="00B2741C"/>
    <w:rsid w:val="00B27425"/>
    <w:rsid w:val="00B2761E"/>
    <w:rsid w:val="00B27FA2"/>
    <w:rsid w:val="00B307D6"/>
    <w:rsid w:val="00B30939"/>
    <w:rsid w:val="00B310BD"/>
    <w:rsid w:val="00B31DC7"/>
    <w:rsid w:val="00B31E72"/>
    <w:rsid w:val="00B3207B"/>
    <w:rsid w:val="00B3289D"/>
    <w:rsid w:val="00B33445"/>
    <w:rsid w:val="00B33726"/>
    <w:rsid w:val="00B33FEB"/>
    <w:rsid w:val="00B34798"/>
    <w:rsid w:val="00B34F3F"/>
    <w:rsid w:val="00B3580D"/>
    <w:rsid w:val="00B365CD"/>
    <w:rsid w:val="00B3661E"/>
    <w:rsid w:val="00B37A51"/>
    <w:rsid w:val="00B400BB"/>
    <w:rsid w:val="00B4090C"/>
    <w:rsid w:val="00B41010"/>
    <w:rsid w:val="00B41337"/>
    <w:rsid w:val="00B41B5C"/>
    <w:rsid w:val="00B42705"/>
    <w:rsid w:val="00B43634"/>
    <w:rsid w:val="00B43896"/>
    <w:rsid w:val="00B43A8D"/>
    <w:rsid w:val="00B44D9C"/>
    <w:rsid w:val="00B4602E"/>
    <w:rsid w:val="00B46404"/>
    <w:rsid w:val="00B46641"/>
    <w:rsid w:val="00B466C1"/>
    <w:rsid w:val="00B46F58"/>
    <w:rsid w:val="00B47132"/>
    <w:rsid w:val="00B479D2"/>
    <w:rsid w:val="00B47C2C"/>
    <w:rsid w:val="00B47CF1"/>
    <w:rsid w:val="00B47E2C"/>
    <w:rsid w:val="00B47E70"/>
    <w:rsid w:val="00B50583"/>
    <w:rsid w:val="00B528AC"/>
    <w:rsid w:val="00B53F63"/>
    <w:rsid w:val="00B5470E"/>
    <w:rsid w:val="00B54F6B"/>
    <w:rsid w:val="00B57058"/>
    <w:rsid w:val="00B61909"/>
    <w:rsid w:val="00B619DD"/>
    <w:rsid w:val="00B62578"/>
    <w:rsid w:val="00B62D7A"/>
    <w:rsid w:val="00B638E6"/>
    <w:rsid w:val="00B640D8"/>
    <w:rsid w:val="00B6418E"/>
    <w:rsid w:val="00B65392"/>
    <w:rsid w:val="00B6646E"/>
    <w:rsid w:val="00B66BA4"/>
    <w:rsid w:val="00B6719A"/>
    <w:rsid w:val="00B67BEC"/>
    <w:rsid w:val="00B67D79"/>
    <w:rsid w:val="00B70C32"/>
    <w:rsid w:val="00B72110"/>
    <w:rsid w:val="00B72489"/>
    <w:rsid w:val="00B72A3F"/>
    <w:rsid w:val="00B73559"/>
    <w:rsid w:val="00B739D5"/>
    <w:rsid w:val="00B73B99"/>
    <w:rsid w:val="00B75EF8"/>
    <w:rsid w:val="00B77CC9"/>
    <w:rsid w:val="00B80220"/>
    <w:rsid w:val="00B8065D"/>
    <w:rsid w:val="00B814C8"/>
    <w:rsid w:val="00B825A7"/>
    <w:rsid w:val="00B82800"/>
    <w:rsid w:val="00B82D03"/>
    <w:rsid w:val="00B853DD"/>
    <w:rsid w:val="00B85CD7"/>
    <w:rsid w:val="00B860F2"/>
    <w:rsid w:val="00B901F8"/>
    <w:rsid w:val="00B9040D"/>
    <w:rsid w:val="00B90A21"/>
    <w:rsid w:val="00B90FB2"/>
    <w:rsid w:val="00B9226D"/>
    <w:rsid w:val="00B93245"/>
    <w:rsid w:val="00B9450A"/>
    <w:rsid w:val="00B94821"/>
    <w:rsid w:val="00B95375"/>
    <w:rsid w:val="00B956AE"/>
    <w:rsid w:val="00B96347"/>
    <w:rsid w:val="00B9677D"/>
    <w:rsid w:val="00B96B55"/>
    <w:rsid w:val="00B974AF"/>
    <w:rsid w:val="00B974D1"/>
    <w:rsid w:val="00B974DA"/>
    <w:rsid w:val="00B978F8"/>
    <w:rsid w:val="00BA0F64"/>
    <w:rsid w:val="00BA2C8C"/>
    <w:rsid w:val="00BA2CA2"/>
    <w:rsid w:val="00BA48FA"/>
    <w:rsid w:val="00BA53DB"/>
    <w:rsid w:val="00BA5AF1"/>
    <w:rsid w:val="00BA6061"/>
    <w:rsid w:val="00BA6297"/>
    <w:rsid w:val="00BA6EB6"/>
    <w:rsid w:val="00BA7F14"/>
    <w:rsid w:val="00BB03E6"/>
    <w:rsid w:val="00BB0411"/>
    <w:rsid w:val="00BB0ED2"/>
    <w:rsid w:val="00BB1F0A"/>
    <w:rsid w:val="00BB277A"/>
    <w:rsid w:val="00BB39E4"/>
    <w:rsid w:val="00BB3E81"/>
    <w:rsid w:val="00BB47AF"/>
    <w:rsid w:val="00BB515C"/>
    <w:rsid w:val="00BB51AE"/>
    <w:rsid w:val="00BB5702"/>
    <w:rsid w:val="00BB5C18"/>
    <w:rsid w:val="00BB60F9"/>
    <w:rsid w:val="00BB6133"/>
    <w:rsid w:val="00BB65E7"/>
    <w:rsid w:val="00BB6831"/>
    <w:rsid w:val="00BB7539"/>
    <w:rsid w:val="00BB7803"/>
    <w:rsid w:val="00BB7D08"/>
    <w:rsid w:val="00BC12DD"/>
    <w:rsid w:val="00BC2257"/>
    <w:rsid w:val="00BC2724"/>
    <w:rsid w:val="00BC5086"/>
    <w:rsid w:val="00BC510A"/>
    <w:rsid w:val="00BC5687"/>
    <w:rsid w:val="00BC5D83"/>
    <w:rsid w:val="00BC5FA5"/>
    <w:rsid w:val="00BC6A15"/>
    <w:rsid w:val="00BC748D"/>
    <w:rsid w:val="00BD06EB"/>
    <w:rsid w:val="00BD152F"/>
    <w:rsid w:val="00BD20C4"/>
    <w:rsid w:val="00BD2A81"/>
    <w:rsid w:val="00BD39B0"/>
    <w:rsid w:val="00BD40B3"/>
    <w:rsid w:val="00BD4ED6"/>
    <w:rsid w:val="00BD53D6"/>
    <w:rsid w:val="00BD57E2"/>
    <w:rsid w:val="00BD69AC"/>
    <w:rsid w:val="00BD71B8"/>
    <w:rsid w:val="00BE0032"/>
    <w:rsid w:val="00BE0267"/>
    <w:rsid w:val="00BE07F7"/>
    <w:rsid w:val="00BE1397"/>
    <w:rsid w:val="00BE1796"/>
    <w:rsid w:val="00BE2620"/>
    <w:rsid w:val="00BE280A"/>
    <w:rsid w:val="00BE2E0B"/>
    <w:rsid w:val="00BE30AC"/>
    <w:rsid w:val="00BE3335"/>
    <w:rsid w:val="00BE3898"/>
    <w:rsid w:val="00BE4628"/>
    <w:rsid w:val="00BE57D6"/>
    <w:rsid w:val="00BE6107"/>
    <w:rsid w:val="00BE659E"/>
    <w:rsid w:val="00BE6BD9"/>
    <w:rsid w:val="00BF02E6"/>
    <w:rsid w:val="00BF0336"/>
    <w:rsid w:val="00BF0FF5"/>
    <w:rsid w:val="00BF2CF3"/>
    <w:rsid w:val="00BF31EA"/>
    <w:rsid w:val="00BF323B"/>
    <w:rsid w:val="00BF465A"/>
    <w:rsid w:val="00BF4879"/>
    <w:rsid w:val="00BF520F"/>
    <w:rsid w:val="00BF55AA"/>
    <w:rsid w:val="00BF58AE"/>
    <w:rsid w:val="00C021CA"/>
    <w:rsid w:val="00C02F3D"/>
    <w:rsid w:val="00C0374E"/>
    <w:rsid w:val="00C05899"/>
    <w:rsid w:val="00C05FC9"/>
    <w:rsid w:val="00C06755"/>
    <w:rsid w:val="00C06D5F"/>
    <w:rsid w:val="00C06F3D"/>
    <w:rsid w:val="00C11B97"/>
    <w:rsid w:val="00C11E05"/>
    <w:rsid w:val="00C13164"/>
    <w:rsid w:val="00C132EC"/>
    <w:rsid w:val="00C1344F"/>
    <w:rsid w:val="00C137A6"/>
    <w:rsid w:val="00C13CA5"/>
    <w:rsid w:val="00C14BC5"/>
    <w:rsid w:val="00C159DB"/>
    <w:rsid w:val="00C172A6"/>
    <w:rsid w:val="00C17746"/>
    <w:rsid w:val="00C204D7"/>
    <w:rsid w:val="00C20817"/>
    <w:rsid w:val="00C211AF"/>
    <w:rsid w:val="00C2360E"/>
    <w:rsid w:val="00C241B8"/>
    <w:rsid w:val="00C243B6"/>
    <w:rsid w:val="00C24E9E"/>
    <w:rsid w:val="00C26865"/>
    <w:rsid w:val="00C27406"/>
    <w:rsid w:val="00C27A71"/>
    <w:rsid w:val="00C30AC1"/>
    <w:rsid w:val="00C316EE"/>
    <w:rsid w:val="00C325EF"/>
    <w:rsid w:val="00C329B0"/>
    <w:rsid w:val="00C3402D"/>
    <w:rsid w:val="00C34F04"/>
    <w:rsid w:val="00C358C3"/>
    <w:rsid w:val="00C35AC7"/>
    <w:rsid w:val="00C35DFB"/>
    <w:rsid w:val="00C36544"/>
    <w:rsid w:val="00C36640"/>
    <w:rsid w:val="00C37212"/>
    <w:rsid w:val="00C415E8"/>
    <w:rsid w:val="00C41993"/>
    <w:rsid w:val="00C42292"/>
    <w:rsid w:val="00C42A6A"/>
    <w:rsid w:val="00C434EC"/>
    <w:rsid w:val="00C438CD"/>
    <w:rsid w:val="00C43D6A"/>
    <w:rsid w:val="00C44CB1"/>
    <w:rsid w:val="00C44FEE"/>
    <w:rsid w:val="00C45160"/>
    <w:rsid w:val="00C45858"/>
    <w:rsid w:val="00C465A9"/>
    <w:rsid w:val="00C46795"/>
    <w:rsid w:val="00C4707D"/>
    <w:rsid w:val="00C473E1"/>
    <w:rsid w:val="00C47C49"/>
    <w:rsid w:val="00C500D6"/>
    <w:rsid w:val="00C5070B"/>
    <w:rsid w:val="00C51BEB"/>
    <w:rsid w:val="00C51EB5"/>
    <w:rsid w:val="00C5303C"/>
    <w:rsid w:val="00C54BF3"/>
    <w:rsid w:val="00C54CD8"/>
    <w:rsid w:val="00C55C23"/>
    <w:rsid w:val="00C56C15"/>
    <w:rsid w:val="00C56F5F"/>
    <w:rsid w:val="00C61D1B"/>
    <w:rsid w:val="00C61F09"/>
    <w:rsid w:val="00C628C4"/>
    <w:rsid w:val="00C629F1"/>
    <w:rsid w:val="00C62A1C"/>
    <w:rsid w:val="00C62B3D"/>
    <w:rsid w:val="00C62F7A"/>
    <w:rsid w:val="00C6330E"/>
    <w:rsid w:val="00C6384F"/>
    <w:rsid w:val="00C646A7"/>
    <w:rsid w:val="00C66053"/>
    <w:rsid w:val="00C66158"/>
    <w:rsid w:val="00C670F6"/>
    <w:rsid w:val="00C67921"/>
    <w:rsid w:val="00C700F9"/>
    <w:rsid w:val="00C71EA5"/>
    <w:rsid w:val="00C7283F"/>
    <w:rsid w:val="00C72A83"/>
    <w:rsid w:val="00C733B3"/>
    <w:rsid w:val="00C7359F"/>
    <w:rsid w:val="00C74A29"/>
    <w:rsid w:val="00C77219"/>
    <w:rsid w:val="00C77C5E"/>
    <w:rsid w:val="00C802A7"/>
    <w:rsid w:val="00C81628"/>
    <w:rsid w:val="00C823BE"/>
    <w:rsid w:val="00C8278E"/>
    <w:rsid w:val="00C83879"/>
    <w:rsid w:val="00C8467A"/>
    <w:rsid w:val="00C84D5A"/>
    <w:rsid w:val="00C8511B"/>
    <w:rsid w:val="00C85ACE"/>
    <w:rsid w:val="00C864EA"/>
    <w:rsid w:val="00C86C4C"/>
    <w:rsid w:val="00C86CB3"/>
    <w:rsid w:val="00C87D71"/>
    <w:rsid w:val="00C87D9D"/>
    <w:rsid w:val="00C90050"/>
    <w:rsid w:val="00C902B5"/>
    <w:rsid w:val="00C92539"/>
    <w:rsid w:val="00C93A6F"/>
    <w:rsid w:val="00C93E93"/>
    <w:rsid w:val="00C944E4"/>
    <w:rsid w:val="00C96D72"/>
    <w:rsid w:val="00C97AE1"/>
    <w:rsid w:val="00CA0296"/>
    <w:rsid w:val="00CA0CAF"/>
    <w:rsid w:val="00CA11A7"/>
    <w:rsid w:val="00CA2EE7"/>
    <w:rsid w:val="00CA36D6"/>
    <w:rsid w:val="00CA39EC"/>
    <w:rsid w:val="00CA3E88"/>
    <w:rsid w:val="00CA5A71"/>
    <w:rsid w:val="00CA6725"/>
    <w:rsid w:val="00CA6929"/>
    <w:rsid w:val="00CA7200"/>
    <w:rsid w:val="00CB05CA"/>
    <w:rsid w:val="00CB05ED"/>
    <w:rsid w:val="00CB14BF"/>
    <w:rsid w:val="00CB2710"/>
    <w:rsid w:val="00CB2722"/>
    <w:rsid w:val="00CB3449"/>
    <w:rsid w:val="00CB3887"/>
    <w:rsid w:val="00CB459F"/>
    <w:rsid w:val="00CB4912"/>
    <w:rsid w:val="00CB5145"/>
    <w:rsid w:val="00CB66F3"/>
    <w:rsid w:val="00CB765C"/>
    <w:rsid w:val="00CC0A29"/>
    <w:rsid w:val="00CC101D"/>
    <w:rsid w:val="00CC1564"/>
    <w:rsid w:val="00CC1DFD"/>
    <w:rsid w:val="00CC6675"/>
    <w:rsid w:val="00CC6C61"/>
    <w:rsid w:val="00CC6FD8"/>
    <w:rsid w:val="00CC71B6"/>
    <w:rsid w:val="00CC7C5F"/>
    <w:rsid w:val="00CC7DD5"/>
    <w:rsid w:val="00CD068C"/>
    <w:rsid w:val="00CD09D0"/>
    <w:rsid w:val="00CD1BE3"/>
    <w:rsid w:val="00CD2898"/>
    <w:rsid w:val="00CD496D"/>
    <w:rsid w:val="00CD4DC4"/>
    <w:rsid w:val="00CD5177"/>
    <w:rsid w:val="00CD73C4"/>
    <w:rsid w:val="00CD7DF4"/>
    <w:rsid w:val="00CE13DC"/>
    <w:rsid w:val="00CE1AF7"/>
    <w:rsid w:val="00CE21A4"/>
    <w:rsid w:val="00CE37A1"/>
    <w:rsid w:val="00CE3B17"/>
    <w:rsid w:val="00CE42F4"/>
    <w:rsid w:val="00CE4EDD"/>
    <w:rsid w:val="00CE5258"/>
    <w:rsid w:val="00CE5725"/>
    <w:rsid w:val="00CE66E8"/>
    <w:rsid w:val="00CE69C3"/>
    <w:rsid w:val="00CE7A94"/>
    <w:rsid w:val="00CE7BD3"/>
    <w:rsid w:val="00CE7C8E"/>
    <w:rsid w:val="00CF02EA"/>
    <w:rsid w:val="00CF0F1D"/>
    <w:rsid w:val="00CF18DE"/>
    <w:rsid w:val="00CF4C88"/>
    <w:rsid w:val="00CF517A"/>
    <w:rsid w:val="00CF52B1"/>
    <w:rsid w:val="00CF57FE"/>
    <w:rsid w:val="00CF67BD"/>
    <w:rsid w:val="00CF6C62"/>
    <w:rsid w:val="00CF70EE"/>
    <w:rsid w:val="00CF719B"/>
    <w:rsid w:val="00CF7891"/>
    <w:rsid w:val="00CF7F27"/>
    <w:rsid w:val="00D003E3"/>
    <w:rsid w:val="00D011F6"/>
    <w:rsid w:val="00D01347"/>
    <w:rsid w:val="00D015D8"/>
    <w:rsid w:val="00D02A10"/>
    <w:rsid w:val="00D02DE3"/>
    <w:rsid w:val="00D032F0"/>
    <w:rsid w:val="00D045E1"/>
    <w:rsid w:val="00D04727"/>
    <w:rsid w:val="00D0494F"/>
    <w:rsid w:val="00D07091"/>
    <w:rsid w:val="00D07B1F"/>
    <w:rsid w:val="00D103DE"/>
    <w:rsid w:val="00D127A0"/>
    <w:rsid w:val="00D12C6C"/>
    <w:rsid w:val="00D13DB1"/>
    <w:rsid w:val="00D14237"/>
    <w:rsid w:val="00D14312"/>
    <w:rsid w:val="00D14A60"/>
    <w:rsid w:val="00D14A8E"/>
    <w:rsid w:val="00D14D82"/>
    <w:rsid w:val="00D15987"/>
    <w:rsid w:val="00D15EF4"/>
    <w:rsid w:val="00D20DBA"/>
    <w:rsid w:val="00D210FE"/>
    <w:rsid w:val="00D213BF"/>
    <w:rsid w:val="00D224B8"/>
    <w:rsid w:val="00D224ED"/>
    <w:rsid w:val="00D22C96"/>
    <w:rsid w:val="00D234CF"/>
    <w:rsid w:val="00D25EE7"/>
    <w:rsid w:val="00D25F9D"/>
    <w:rsid w:val="00D26F59"/>
    <w:rsid w:val="00D2709C"/>
    <w:rsid w:val="00D2755D"/>
    <w:rsid w:val="00D27745"/>
    <w:rsid w:val="00D27C50"/>
    <w:rsid w:val="00D304D2"/>
    <w:rsid w:val="00D305EC"/>
    <w:rsid w:val="00D306EF"/>
    <w:rsid w:val="00D309D0"/>
    <w:rsid w:val="00D318F0"/>
    <w:rsid w:val="00D31A88"/>
    <w:rsid w:val="00D31C80"/>
    <w:rsid w:val="00D3205A"/>
    <w:rsid w:val="00D32D32"/>
    <w:rsid w:val="00D339F9"/>
    <w:rsid w:val="00D33DC2"/>
    <w:rsid w:val="00D35A3E"/>
    <w:rsid w:val="00D36A08"/>
    <w:rsid w:val="00D3740C"/>
    <w:rsid w:val="00D377FF"/>
    <w:rsid w:val="00D37B3B"/>
    <w:rsid w:val="00D42282"/>
    <w:rsid w:val="00D4233B"/>
    <w:rsid w:val="00D43991"/>
    <w:rsid w:val="00D43AE1"/>
    <w:rsid w:val="00D43B93"/>
    <w:rsid w:val="00D44222"/>
    <w:rsid w:val="00D4435C"/>
    <w:rsid w:val="00D44C9C"/>
    <w:rsid w:val="00D45AEC"/>
    <w:rsid w:val="00D45D56"/>
    <w:rsid w:val="00D45FF9"/>
    <w:rsid w:val="00D462E2"/>
    <w:rsid w:val="00D463D4"/>
    <w:rsid w:val="00D46527"/>
    <w:rsid w:val="00D4743E"/>
    <w:rsid w:val="00D47F1C"/>
    <w:rsid w:val="00D500D4"/>
    <w:rsid w:val="00D50422"/>
    <w:rsid w:val="00D50C0B"/>
    <w:rsid w:val="00D50DA6"/>
    <w:rsid w:val="00D5162E"/>
    <w:rsid w:val="00D522DA"/>
    <w:rsid w:val="00D52403"/>
    <w:rsid w:val="00D52F96"/>
    <w:rsid w:val="00D5385C"/>
    <w:rsid w:val="00D53B62"/>
    <w:rsid w:val="00D55CF8"/>
    <w:rsid w:val="00D5651D"/>
    <w:rsid w:val="00D56530"/>
    <w:rsid w:val="00D56996"/>
    <w:rsid w:val="00D57088"/>
    <w:rsid w:val="00D577E0"/>
    <w:rsid w:val="00D60AED"/>
    <w:rsid w:val="00D61E8E"/>
    <w:rsid w:val="00D621E4"/>
    <w:rsid w:val="00D6289E"/>
    <w:rsid w:val="00D62E50"/>
    <w:rsid w:val="00D63107"/>
    <w:rsid w:val="00D64240"/>
    <w:rsid w:val="00D64422"/>
    <w:rsid w:val="00D701D7"/>
    <w:rsid w:val="00D70B36"/>
    <w:rsid w:val="00D71028"/>
    <w:rsid w:val="00D71253"/>
    <w:rsid w:val="00D71A5C"/>
    <w:rsid w:val="00D72455"/>
    <w:rsid w:val="00D732F6"/>
    <w:rsid w:val="00D73F5B"/>
    <w:rsid w:val="00D74113"/>
    <w:rsid w:val="00D7571D"/>
    <w:rsid w:val="00D75EF3"/>
    <w:rsid w:val="00D76A89"/>
    <w:rsid w:val="00D76E23"/>
    <w:rsid w:val="00D77000"/>
    <w:rsid w:val="00D77912"/>
    <w:rsid w:val="00D7792E"/>
    <w:rsid w:val="00D80339"/>
    <w:rsid w:val="00D824DB"/>
    <w:rsid w:val="00D84358"/>
    <w:rsid w:val="00D8442E"/>
    <w:rsid w:val="00D84510"/>
    <w:rsid w:val="00D847C9"/>
    <w:rsid w:val="00D84ADD"/>
    <w:rsid w:val="00D850D2"/>
    <w:rsid w:val="00D85513"/>
    <w:rsid w:val="00D85DAC"/>
    <w:rsid w:val="00D871C1"/>
    <w:rsid w:val="00D873D2"/>
    <w:rsid w:val="00D87EC0"/>
    <w:rsid w:val="00D9009E"/>
    <w:rsid w:val="00D90352"/>
    <w:rsid w:val="00D9076E"/>
    <w:rsid w:val="00D91141"/>
    <w:rsid w:val="00D92B07"/>
    <w:rsid w:val="00D9393F"/>
    <w:rsid w:val="00D9410A"/>
    <w:rsid w:val="00D94429"/>
    <w:rsid w:val="00D95868"/>
    <w:rsid w:val="00D95CFF"/>
    <w:rsid w:val="00D9602D"/>
    <w:rsid w:val="00D96838"/>
    <w:rsid w:val="00D96C47"/>
    <w:rsid w:val="00D96F09"/>
    <w:rsid w:val="00D971AC"/>
    <w:rsid w:val="00DA28BA"/>
    <w:rsid w:val="00DA299A"/>
    <w:rsid w:val="00DA33D6"/>
    <w:rsid w:val="00DA463B"/>
    <w:rsid w:val="00DA55ED"/>
    <w:rsid w:val="00DA57A7"/>
    <w:rsid w:val="00DA5943"/>
    <w:rsid w:val="00DA598A"/>
    <w:rsid w:val="00DA67FA"/>
    <w:rsid w:val="00DA779A"/>
    <w:rsid w:val="00DB01DC"/>
    <w:rsid w:val="00DB07B1"/>
    <w:rsid w:val="00DB185A"/>
    <w:rsid w:val="00DB1F53"/>
    <w:rsid w:val="00DB1FEF"/>
    <w:rsid w:val="00DB201A"/>
    <w:rsid w:val="00DB3528"/>
    <w:rsid w:val="00DB3701"/>
    <w:rsid w:val="00DB385E"/>
    <w:rsid w:val="00DB3BB5"/>
    <w:rsid w:val="00DB3CF2"/>
    <w:rsid w:val="00DB69D3"/>
    <w:rsid w:val="00DB7A80"/>
    <w:rsid w:val="00DC02DE"/>
    <w:rsid w:val="00DC08B9"/>
    <w:rsid w:val="00DC14D9"/>
    <w:rsid w:val="00DC1570"/>
    <w:rsid w:val="00DC169B"/>
    <w:rsid w:val="00DC2079"/>
    <w:rsid w:val="00DC242F"/>
    <w:rsid w:val="00DC2874"/>
    <w:rsid w:val="00DC2F18"/>
    <w:rsid w:val="00DC3080"/>
    <w:rsid w:val="00DC4388"/>
    <w:rsid w:val="00DC44A7"/>
    <w:rsid w:val="00DC47DE"/>
    <w:rsid w:val="00DC4AF8"/>
    <w:rsid w:val="00DC4CEF"/>
    <w:rsid w:val="00DC5050"/>
    <w:rsid w:val="00DC5B76"/>
    <w:rsid w:val="00DC7D45"/>
    <w:rsid w:val="00DC7E0A"/>
    <w:rsid w:val="00DD01FF"/>
    <w:rsid w:val="00DD090E"/>
    <w:rsid w:val="00DD0A27"/>
    <w:rsid w:val="00DD1320"/>
    <w:rsid w:val="00DD2EFF"/>
    <w:rsid w:val="00DD38DC"/>
    <w:rsid w:val="00DD3F26"/>
    <w:rsid w:val="00DD44AB"/>
    <w:rsid w:val="00DD66B2"/>
    <w:rsid w:val="00DD686E"/>
    <w:rsid w:val="00DD760F"/>
    <w:rsid w:val="00DE0BB3"/>
    <w:rsid w:val="00DE16FB"/>
    <w:rsid w:val="00DE2A37"/>
    <w:rsid w:val="00DE4407"/>
    <w:rsid w:val="00DE557A"/>
    <w:rsid w:val="00DE5906"/>
    <w:rsid w:val="00DE73C8"/>
    <w:rsid w:val="00DE745C"/>
    <w:rsid w:val="00DF026E"/>
    <w:rsid w:val="00DF093D"/>
    <w:rsid w:val="00DF0F8F"/>
    <w:rsid w:val="00DF24B6"/>
    <w:rsid w:val="00DF2598"/>
    <w:rsid w:val="00DF3461"/>
    <w:rsid w:val="00DF3A2D"/>
    <w:rsid w:val="00DF5C45"/>
    <w:rsid w:val="00DF69C1"/>
    <w:rsid w:val="00DF6AD3"/>
    <w:rsid w:val="00DF6B6E"/>
    <w:rsid w:val="00DF6CC3"/>
    <w:rsid w:val="00DF7458"/>
    <w:rsid w:val="00E00CFD"/>
    <w:rsid w:val="00E01229"/>
    <w:rsid w:val="00E0139D"/>
    <w:rsid w:val="00E014FE"/>
    <w:rsid w:val="00E0222B"/>
    <w:rsid w:val="00E031BF"/>
    <w:rsid w:val="00E03E61"/>
    <w:rsid w:val="00E040F1"/>
    <w:rsid w:val="00E0470A"/>
    <w:rsid w:val="00E0495C"/>
    <w:rsid w:val="00E04A68"/>
    <w:rsid w:val="00E04F62"/>
    <w:rsid w:val="00E050E2"/>
    <w:rsid w:val="00E058A8"/>
    <w:rsid w:val="00E05BCE"/>
    <w:rsid w:val="00E05C66"/>
    <w:rsid w:val="00E06565"/>
    <w:rsid w:val="00E069FA"/>
    <w:rsid w:val="00E07FF6"/>
    <w:rsid w:val="00E11A16"/>
    <w:rsid w:val="00E11B59"/>
    <w:rsid w:val="00E11E40"/>
    <w:rsid w:val="00E12AD4"/>
    <w:rsid w:val="00E13761"/>
    <w:rsid w:val="00E137EB"/>
    <w:rsid w:val="00E139C5"/>
    <w:rsid w:val="00E14617"/>
    <w:rsid w:val="00E156F0"/>
    <w:rsid w:val="00E15EAE"/>
    <w:rsid w:val="00E168B5"/>
    <w:rsid w:val="00E17D3F"/>
    <w:rsid w:val="00E20844"/>
    <w:rsid w:val="00E20BA4"/>
    <w:rsid w:val="00E21404"/>
    <w:rsid w:val="00E21463"/>
    <w:rsid w:val="00E216A8"/>
    <w:rsid w:val="00E21BFA"/>
    <w:rsid w:val="00E220FC"/>
    <w:rsid w:val="00E226BE"/>
    <w:rsid w:val="00E23042"/>
    <w:rsid w:val="00E2360B"/>
    <w:rsid w:val="00E23AEC"/>
    <w:rsid w:val="00E24851"/>
    <w:rsid w:val="00E261B7"/>
    <w:rsid w:val="00E26872"/>
    <w:rsid w:val="00E2745C"/>
    <w:rsid w:val="00E2748E"/>
    <w:rsid w:val="00E27615"/>
    <w:rsid w:val="00E30553"/>
    <w:rsid w:val="00E30E8B"/>
    <w:rsid w:val="00E31B47"/>
    <w:rsid w:val="00E3294B"/>
    <w:rsid w:val="00E3480C"/>
    <w:rsid w:val="00E35CC1"/>
    <w:rsid w:val="00E3688C"/>
    <w:rsid w:val="00E40CA3"/>
    <w:rsid w:val="00E40FB4"/>
    <w:rsid w:val="00E41361"/>
    <w:rsid w:val="00E41E5C"/>
    <w:rsid w:val="00E42C65"/>
    <w:rsid w:val="00E42D43"/>
    <w:rsid w:val="00E44052"/>
    <w:rsid w:val="00E46427"/>
    <w:rsid w:val="00E46B77"/>
    <w:rsid w:val="00E510B9"/>
    <w:rsid w:val="00E51531"/>
    <w:rsid w:val="00E52435"/>
    <w:rsid w:val="00E5257C"/>
    <w:rsid w:val="00E52D4C"/>
    <w:rsid w:val="00E53315"/>
    <w:rsid w:val="00E53966"/>
    <w:rsid w:val="00E540E6"/>
    <w:rsid w:val="00E55304"/>
    <w:rsid w:val="00E55876"/>
    <w:rsid w:val="00E56BAB"/>
    <w:rsid w:val="00E576A7"/>
    <w:rsid w:val="00E60910"/>
    <w:rsid w:val="00E60BD4"/>
    <w:rsid w:val="00E6200D"/>
    <w:rsid w:val="00E6293F"/>
    <w:rsid w:val="00E62ECF"/>
    <w:rsid w:val="00E645D5"/>
    <w:rsid w:val="00E64F87"/>
    <w:rsid w:val="00E6645A"/>
    <w:rsid w:val="00E66701"/>
    <w:rsid w:val="00E66E78"/>
    <w:rsid w:val="00E6713C"/>
    <w:rsid w:val="00E673C6"/>
    <w:rsid w:val="00E67603"/>
    <w:rsid w:val="00E70B62"/>
    <w:rsid w:val="00E70C16"/>
    <w:rsid w:val="00E70C52"/>
    <w:rsid w:val="00E715C1"/>
    <w:rsid w:val="00E71B5D"/>
    <w:rsid w:val="00E726BE"/>
    <w:rsid w:val="00E7311C"/>
    <w:rsid w:val="00E73D7D"/>
    <w:rsid w:val="00E74527"/>
    <w:rsid w:val="00E7612B"/>
    <w:rsid w:val="00E761D8"/>
    <w:rsid w:val="00E766BB"/>
    <w:rsid w:val="00E770F8"/>
    <w:rsid w:val="00E7719E"/>
    <w:rsid w:val="00E7765D"/>
    <w:rsid w:val="00E81442"/>
    <w:rsid w:val="00E81764"/>
    <w:rsid w:val="00E8311E"/>
    <w:rsid w:val="00E84453"/>
    <w:rsid w:val="00E850F1"/>
    <w:rsid w:val="00E85A4F"/>
    <w:rsid w:val="00E86628"/>
    <w:rsid w:val="00E86862"/>
    <w:rsid w:val="00E86F09"/>
    <w:rsid w:val="00E87E19"/>
    <w:rsid w:val="00E9046F"/>
    <w:rsid w:val="00E90E84"/>
    <w:rsid w:val="00E90FC5"/>
    <w:rsid w:val="00E916DB"/>
    <w:rsid w:val="00E91786"/>
    <w:rsid w:val="00E92A46"/>
    <w:rsid w:val="00E92C41"/>
    <w:rsid w:val="00E94673"/>
    <w:rsid w:val="00E948E0"/>
    <w:rsid w:val="00E957AA"/>
    <w:rsid w:val="00E95CB0"/>
    <w:rsid w:val="00E96FA6"/>
    <w:rsid w:val="00E97455"/>
    <w:rsid w:val="00EA028C"/>
    <w:rsid w:val="00EA20E9"/>
    <w:rsid w:val="00EA2EEA"/>
    <w:rsid w:val="00EA44C6"/>
    <w:rsid w:val="00EA689A"/>
    <w:rsid w:val="00EA703E"/>
    <w:rsid w:val="00EA7E29"/>
    <w:rsid w:val="00EA7E8E"/>
    <w:rsid w:val="00EB0162"/>
    <w:rsid w:val="00EB07D2"/>
    <w:rsid w:val="00EB21BA"/>
    <w:rsid w:val="00EB22ED"/>
    <w:rsid w:val="00EB506F"/>
    <w:rsid w:val="00EB5526"/>
    <w:rsid w:val="00EB5A33"/>
    <w:rsid w:val="00EB628E"/>
    <w:rsid w:val="00EB6296"/>
    <w:rsid w:val="00EB68CB"/>
    <w:rsid w:val="00EB6DD3"/>
    <w:rsid w:val="00EB7CD9"/>
    <w:rsid w:val="00EB7F89"/>
    <w:rsid w:val="00EC0673"/>
    <w:rsid w:val="00EC0C75"/>
    <w:rsid w:val="00EC17D2"/>
    <w:rsid w:val="00EC18C4"/>
    <w:rsid w:val="00EC1A18"/>
    <w:rsid w:val="00EC1F00"/>
    <w:rsid w:val="00EC21C8"/>
    <w:rsid w:val="00EC2816"/>
    <w:rsid w:val="00EC2A0F"/>
    <w:rsid w:val="00EC2BA1"/>
    <w:rsid w:val="00EC2D2F"/>
    <w:rsid w:val="00EC57AC"/>
    <w:rsid w:val="00EC5B26"/>
    <w:rsid w:val="00EC5B3F"/>
    <w:rsid w:val="00EC6148"/>
    <w:rsid w:val="00EC69E1"/>
    <w:rsid w:val="00EC6E31"/>
    <w:rsid w:val="00EC6F23"/>
    <w:rsid w:val="00EC71D5"/>
    <w:rsid w:val="00EC7A3F"/>
    <w:rsid w:val="00ED161F"/>
    <w:rsid w:val="00ED1A2B"/>
    <w:rsid w:val="00ED1CD0"/>
    <w:rsid w:val="00ED23E4"/>
    <w:rsid w:val="00ED2566"/>
    <w:rsid w:val="00ED323F"/>
    <w:rsid w:val="00ED3DA5"/>
    <w:rsid w:val="00ED4263"/>
    <w:rsid w:val="00ED4B61"/>
    <w:rsid w:val="00ED5B9E"/>
    <w:rsid w:val="00ED6881"/>
    <w:rsid w:val="00ED7371"/>
    <w:rsid w:val="00ED753B"/>
    <w:rsid w:val="00ED773B"/>
    <w:rsid w:val="00EE006F"/>
    <w:rsid w:val="00EE18C6"/>
    <w:rsid w:val="00EE1BC9"/>
    <w:rsid w:val="00EE2419"/>
    <w:rsid w:val="00EE37F8"/>
    <w:rsid w:val="00EE4063"/>
    <w:rsid w:val="00EE40F1"/>
    <w:rsid w:val="00EE4445"/>
    <w:rsid w:val="00EE615D"/>
    <w:rsid w:val="00EE708D"/>
    <w:rsid w:val="00EE73AA"/>
    <w:rsid w:val="00EE7DA1"/>
    <w:rsid w:val="00EE7E35"/>
    <w:rsid w:val="00EF05FD"/>
    <w:rsid w:val="00EF1918"/>
    <w:rsid w:val="00EF24CE"/>
    <w:rsid w:val="00EF2F30"/>
    <w:rsid w:val="00EF2F62"/>
    <w:rsid w:val="00EF48C3"/>
    <w:rsid w:val="00EF5D63"/>
    <w:rsid w:val="00EF6AFB"/>
    <w:rsid w:val="00F0041B"/>
    <w:rsid w:val="00F005A9"/>
    <w:rsid w:val="00F00D21"/>
    <w:rsid w:val="00F02EE6"/>
    <w:rsid w:val="00F043C2"/>
    <w:rsid w:val="00F04511"/>
    <w:rsid w:val="00F04CAA"/>
    <w:rsid w:val="00F04E94"/>
    <w:rsid w:val="00F05280"/>
    <w:rsid w:val="00F05FED"/>
    <w:rsid w:val="00F073B0"/>
    <w:rsid w:val="00F103B9"/>
    <w:rsid w:val="00F1097A"/>
    <w:rsid w:val="00F113C6"/>
    <w:rsid w:val="00F11866"/>
    <w:rsid w:val="00F12B7F"/>
    <w:rsid w:val="00F12E1B"/>
    <w:rsid w:val="00F12EA2"/>
    <w:rsid w:val="00F13318"/>
    <w:rsid w:val="00F13D90"/>
    <w:rsid w:val="00F153A6"/>
    <w:rsid w:val="00F15ABF"/>
    <w:rsid w:val="00F15F21"/>
    <w:rsid w:val="00F17315"/>
    <w:rsid w:val="00F17AE0"/>
    <w:rsid w:val="00F17D85"/>
    <w:rsid w:val="00F17F8F"/>
    <w:rsid w:val="00F203B3"/>
    <w:rsid w:val="00F20935"/>
    <w:rsid w:val="00F20B1C"/>
    <w:rsid w:val="00F20C10"/>
    <w:rsid w:val="00F21336"/>
    <w:rsid w:val="00F21A80"/>
    <w:rsid w:val="00F229A0"/>
    <w:rsid w:val="00F22B06"/>
    <w:rsid w:val="00F22B66"/>
    <w:rsid w:val="00F233AD"/>
    <w:rsid w:val="00F23784"/>
    <w:rsid w:val="00F25062"/>
    <w:rsid w:val="00F25513"/>
    <w:rsid w:val="00F26AD6"/>
    <w:rsid w:val="00F3067C"/>
    <w:rsid w:val="00F31E75"/>
    <w:rsid w:val="00F31F4A"/>
    <w:rsid w:val="00F32445"/>
    <w:rsid w:val="00F32F6D"/>
    <w:rsid w:val="00F33F4E"/>
    <w:rsid w:val="00F3433C"/>
    <w:rsid w:val="00F34730"/>
    <w:rsid w:val="00F37B7F"/>
    <w:rsid w:val="00F37F2F"/>
    <w:rsid w:val="00F40D71"/>
    <w:rsid w:val="00F40EFF"/>
    <w:rsid w:val="00F40FD2"/>
    <w:rsid w:val="00F413A5"/>
    <w:rsid w:val="00F415FA"/>
    <w:rsid w:val="00F41A03"/>
    <w:rsid w:val="00F41A3E"/>
    <w:rsid w:val="00F41BF7"/>
    <w:rsid w:val="00F422A0"/>
    <w:rsid w:val="00F4249A"/>
    <w:rsid w:val="00F42FE1"/>
    <w:rsid w:val="00F43125"/>
    <w:rsid w:val="00F43794"/>
    <w:rsid w:val="00F438E3"/>
    <w:rsid w:val="00F43E1D"/>
    <w:rsid w:val="00F44977"/>
    <w:rsid w:val="00F45686"/>
    <w:rsid w:val="00F462FC"/>
    <w:rsid w:val="00F46E2F"/>
    <w:rsid w:val="00F47608"/>
    <w:rsid w:val="00F50EE5"/>
    <w:rsid w:val="00F521D0"/>
    <w:rsid w:val="00F523A7"/>
    <w:rsid w:val="00F52A33"/>
    <w:rsid w:val="00F54213"/>
    <w:rsid w:val="00F54809"/>
    <w:rsid w:val="00F54A98"/>
    <w:rsid w:val="00F55DBF"/>
    <w:rsid w:val="00F564A2"/>
    <w:rsid w:val="00F57DEC"/>
    <w:rsid w:val="00F61058"/>
    <w:rsid w:val="00F618BE"/>
    <w:rsid w:val="00F61BFA"/>
    <w:rsid w:val="00F62E2D"/>
    <w:rsid w:val="00F63D84"/>
    <w:rsid w:val="00F63E3C"/>
    <w:rsid w:val="00F6403B"/>
    <w:rsid w:val="00F64E69"/>
    <w:rsid w:val="00F64FEB"/>
    <w:rsid w:val="00F65EA2"/>
    <w:rsid w:val="00F65F8B"/>
    <w:rsid w:val="00F669F8"/>
    <w:rsid w:val="00F71E12"/>
    <w:rsid w:val="00F735A7"/>
    <w:rsid w:val="00F7441A"/>
    <w:rsid w:val="00F7511D"/>
    <w:rsid w:val="00F75695"/>
    <w:rsid w:val="00F76621"/>
    <w:rsid w:val="00F76DDD"/>
    <w:rsid w:val="00F76DFF"/>
    <w:rsid w:val="00F7723A"/>
    <w:rsid w:val="00F77CAF"/>
    <w:rsid w:val="00F80212"/>
    <w:rsid w:val="00F805AC"/>
    <w:rsid w:val="00F81931"/>
    <w:rsid w:val="00F81E34"/>
    <w:rsid w:val="00F81EA7"/>
    <w:rsid w:val="00F82458"/>
    <w:rsid w:val="00F82653"/>
    <w:rsid w:val="00F82D9A"/>
    <w:rsid w:val="00F8314E"/>
    <w:rsid w:val="00F832B2"/>
    <w:rsid w:val="00F8373F"/>
    <w:rsid w:val="00F83D34"/>
    <w:rsid w:val="00F83D6A"/>
    <w:rsid w:val="00F83EC5"/>
    <w:rsid w:val="00F866EC"/>
    <w:rsid w:val="00F87B41"/>
    <w:rsid w:val="00F911B9"/>
    <w:rsid w:val="00F91823"/>
    <w:rsid w:val="00F91C7D"/>
    <w:rsid w:val="00F9296C"/>
    <w:rsid w:val="00F9487C"/>
    <w:rsid w:val="00F952C1"/>
    <w:rsid w:val="00F95CF8"/>
    <w:rsid w:val="00F95F46"/>
    <w:rsid w:val="00F9602A"/>
    <w:rsid w:val="00FA019A"/>
    <w:rsid w:val="00FA0A88"/>
    <w:rsid w:val="00FA0D65"/>
    <w:rsid w:val="00FA2520"/>
    <w:rsid w:val="00FA2E6A"/>
    <w:rsid w:val="00FA3126"/>
    <w:rsid w:val="00FA3C3A"/>
    <w:rsid w:val="00FA4BC0"/>
    <w:rsid w:val="00FA7753"/>
    <w:rsid w:val="00FA7AF2"/>
    <w:rsid w:val="00FA7EF4"/>
    <w:rsid w:val="00FB001A"/>
    <w:rsid w:val="00FB175E"/>
    <w:rsid w:val="00FB1DB3"/>
    <w:rsid w:val="00FB216B"/>
    <w:rsid w:val="00FB23C4"/>
    <w:rsid w:val="00FB3388"/>
    <w:rsid w:val="00FB35F6"/>
    <w:rsid w:val="00FB387B"/>
    <w:rsid w:val="00FB4C03"/>
    <w:rsid w:val="00FB4CEF"/>
    <w:rsid w:val="00FB6ADD"/>
    <w:rsid w:val="00FB6E0B"/>
    <w:rsid w:val="00FC14B3"/>
    <w:rsid w:val="00FC1A3C"/>
    <w:rsid w:val="00FC450F"/>
    <w:rsid w:val="00FC4D11"/>
    <w:rsid w:val="00FC5701"/>
    <w:rsid w:val="00FC58B2"/>
    <w:rsid w:val="00FC5E52"/>
    <w:rsid w:val="00FC5FD8"/>
    <w:rsid w:val="00FC65A4"/>
    <w:rsid w:val="00FC6B19"/>
    <w:rsid w:val="00FC6B64"/>
    <w:rsid w:val="00FC7D01"/>
    <w:rsid w:val="00FD0563"/>
    <w:rsid w:val="00FD0DF9"/>
    <w:rsid w:val="00FD2543"/>
    <w:rsid w:val="00FD3672"/>
    <w:rsid w:val="00FD3744"/>
    <w:rsid w:val="00FD3E42"/>
    <w:rsid w:val="00FD3F7C"/>
    <w:rsid w:val="00FD5963"/>
    <w:rsid w:val="00FD775F"/>
    <w:rsid w:val="00FE2039"/>
    <w:rsid w:val="00FE331E"/>
    <w:rsid w:val="00FE36C7"/>
    <w:rsid w:val="00FE36E1"/>
    <w:rsid w:val="00FE3BA5"/>
    <w:rsid w:val="00FE447E"/>
    <w:rsid w:val="00FE5503"/>
    <w:rsid w:val="00FE5793"/>
    <w:rsid w:val="00FE5C2F"/>
    <w:rsid w:val="00FE5E90"/>
    <w:rsid w:val="00FE5F9B"/>
    <w:rsid w:val="00FE753A"/>
    <w:rsid w:val="00FE772F"/>
    <w:rsid w:val="00FF0A09"/>
    <w:rsid w:val="00FF0BAE"/>
    <w:rsid w:val="00FF2FCB"/>
    <w:rsid w:val="00FF353F"/>
    <w:rsid w:val="00FF366E"/>
    <w:rsid w:val="00FF742B"/>
    <w:rsid w:val="00FF751F"/>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2F"/>
  </w:style>
  <w:style w:type="paragraph" w:styleId="Heading1">
    <w:name w:val="heading 1"/>
    <w:aliases w:val="h1,H1,h1 chapter heading,A MAJOR/BOLD,Section Heading,Para1,1m,Level 1 Head,Heading 1.1"/>
    <w:basedOn w:val="Normal"/>
    <w:next w:val="Normal"/>
    <w:link w:val="Heading1Char"/>
    <w:qFormat/>
    <w:rsid w:val="00287791"/>
    <w:pPr>
      <w:numPr>
        <w:numId w:val="49"/>
      </w:numPr>
      <w:spacing w:before="240" w:after="360"/>
      <w:outlineLvl w:val="0"/>
    </w:pPr>
    <w:rPr>
      <w:rFonts w:ascii="Arial" w:eastAsiaTheme="majorEastAsia" w:hAnsi="Arial" w:cs="Arial"/>
      <w:b/>
      <w:bCs/>
      <w:color w:val="548DD4" w:themeColor="text2" w:themeTint="99"/>
      <w:sz w:val="32"/>
      <w:szCs w:val="32"/>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2"/>
    <w:basedOn w:val="Normal"/>
    <w:next w:val="Normal"/>
    <w:link w:val="Heading2Char"/>
    <w:uiPriority w:val="9"/>
    <w:unhideWhenUsed/>
    <w:qFormat/>
    <w:rsid w:val="00314A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uiPriority w:val="9"/>
    <w:unhideWhenUsed/>
    <w:qFormat/>
    <w:rsid w:val="00DB01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4 sub sub heading,h4,Te,D Sub-Sub/Plain,heading 4,Heading 4 Char Char Char Char Char,heading 4 Char Char Char,Heading 4 Char1 Char,Heading 4 Char Char Char,Heading 4 Char1,h4 Ch"/>
    <w:basedOn w:val="Normal"/>
    <w:next w:val="Normal"/>
    <w:link w:val="Heading4Char"/>
    <w:uiPriority w:val="9"/>
    <w:unhideWhenUsed/>
    <w:qFormat/>
    <w:rsid w:val="00CA720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54B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D559A"/>
    <w:pPr>
      <w:spacing w:before="120" w:after="120"/>
      <w:jc w:val="both"/>
      <w:outlineLvl w:val="5"/>
    </w:pPr>
    <w:rPr>
      <w:rFonts w:ascii="Century Gothic" w:eastAsia="Times New Roman" w:hAnsi="Century Gothic" w:cs="Times New Roman"/>
      <w:b/>
      <w:bCs/>
      <w:i/>
      <w:spacing w:val="20"/>
      <w:sz w:val="19"/>
      <w:szCs w:val="19"/>
      <w:lang w:val="en-AU"/>
    </w:rPr>
  </w:style>
  <w:style w:type="paragraph" w:styleId="Heading7">
    <w:name w:val="heading 7"/>
    <w:basedOn w:val="Normal"/>
    <w:next w:val="Normal"/>
    <w:link w:val="Heading7Char"/>
    <w:uiPriority w:val="99"/>
    <w:qFormat/>
    <w:rsid w:val="004D559A"/>
    <w:pPr>
      <w:spacing w:before="240" w:after="60"/>
      <w:jc w:val="both"/>
      <w:outlineLvl w:val="6"/>
    </w:pPr>
    <w:rPr>
      <w:rFonts w:ascii="Century Gothic" w:eastAsia="Times New Roman" w:hAnsi="Century Gothic" w:cs="Times New Roman"/>
      <w:sz w:val="19"/>
      <w:lang w:val="en-AU"/>
    </w:rPr>
  </w:style>
  <w:style w:type="paragraph" w:styleId="Heading8">
    <w:name w:val="heading 8"/>
    <w:basedOn w:val="Normal"/>
    <w:next w:val="Normal"/>
    <w:link w:val="Heading8Char"/>
    <w:uiPriority w:val="99"/>
    <w:qFormat/>
    <w:rsid w:val="004D559A"/>
    <w:pPr>
      <w:spacing w:before="240" w:after="60"/>
      <w:jc w:val="both"/>
      <w:outlineLvl w:val="7"/>
    </w:pPr>
    <w:rPr>
      <w:rFonts w:ascii="Century Gothic" w:eastAsia="Times New Roman" w:hAnsi="Century Gothic" w:cs="Times New Roman"/>
      <w:iCs/>
      <w:sz w:val="19"/>
      <w:lang w:val="en-AU"/>
    </w:rPr>
  </w:style>
  <w:style w:type="paragraph" w:styleId="Heading9">
    <w:name w:val="heading 9"/>
    <w:basedOn w:val="Normal"/>
    <w:next w:val="Normal"/>
    <w:link w:val="Heading9Char"/>
    <w:uiPriority w:val="99"/>
    <w:qFormat/>
    <w:rsid w:val="004D559A"/>
    <w:pPr>
      <w:spacing w:before="240" w:after="60"/>
      <w:jc w:val="both"/>
      <w:outlineLvl w:val="8"/>
    </w:pPr>
    <w:rPr>
      <w:rFonts w:ascii="Century Gothic" w:eastAsia="Times New Roman" w:hAnsi="Century Gothic" w:cs="Arial"/>
      <w:sz w:val="19"/>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rsid w:val="00287791"/>
    <w:rPr>
      <w:rFonts w:ascii="Arial" w:eastAsiaTheme="majorEastAsia" w:hAnsi="Arial" w:cs="Arial"/>
      <w:b/>
      <w:bCs/>
      <w:color w:val="548DD4" w:themeColor="text2" w:themeTint="99"/>
      <w:sz w:val="32"/>
      <w:szCs w:val="32"/>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9"/>
    <w:rsid w:val="00314A5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uiPriority w:val="9"/>
    <w:rsid w:val="00DB01DC"/>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1,Heading 4 Char Char Char Char Char1,h4 sub sub heading Char,h4 Char,Te Char,D Sub-Sub/Plain Char,heading 4 Char,Heading 4 Char Char Char Char Char Char,heading 4 Char Char Char Char,Heading 4 Char1 Char Char"/>
    <w:basedOn w:val="DefaultParagraphFont"/>
    <w:link w:val="Heading4"/>
    <w:uiPriority w:val="9"/>
    <w:rsid w:val="00CA72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54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D559A"/>
    <w:rPr>
      <w:rFonts w:ascii="Century Gothic" w:eastAsia="Times New Roman" w:hAnsi="Century Gothic" w:cs="Times New Roman"/>
      <w:b/>
      <w:bCs/>
      <w:i/>
      <w:spacing w:val="20"/>
      <w:sz w:val="19"/>
      <w:szCs w:val="19"/>
      <w:lang w:val="en-AU"/>
    </w:rPr>
  </w:style>
  <w:style w:type="character" w:customStyle="1" w:styleId="Heading7Char">
    <w:name w:val="Heading 7 Char"/>
    <w:basedOn w:val="DefaultParagraphFont"/>
    <w:link w:val="Heading7"/>
    <w:uiPriority w:val="99"/>
    <w:rsid w:val="004D559A"/>
    <w:rPr>
      <w:rFonts w:ascii="Century Gothic" w:eastAsia="Times New Roman" w:hAnsi="Century Gothic" w:cs="Times New Roman"/>
      <w:sz w:val="19"/>
      <w:lang w:val="en-AU"/>
    </w:rPr>
  </w:style>
  <w:style w:type="character" w:customStyle="1" w:styleId="Heading8Char">
    <w:name w:val="Heading 8 Char"/>
    <w:basedOn w:val="DefaultParagraphFont"/>
    <w:link w:val="Heading8"/>
    <w:uiPriority w:val="99"/>
    <w:rsid w:val="004D559A"/>
    <w:rPr>
      <w:rFonts w:ascii="Century Gothic" w:eastAsia="Times New Roman" w:hAnsi="Century Gothic" w:cs="Times New Roman"/>
      <w:iCs/>
      <w:sz w:val="19"/>
      <w:lang w:val="en-AU"/>
    </w:rPr>
  </w:style>
  <w:style w:type="character" w:customStyle="1" w:styleId="Heading9Char">
    <w:name w:val="Heading 9 Char"/>
    <w:basedOn w:val="DefaultParagraphFont"/>
    <w:link w:val="Heading9"/>
    <w:uiPriority w:val="99"/>
    <w:rsid w:val="004D559A"/>
    <w:rPr>
      <w:rFonts w:ascii="Century Gothic" w:eastAsia="Times New Roman" w:hAnsi="Century Gothic" w:cs="Arial"/>
      <w:sz w:val="19"/>
      <w:szCs w:val="22"/>
      <w:lang w:val="en-AU"/>
    </w:rPr>
  </w:style>
  <w:style w:type="paragraph" w:styleId="TOC1">
    <w:name w:val="toc 1"/>
    <w:basedOn w:val="Normal"/>
    <w:next w:val="Normal"/>
    <w:autoRedefine/>
    <w:uiPriority w:val="39"/>
    <w:unhideWhenUsed/>
    <w:rsid w:val="000D6352"/>
    <w:pPr>
      <w:spacing w:before="120" w:line="276" w:lineRule="auto"/>
    </w:pPr>
    <w:rPr>
      <w:rFonts w:cstheme="minorHAnsi"/>
      <w:b/>
      <w:bCs/>
      <w:i/>
      <w:iCs/>
      <w:lang w:val="en-AU" w:eastAsia="zh-TW"/>
    </w:rPr>
  </w:style>
  <w:style w:type="paragraph" w:styleId="TOC2">
    <w:name w:val="toc 2"/>
    <w:basedOn w:val="Normal"/>
    <w:next w:val="Normal"/>
    <w:autoRedefine/>
    <w:uiPriority w:val="39"/>
    <w:unhideWhenUsed/>
    <w:rsid w:val="000D6352"/>
    <w:pPr>
      <w:spacing w:before="120" w:line="276" w:lineRule="auto"/>
      <w:ind w:left="200"/>
    </w:pPr>
    <w:rPr>
      <w:rFonts w:cstheme="minorHAnsi"/>
      <w:b/>
      <w:bCs/>
      <w:sz w:val="22"/>
      <w:szCs w:val="22"/>
      <w:lang w:val="en-AU" w:eastAsia="zh-TW"/>
    </w:rPr>
  </w:style>
  <w:style w:type="character" w:styleId="Hyperlink">
    <w:name w:val="Hyperlink"/>
    <w:uiPriority w:val="99"/>
    <w:rsid w:val="00A06293"/>
    <w:rPr>
      <w:color w:val="0000FF"/>
      <w:u w:val="single"/>
    </w:rPr>
  </w:style>
  <w:style w:type="paragraph" w:styleId="ListParagraph">
    <w:name w:val="List Paragraph"/>
    <w:basedOn w:val="Normal"/>
    <w:link w:val="ListParagraphChar"/>
    <w:uiPriority w:val="34"/>
    <w:qFormat/>
    <w:rsid w:val="00F26AD6"/>
    <w:pPr>
      <w:ind w:left="720"/>
      <w:contextualSpacing/>
    </w:pPr>
  </w:style>
  <w:style w:type="paragraph" w:styleId="BalloonText">
    <w:name w:val="Balloon Text"/>
    <w:basedOn w:val="Normal"/>
    <w:link w:val="BalloonTextChar"/>
    <w:uiPriority w:val="99"/>
    <w:unhideWhenUsed/>
    <w:rsid w:val="00C71EA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71EA5"/>
    <w:rPr>
      <w:rFonts w:ascii="Lucida Grande" w:hAnsi="Lucida Grande" w:cs="Lucida Grande"/>
      <w:sz w:val="18"/>
      <w:szCs w:val="18"/>
    </w:rPr>
  </w:style>
  <w:style w:type="paragraph" w:styleId="FootnoteText">
    <w:name w:val="footnote text"/>
    <w:aliases w:val="ACMA Footnote Text,Footnote Text Char1 Char,Footnote Text Char Char Char,Footnote Text Char Char Char Char Char Char Char Char Char Char Char,Footnote Text Char Char Char Char Char Char Char Char,Footnote Text Char2 Char"/>
    <w:basedOn w:val="Normal"/>
    <w:link w:val="FootnoteTextChar"/>
    <w:unhideWhenUsed/>
    <w:rsid w:val="00973631"/>
  </w:style>
  <w:style w:type="character" w:customStyle="1" w:styleId="FootnoteTextChar">
    <w:name w:val="Footnote Text Char"/>
    <w:aliases w:val="ACMA Footnote Text Char,Footnote Text Char1 Char Char,Footnote Text Char Char Char Char,Footnote Text Char Char Char Char Char Char Char Char Char Char Char Char,Footnote Text Char Char Char Char Char Char Char Char Char"/>
    <w:basedOn w:val="DefaultParagraphFont"/>
    <w:link w:val="FootnoteText"/>
    <w:rsid w:val="00973631"/>
  </w:style>
  <w:style w:type="character" w:styleId="FootnoteReference">
    <w:name w:val="footnote reference"/>
    <w:basedOn w:val="DefaultParagraphFont"/>
    <w:unhideWhenUsed/>
    <w:rsid w:val="00973631"/>
    <w:rPr>
      <w:vertAlign w:val="superscript"/>
    </w:rPr>
  </w:style>
  <w:style w:type="paragraph" w:styleId="Header">
    <w:name w:val="header"/>
    <w:basedOn w:val="Normal"/>
    <w:link w:val="HeaderChar"/>
    <w:uiPriority w:val="99"/>
    <w:unhideWhenUsed/>
    <w:rsid w:val="00434E40"/>
    <w:pPr>
      <w:tabs>
        <w:tab w:val="center" w:pos="4320"/>
        <w:tab w:val="right" w:pos="8640"/>
      </w:tabs>
    </w:pPr>
  </w:style>
  <w:style w:type="character" w:customStyle="1" w:styleId="HeaderChar">
    <w:name w:val="Header Char"/>
    <w:basedOn w:val="DefaultParagraphFont"/>
    <w:link w:val="Header"/>
    <w:uiPriority w:val="99"/>
    <w:rsid w:val="00434E40"/>
  </w:style>
  <w:style w:type="paragraph" w:styleId="Footer">
    <w:name w:val="footer"/>
    <w:basedOn w:val="Normal"/>
    <w:link w:val="FooterChar"/>
    <w:uiPriority w:val="99"/>
    <w:unhideWhenUsed/>
    <w:rsid w:val="00434E40"/>
    <w:pPr>
      <w:tabs>
        <w:tab w:val="center" w:pos="4320"/>
        <w:tab w:val="right" w:pos="8640"/>
      </w:tabs>
    </w:pPr>
  </w:style>
  <w:style w:type="character" w:customStyle="1" w:styleId="FooterChar">
    <w:name w:val="Footer Char"/>
    <w:basedOn w:val="DefaultParagraphFont"/>
    <w:link w:val="Footer"/>
    <w:uiPriority w:val="99"/>
    <w:rsid w:val="00434E40"/>
  </w:style>
  <w:style w:type="character" w:styleId="PageNumber">
    <w:name w:val="page number"/>
    <w:basedOn w:val="DefaultParagraphFont"/>
    <w:unhideWhenUsed/>
    <w:qFormat/>
    <w:rsid w:val="00434E40"/>
  </w:style>
  <w:style w:type="table" w:styleId="LightShading-Accent1">
    <w:name w:val="Light Shading Accent 1"/>
    <w:basedOn w:val="TableNormal"/>
    <w:uiPriority w:val="60"/>
    <w:rsid w:val="00434E4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2447"/>
    <w:pPr>
      <w:keepLines/>
      <w:spacing w:before="100" w:beforeAutospacing="1" w:after="100" w:afterAutospacing="1"/>
      <w:outlineLvl w:val="0"/>
    </w:pPr>
    <w:rPr>
      <w:rFonts w:ascii="Arial Unicode MS" w:eastAsia="Arial Unicode MS" w:hAnsi="Arial Unicode MS" w:cs="Arial Unicode MS" w:hint="eastAsia"/>
      <w:color w:val="000000"/>
      <w:sz w:val="20"/>
      <w:lang w:val="en-AU"/>
    </w:rPr>
  </w:style>
  <w:style w:type="table" w:styleId="TableGrid">
    <w:name w:val="Table Grid"/>
    <w:aliases w:val="CV,none"/>
    <w:basedOn w:val="TableNormal"/>
    <w:uiPriority w:val="39"/>
    <w:rsid w:val="00F63D84"/>
    <w:rPr>
      <w:rFonts w:ascii="EYInterstate" w:eastAsia="Times New Roman" w:hAnsi="EYInterstat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edText1">
    <w:name w:val="EY Bulleted Text 1"/>
    <w:basedOn w:val="Normal"/>
    <w:uiPriority w:val="99"/>
    <w:rsid w:val="00F63D84"/>
    <w:pPr>
      <w:numPr>
        <w:numId w:val="1"/>
      </w:numPr>
      <w:spacing w:after="240"/>
      <w:outlineLvl w:val="0"/>
    </w:pPr>
    <w:rPr>
      <w:rFonts w:ascii="EYInterstate Light" w:eastAsia="Times New Roman" w:hAnsi="EYInterstate Light" w:cs="Times New Roman"/>
      <w:kern w:val="12"/>
      <w:sz w:val="20"/>
      <w:lang w:val="en-AU"/>
    </w:rPr>
  </w:style>
  <w:style w:type="paragraph" w:customStyle="1" w:styleId="EYBulletedText2">
    <w:name w:val="EY Bulleted Text 2"/>
    <w:basedOn w:val="Normal"/>
    <w:uiPriority w:val="99"/>
    <w:rsid w:val="00F63D84"/>
    <w:pPr>
      <w:numPr>
        <w:ilvl w:val="1"/>
        <w:numId w:val="1"/>
      </w:numPr>
      <w:spacing w:after="240"/>
      <w:outlineLvl w:val="0"/>
    </w:pPr>
    <w:rPr>
      <w:rFonts w:ascii="EYInterstate Light" w:eastAsia="Times New Roman" w:hAnsi="EYInterstate Light" w:cs="Times New Roman"/>
      <w:kern w:val="12"/>
      <w:sz w:val="20"/>
      <w:lang w:val="en-AU"/>
    </w:rPr>
  </w:style>
  <w:style w:type="paragraph" w:customStyle="1" w:styleId="EYBulletedText3">
    <w:name w:val="EY Bulleted Text 3"/>
    <w:basedOn w:val="EYBulletedText1"/>
    <w:uiPriority w:val="99"/>
    <w:rsid w:val="00F63D84"/>
    <w:pPr>
      <w:numPr>
        <w:ilvl w:val="2"/>
      </w:numPr>
    </w:pPr>
  </w:style>
  <w:style w:type="paragraph" w:customStyle="1" w:styleId="EYBulletedList1">
    <w:name w:val="EY Bulleted List 1"/>
    <w:basedOn w:val="EYBulletedText1"/>
    <w:uiPriority w:val="99"/>
    <w:rsid w:val="00F83EC5"/>
    <w:pPr>
      <w:numPr>
        <w:numId w:val="2"/>
      </w:numPr>
      <w:spacing w:after="0"/>
    </w:pPr>
  </w:style>
  <w:style w:type="paragraph" w:customStyle="1" w:styleId="EYBulletedList2">
    <w:name w:val="EY Bulleted List 2"/>
    <w:basedOn w:val="EYBulletedText2"/>
    <w:uiPriority w:val="99"/>
    <w:rsid w:val="00F83EC5"/>
    <w:pPr>
      <w:numPr>
        <w:numId w:val="2"/>
      </w:numPr>
      <w:spacing w:after="0"/>
    </w:pPr>
  </w:style>
  <w:style w:type="paragraph" w:customStyle="1" w:styleId="EYBulletedList3">
    <w:name w:val="EY Bulleted List 3"/>
    <w:basedOn w:val="EYBulletedText3"/>
    <w:uiPriority w:val="99"/>
    <w:rsid w:val="00F83EC5"/>
    <w:pPr>
      <w:numPr>
        <w:numId w:val="2"/>
      </w:numPr>
      <w:spacing w:after="0"/>
    </w:pPr>
  </w:style>
  <w:style w:type="character" w:styleId="Strong">
    <w:name w:val="Strong"/>
    <w:basedOn w:val="DefaultParagraphFont"/>
    <w:uiPriority w:val="22"/>
    <w:qFormat/>
    <w:rsid w:val="00F83EC5"/>
    <w:rPr>
      <w:b/>
      <w:bCs/>
    </w:rPr>
  </w:style>
  <w:style w:type="paragraph" w:customStyle="1" w:styleId="Bullet">
    <w:name w:val="Bullet"/>
    <w:basedOn w:val="Normal"/>
    <w:link w:val="BulletChar"/>
    <w:uiPriority w:val="99"/>
    <w:qFormat/>
    <w:rsid w:val="00CA7200"/>
    <w:pPr>
      <w:numPr>
        <w:numId w:val="3"/>
      </w:numPr>
      <w:spacing w:before="60" w:after="60"/>
      <w:jc w:val="both"/>
    </w:pPr>
    <w:rPr>
      <w:rFonts w:ascii="Garamond" w:eastAsia="Times New Roman" w:hAnsi="Garamond" w:cs="Times New Roman"/>
      <w:sz w:val="22"/>
      <w:szCs w:val="19"/>
      <w:lang w:val="en-AU"/>
    </w:rPr>
  </w:style>
  <w:style w:type="character" w:customStyle="1" w:styleId="BulletChar">
    <w:name w:val="Bullet Char"/>
    <w:basedOn w:val="DefaultParagraphFont"/>
    <w:link w:val="Bullet"/>
    <w:uiPriority w:val="99"/>
    <w:rsid w:val="00CA7200"/>
    <w:rPr>
      <w:rFonts w:ascii="Garamond" w:eastAsia="Times New Roman" w:hAnsi="Garamond" w:cs="Times New Roman"/>
      <w:sz w:val="22"/>
      <w:szCs w:val="19"/>
      <w:lang w:val="en-AU"/>
    </w:rPr>
  </w:style>
  <w:style w:type="paragraph" w:styleId="BodyText">
    <w:name w:val="Body Text"/>
    <w:basedOn w:val="Normal"/>
    <w:link w:val="BodyTextChar"/>
    <w:uiPriority w:val="99"/>
    <w:rsid w:val="00CA7200"/>
    <w:pPr>
      <w:spacing w:after="240" w:line="240" w:lineRule="exact"/>
    </w:pPr>
    <w:rPr>
      <w:rFonts w:ascii="Times New Roman" w:eastAsia="Times New Roman" w:hAnsi="Times New Roman" w:cs="Times New Roman"/>
      <w:sz w:val="20"/>
      <w:lang w:val="en-AU"/>
    </w:rPr>
  </w:style>
  <w:style w:type="character" w:customStyle="1" w:styleId="BodyTextChar">
    <w:name w:val="Body Text Char"/>
    <w:basedOn w:val="DefaultParagraphFont"/>
    <w:link w:val="BodyText"/>
    <w:uiPriority w:val="99"/>
    <w:rsid w:val="00CA7200"/>
    <w:rPr>
      <w:rFonts w:ascii="Times New Roman" w:eastAsia="Times New Roman" w:hAnsi="Times New Roman" w:cs="Times New Roman"/>
      <w:sz w:val="20"/>
      <w:lang w:val="en-AU"/>
    </w:rPr>
  </w:style>
  <w:style w:type="paragraph" w:customStyle="1" w:styleId="FigureCaption">
    <w:name w:val="Figure Caption"/>
    <w:basedOn w:val="Normal"/>
    <w:next w:val="Normal"/>
    <w:link w:val="FigureCaptionChar"/>
    <w:rsid w:val="006D77B5"/>
    <w:pPr>
      <w:keepNext/>
      <w:spacing w:before="240" w:after="240"/>
      <w:jc w:val="center"/>
    </w:pPr>
    <w:rPr>
      <w:rFonts w:ascii="Garamond" w:eastAsia="Times New Roman" w:hAnsi="Garamond" w:cs="Times New Roman"/>
      <w:b/>
      <w:sz w:val="22"/>
      <w:szCs w:val="20"/>
      <w:lang w:val="en-AU"/>
    </w:rPr>
  </w:style>
  <w:style w:type="character" w:customStyle="1" w:styleId="FigureCaptionChar">
    <w:name w:val="Figure Caption Char"/>
    <w:basedOn w:val="DefaultParagraphFont"/>
    <w:link w:val="FigureCaption"/>
    <w:rsid w:val="006D77B5"/>
    <w:rPr>
      <w:rFonts w:ascii="Garamond" w:eastAsia="Times New Roman" w:hAnsi="Garamond" w:cs="Times New Roman"/>
      <w:b/>
      <w:sz w:val="22"/>
      <w:szCs w:val="20"/>
      <w:lang w:val="en-AU"/>
    </w:rPr>
  </w:style>
  <w:style w:type="character" w:styleId="CommentReference">
    <w:name w:val="annotation reference"/>
    <w:basedOn w:val="DefaultParagraphFont"/>
    <w:uiPriority w:val="99"/>
    <w:semiHidden/>
    <w:unhideWhenUsed/>
    <w:rsid w:val="005D65BB"/>
    <w:rPr>
      <w:sz w:val="18"/>
      <w:szCs w:val="18"/>
    </w:rPr>
  </w:style>
  <w:style w:type="paragraph" w:styleId="CommentText">
    <w:name w:val="annotation text"/>
    <w:basedOn w:val="Normal"/>
    <w:link w:val="CommentTextChar"/>
    <w:uiPriority w:val="99"/>
    <w:unhideWhenUsed/>
    <w:rsid w:val="005D65BB"/>
  </w:style>
  <w:style w:type="character" w:customStyle="1" w:styleId="CommentTextChar">
    <w:name w:val="Comment Text Char"/>
    <w:basedOn w:val="DefaultParagraphFont"/>
    <w:link w:val="CommentText"/>
    <w:uiPriority w:val="99"/>
    <w:semiHidden/>
    <w:rsid w:val="005D65BB"/>
  </w:style>
  <w:style w:type="paragraph" w:styleId="CommentSubject">
    <w:name w:val="annotation subject"/>
    <w:basedOn w:val="CommentText"/>
    <w:next w:val="CommentText"/>
    <w:link w:val="CommentSubjectChar"/>
    <w:uiPriority w:val="99"/>
    <w:semiHidden/>
    <w:unhideWhenUsed/>
    <w:rsid w:val="005D65BB"/>
    <w:rPr>
      <w:b/>
      <w:bCs/>
      <w:sz w:val="20"/>
      <w:szCs w:val="20"/>
    </w:rPr>
  </w:style>
  <w:style w:type="character" w:customStyle="1" w:styleId="CommentSubjectChar">
    <w:name w:val="Comment Subject Char"/>
    <w:basedOn w:val="CommentTextChar"/>
    <w:link w:val="CommentSubject"/>
    <w:uiPriority w:val="99"/>
    <w:semiHidden/>
    <w:rsid w:val="005D65BB"/>
    <w:rPr>
      <w:b/>
      <w:bCs/>
      <w:sz w:val="20"/>
      <w:szCs w:val="20"/>
    </w:rPr>
  </w:style>
  <w:style w:type="paragraph" w:styleId="Subtitle">
    <w:name w:val="Subtitle"/>
    <w:basedOn w:val="Normal"/>
    <w:next w:val="Normal"/>
    <w:link w:val="SubtitleChar"/>
    <w:uiPriority w:val="11"/>
    <w:qFormat/>
    <w:rsid w:val="00506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6B6D"/>
    <w:rPr>
      <w:rFonts w:asciiTheme="majorHAnsi" w:eastAsiaTheme="majorEastAsia" w:hAnsiTheme="majorHAnsi" w:cstheme="majorBidi"/>
      <w:i/>
      <w:iCs/>
      <w:color w:val="4F81BD" w:themeColor="accent1"/>
      <w:spacing w:val="15"/>
    </w:rPr>
  </w:style>
  <w:style w:type="paragraph" w:customStyle="1" w:styleId="Default">
    <w:name w:val="Default"/>
    <w:uiPriority w:val="99"/>
    <w:rsid w:val="00A601D7"/>
    <w:pPr>
      <w:autoSpaceDE w:val="0"/>
      <w:autoSpaceDN w:val="0"/>
      <w:adjustRightInd w:val="0"/>
    </w:pPr>
    <w:rPr>
      <w:rFonts w:ascii="Arial" w:eastAsia="Times New Roman" w:hAnsi="Arial" w:cs="Arial"/>
      <w:color w:val="000000"/>
      <w:lang w:val="en-AU" w:eastAsia="en-AU"/>
    </w:rPr>
  </w:style>
  <w:style w:type="paragraph" w:styleId="Title">
    <w:name w:val="Title"/>
    <w:basedOn w:val="Normal"/>
    <w:link w:val="TitleChar"/>
    <w:uiPriority w:val="10"/>
    <w:qFormat/>
    <w:rsid w:val="002F01A3"/>
    <w:pPr>
      <w:spacing w:after="200" w:line="276" w:lineRule="auto"/>
    </w:pPr>
    <w:rPr>
      <w:rFonts w:ascii="Century Schoolbook" w:eastAsia="Century Schoolbook" w:hAnsi="Century Schoolbook" w:cs="Century Schoolbook"/>
      <w:smallCaps/>
      <w:color w:val="FE8637"/>
      <w:spacing w:val="10"/>
      <w:sz w:val="48"/>
      <w:szCs w:val="48"/>
      <w:lang w:eastAsia="ja-JP"/>
    </w:rPr>
  </w:style>
  <w:style w:type="character" w:customStyle="1" w:styleId="TitleChar">
    <w:name w:val="Title Char"/>
    <w:basedOn w:val="DefaultParagraphFont"/>
    <w:link w:val="Title"/>
    <w:uiPriority w:val="10"/>
    <w:rsid w:val="002F01A3"/>
    <w:rPr>
      <w:rFonts w:ascii="Century Schoolbook" w:eastAsia="Century Schoolbook" w:hAnsi="Century Schoolbook" w:cs="Century Schoolbook"/>
      <w:smallCaps/>
      <w:color w:val="FE8637"/>
      <w:spacing w:val="10"/>
      <w:sz w:val="48"/>
      <w:szCs w:val="48"/>
      <w:lang w:eastAsia="ja-JP"/>
    </w:rPr>
  </w:style>
  <w:style w:type="paragraph" w:customStyle="1" w:styleId="ExecSum">
    <w:name w:val="Exec Sum #"/>
    <w:basedOn w:val="Heading1"/>
    <w:uiPriority w:val="99"/>
    <w:rsid w:val="00B9040D"/>
    <w:pPr>
      <w:pageBreakBefore/>
      <w:numPr>
        <w:numId w:val="4"/>
      </w:numPr>
      <w:shd w:val="clear" w:color="auto" w:fill="365F91"/>
      <w:spacing w:line="1000" w:lineRule="exact"/>
      <w:jc w:val="center"/>
    </w:pPr>
    <w:rPr>
      <w:rFonts w:ascii="Times New Roman" w:eastAsia="Times New Roman" w:hAnsi="Times New Roman"/>
      <w:color w:val="FFFFFF"/>
      <w:kern w:val="32"/>
      <w:sz w:val="96"/>
      <w:szCs w:val="96"/>
      <w:lang w:val="en-AU"/>
    </w:rPr>
  </w:style>
  <w:style w:type="paragraph" w:customStyle="1" w:styleId="ES1">
    <w:name w:val="ES 1"/>
    <w:basedOn w:val="Heading2"/>
    <w:next w:val="Normal"/>
    <w:uiPriority w:val="99"/>
    <w:rsid w:val="00B9040D"/>
    <w:pPr>
      <w:keepLines w:val="0"/>
      <w:spacing w:before="240" w:after="120"/>
      <w:ind w:left="7938"/>
      <w:jc w:val="both"/>
    </w:pPr>
    <w:rPr>
      <w:rFonts w:ascii="Garamond" w:eastAsia="Times New Roman" w:hAnsi="Garamond" w:cs="Arial"/>
      <w:iCs/>
      <w:smallCaps/>
      <w:color w:val="auto"/>
      <w:spacing w:val="20"/>
      <w:szCs w:val="28"/>
      <w:lang w:val="en-AU"/>
    </w:rPr>
  </w:style>
  <w:style w:type="paragraph" w:customStyle="1" w:styleId="ES2">
    <w:name w:val="ES 2"/>
    <w:basedOn w:val="Heading3"/>
    <w:next w:val="Normal"/>
    <w:uiPriority w:val="99"/>
    <w:rsid w:val="00B9040D"/>
    <w:pPr>
      <w:keepLines w:val="0"/>
      <w:spacing w:before="240" w:after="60"/>
      <w:ind w:left="7938"/>
      <w:jc w:val="both"/>
    </w:pPr>
    <w:rPr>
      <w:rFonts w:ascii="Garamond" w:eastAsia="Times New Roman" w:hAnsi="Garamond" w:cs="Arial"/>
      <w:smallCaps/>
      <w:color w:val="auto"/>
      <w:spacing w:val="20"/>
      <w:sz w:val="22"/>
      <w:lang w:val="en-AU"/>
    </w:rPr>
  </w:style>
  <w:style w:type="paragraph" w:customStyle="1" w:styleId="SectionHeader">
    <w:name w:val="Section Header"/>
    <w:basedOn w:val="Normal"/>
    <w:next w:val="Normal"/>
    <w:rsid w:val="00B9040D"/>
    <w:pPr>
      <w:spacing w:before="120" w:after="600"/>
      <w:jc w:val="right"/>
    </w:pPr>
    <w:rPr>
      <w:rFonts w:ascii="Garamond" w:eastAsia="Times New Roman" w:hAnsi="Garamond" w:cs="Times New Roman"/>
      <w:b/>
      <w:smallCaps/>
      <w:color w:val="365F91"/>
      <w:spacing w:val="20"/>
      <w:sz w:val="35"/>
      <w:szCs w:val="44"/>
      <w:lang w:val="en-AU"/>
    </w:rPr>
  </w:style>
  <w:style w:type="paragraph" w:customStyle="1" w:styleId="Pa12">
    <w:name w:val="Pa1+2"/>
    <w:basedOn w:val="Normal"/>
    <w:next w:val="Normal"/>
    <w:uiPriority w:val="99"/>
    <w:rsid w:val="00B9040D"/>
    <w:pPr>
      <w:autoSpaceDE w:val="0"/>
      <w:autoSpaceDN w:val="0"/>
      <w:adjustRightInd w:val="0"/>
      <w:spacing w:line="201" w:lineRule="atLeast"/>
    </w:pPr>
    <w:rPr>
      <w:rFonts w:ascii="DIN-Light" w:eastAsia="Times New Roman" w:hAnsi="DIN-Light" w:cs="Times New Roman"/>
      <w:lang w:val="en-AU" w:eastAsia="en-AU"/>
    </w:rPr>
  </w:style>
  <w:style w:type="paragraph" w:customStyle="1" w:styleId="TableTitle">
    <w:name w:val="Table Title"/>
    <w:basedOn w:val="Normal"/>
    <w:link w:val="TableTitleChar"/>
    <w:qFormat/>
    <w:rsid w:val="00B9040D"/>
    <w:pPr>
      <w:spacing w:before="120" w:after="120"/>
      <w:jc w:val="center"/>
    </w:pPr>
    <w:rPr>
      <w:rFonts w:ascii="Garamond" w:eastAsia="Times New Roman" w:hAnsi="Garamond" w:cs="Times New Roman"/>
      <w:b/>
      <w:sz w:val="16"/>
      <w:lang w:val="en-AU"/>
    </w:rPr>
  </w:style>
  <w:style w:type="character" w:customStyle="1" w:styleId="TableTitleChar">
    <w:name w:val="Table Title Char"/>
    <w:link w:val="TableTitle"/>
    <w:rsid w:val="00B9040D"/>
    <w:rPr>
      <w:rFonts w:ascii="Garamond" w:eastAsia="Times New Roman" w:hAnsi="Garamond" w:cs="Times New Roman"/>
      <w:b/>
      <w:sz w:val="16"/>
      <w:lang w:val="en-AU"/>
    </w:rPr>
  </w:style>
  <w:style w:type="paragraph" w:customStyle="1" w:styleId="TableText">
    <w:name w:val="Table Text"/>
    <w:basedOn w:val="Normal"/>
    <w:link w:val="TableTextChar"/>
    <w:qFormat/>
    <w:rsid w:val="00B9040D"/>
    <w:pPr>
      <w:spacing w:before="60" w:after="60"/>
    </w:pPr>
    <w:rPr>
      <w:rFonts w:ascii="Garamond" w:eastAsia="Times New Roman" w:hAnsi="Garamond" w:cs="Times New Roman"/>
      <w:sz w:val="16"/>
      <w:lang w:val="en-AU"/>
    </w:rPr>
  </w:style>
  <w:style w:type="character" w:customStyle="1" w:styleId="TableTextChar">
    <w:name w:val="Table Text Char"/>
    <w:link w:val="TableText"/>
    <w:rsid w:val="00B9040D"/>
    <w:rPr>
      <w:rFonts w:ascii="Garamond" w:eastAsia="Times New Roman" w:hAnsi="Garamond" w:cs="Times New Roman"/>
      <w:sz w:val="16"/>
      <w:lang w:val="en-AU"/>
    </w:rPr>
  </w:style>
  <w:style w:type="paragraph" w:customStyle="1" w:styleId="TableCaption">
    <w:name w:val="Table Caption"/>
    <w:basedOn w:val="Normal"/>
    <w:next w:val="Normal"/>
    <w:link w:val="TableCaptionChar"/>
    <w:qFormat/>
    <w:rsid w:val="00B9040D"/>
    <w:pPr>
      <w:keepNext/>
      <w:spacing w:before="240" w:after="240"/>
      <w:jc w:val="center"/>
    </w:pPr>
    <w:rPr>
      <w:rFonts w:ascii="Garamond" w:eastAsia="Times New Roman" w:hAnsi="Garamond" w:cs="Times New Roman"/>
      <w:b/>
      <w:sz w:val="22"/>
      <w:szCs w:val="20"/>
      <w:lang w:val="en-AU"/>
    </w:rPr>
  </w:style>
  <w:style w:type="character" w:customStyle="1" w:styleId="TableCaptionChar">
    <w:name w:val="Table Caption Char"/>
    <w:link w:val="TableCaption"/>
    <w:rsid w:val="00B9040D"/>
    <w:rPr>
      <w:rFonts w:ascii="Garamond" w:eastAsia="Times New Roman" w:hAnsi="Garamond" w:cs="Times New Roman"/>
      <w:b/>
      <w:sz w:val="22"/>
      <w:szCs w:val="20"/>
      <w:lang w:val="en-AU"/>
    </w:rPr>
  </w:style>
  <w:style w:type="paragraph" w:customStyle="1" w:styleId="Body">
    <w:name w:val="Body"/>
    <w:uiPriority w:val="99"/>
    <w:rsid w:val="00B9040D"/>
    <w:pPr>
      <w:spacing w:after="300" w:line="336" w:lineRule="auto"/>
    </w:pPr>
    <w:rPr>
      <w:rFonts w:ascii="Helvetica Neue Light" w:eastAsia="ヒラギノ角ゴ Pro W3" w:hAnsi="Helvetica Neue Light" w:cs="Times New Roman"/>
      <w:color w:val="000000"/>
      <w:sz w:val="20"/>
      <w:szCs w:val="20"/>
    </w:rPr>
  </w:style>
  <w:style w:type="paragraph" w:styleId="BodyTextIndent">
    <w:name w:val="Body Text Indent"/>
    <w:basedOn w:val="Normal"/>
    <w:link w:val="BodyTextIndentChar"/>
    <w:uiPriority w:val="99"/>
    <w:unhideWhenUsed/>
    <w:rsid w:val="009B432C"/>
    <w:pPr>
      <w:spacing w:after="120"/>
      <w:ind w:left="283"/>
    </w:pPr>
  </w:style>
  <w:style w:type="character" w:customStyle="1" w:styleId="BodyTextIndentChar">
    <w:name w:val="Body Text Indent Char"/>
    <w:basedOn w:val="DefaultParagraphFont"/>
    <w:link w:val="BodyTextIndent"/>
    <w:uiPriority w:val="99"/>
    <w:rsid w:val="009B432C"/>
  </w:style>
  <w:style w:type="paragraph" w:customStyle="1" w:styleId="Normal10font">
    <w:name w:val="Normal 10 font"/>
    <w:basedOn w:val="Normal"/>
    <w:uiPriority w:val="99"/>
    <w:rsid w:val="009B432C"/>
    <w:rPr>
      <w:rFonts w:ascii="Arial" w:eastAsia="Times New Roman" w:hAnsi="Arial" w:cs="Times New Roman"/>
      <w:sz w:val="20"/>
      <w:szCs w:val="20"/>
      <w:lang w:val="en-AU"/>
    </w:rPr>
  </w:style>
  <w:style w:type="paragraph" w:styleId="BodyTextIndent3">
    <w:name w:val="Body Text Indent 3"/>
    <w:basedOn w:val="Normal"/>
    <w:link w:val="BodyTextIndent3Char"/>
    <w:uiPriority w:val="99"/>
    <w:unhideWhenUsed/>
    <w:rsid w:val="009B1728"/>
    <w:pPr>
      <w:spacing w:after="120"/>
      <w:ind w:left="283"/>
    </w:pPr>
    <w:rPr>
      <w:sz w:val="16"/>
      <w:szCs w:val="16"/>
    </w:rPr>
  </w:style>
  <w:style w:type="character" w:customStyle="1" w:styleId="BodyTextIndent3Char">
    <w:name w:val="Body Text Indent 3 Char"/>
    <w:basedOn w:val="DefaultParagraphFont"/>
    <w:link w:val="BodyTextIndent3"/>
    <w:uiPriority w:val="99"/>
    <w:rsid w:val="009B1728"/>
    <w:rPr>
      <w:sz w:val="16"/>
      <w:szCs w:val="16"/>
    </w:rPr>
  </w:style>
  <w:style w:type="paragraph" w:styleId="TOC3">
    <w:name w:val="toc 3"/>
    <w:basedOn w:val="Normal"/>
    <w:next w:val="Normal"/>
    <w:autoRedefine/>
    <w:uiPriority w:val="39"/>
    <w:unhideWhenUsed/>
    <w:rsid w:val="00785C23"/>
    <w:pPr>
      <w:spacing w:after="100"/>
      <w:ind w:left="480"/>
    </w:pPr>
  </w:style>
  <w:style w:type="paragraph" w:customStyle="1" w:styleId="NumberedList">
    <w:name w:val="Numbered List"/>
    <w:basedOn w:val="Normal"/>
    <w:link w:val="NumberedListChar"/>
    <w:uiPriority w:val="99"/>
    <w:qFormat/>
    <w:rsid w:val="00785C23"/>
    <w:pPr>
      <w:numPr>
        <w:numId w:val="5"/>
      </w:numPr>
      <w:spacing w:before="60" w:after="60"/>
      <w:jc w:val="both"/>
    </w:pPr>
    <w:rPr>
      <w:rFonts w:ascii="Garamond" w:eastAsia="Times New Roman" w:hAnsi="Garamond" w:cs="Times New Roman"/>
      <w:sz w:val="22"/>
      <w:lang w:val="en-AU"/>
    </w:rPr>
  </w:style>
  <w:style w:type="character" w:customStyle="1" w:styleId="NumberedListChar">
    <w:name w:val="Numbered List Char"/>
    <w:link w:val="NumberedList"/>
    <w:uiPriority w:val="99"/>
    <w:rsid w:val="0060347D"/>
    <w:rPr>
      <w:rFonts w:ascii="Garamond" w:eastAsia="Times New Roman" w:hAnsi="Garamond" w:cs="Times New Roman"/>
      <w:sz w:val="22"/>
      <w:lang w:val="en-AU"/>
    </w:rPr>
  </w:style>
  <w:style w:type="paragraph" w:customStyle="1" w:styleId="Contents">
    <w:name w:val="Contents #"/>
    <w:basedOn w:val="ExecSum"/>
    <w:next w:val="Contents0"/>
    <w:uiPriority w:val="99"/>
    <w:rsid w:val="00785C23"/>
    <w:pPr>
      <w:numPr>
        <w:numId w:val="0"/>
      </w:numPr>
      <w:ind w:left="7938"/>
      <w:outlineLvl w:val="9"/>
    </w:pPr>
    <w:rPr>
      <w:rFonts w:ascii="Garamond" w:hAnsi="Garamond"/>
    </w:rPr>
  </w:style>
  <w:style w:type="paragraph" w:customStyle="1" w:styleId="Contents0">
    <w:name w:val="Contents"/>
    <w:basedOn w:val="Normal"/>
    <w:next w:val="Normal"/>
    <w:uiPriority w:val="99"/>
    <w:rsid w:val="00785C23"/>
    <w:pPr>
      <w:spacing w:before="120" w:after="600"/>
      <w:jc w:val="right"/>
    </w:pPr>
    <w:rPr>
      <w:rFonts w:ascii="Garamond" w:eastAsia="Times New Roman" w:hAnsi="Garamond" w:cs="Times New Roman"/>
      <w:b/>
      <w:smallCaps/>
      <w:color w:val="365F91"/>
      <w:spacing w:val="20"/>
      <w:sz w:val="35"/>
      <w:szCs w:val="44"/>
      <w:lang w:val="en-AU"/>
    </w:rPr>
  </w:style>
  <w:style w:type="paragraph" w:styleId="BodyText3">
    <w:name w:val="Body Text 3"/>
    <w:basedOn w:val="Normal"/>
    <w:link w:val="BodyText3Char"/>
    <w:uiPriority w:val="99"/>
    <w:semiHidden/>
    <w:unhideWhenUsed/>
    <w:rsid w:val="00E95CB0"/>
    <w:pPr>
      <w:spacing w:after="120"/>
    </w:pPr>
    <w:rPr>
      <w:sz w:val="16"/>
      <w:szCs w:val="16"/>
    </w:rPr>
  </w:style>
  <w:style w:type="character" w:customStyle="1" w:styleId="BodyText3Char">
    <w:name w:val="Body Text 3 Char"/>
    <w:basedOn w:val="DefaultParagraphFont"/>
    <w:link w:val="BodyText3"/>
    <w:uiPriority w:val="99"/>
    <w:semiHidden/>
    <w:rsid w:val="00E95CB0"/>
    <w:rPr>
      <w:sz w:val="16"/>
      <w:szCs w:val="16"/>
    </w:rPr>
  </w:style>
  <w:style w:type="paragraph" w:customStyle="1" w:styleId="NormalNoSpacing">
    <w:name w:val="Normal No Spacing"/>
    <w:basedOn w:val="Normal"/>
    <w:uiPriority w:val="99"/>
    <w:rsid w:val="00E95CB0"/>
    <w:rPr>
      <w:rFonts w:ascii="Arial" w:eastAsia="Times New Roman" w:hAnsi="Arial" w:cs="Times New Roman"/>
      <w:sz w:val="22"/>
      <w:lang w:val="en-AU"/>
    </w:rPr>
  </w:style>
  <w:style w:type="paragraph" w:customStyle="1" w:styleId="Respondent">
    <w:name w:val="Respondent"/>
    <w:basedOn w:val="BodyText"/>
    <w:uiPriority w:val="99"/>
    <w:rsid w:val="00E95CB0"/>
    <w:pPr>
      <w:pBdr>
        <w:top w:val="single" w:sz="4" w:space="1" w:color="auto"/>
        <w:left w:val="single" w:sz="4" w:space="4" w:color="auto"/>
        <w:bottom w:val="single" w:sz="4" w:space="1" w:color="auto"/>
        <w:right w:val="single" w:sz="4" w:space="4" w:color="auto"/>
      </w:pBdr>
      <w:shd w:val="clear" w:color="auto" w:fill="F3F3F3"/>
      <w:spacing w:before="80" w:after="120" w:line="240" w:lineRule="auto"/>
      <w:ind w:left="902"/>
      <w:jc w:val="both"/>
    </w:pPr>
    <w:rPr>
      <w:rFonts w:ascii="Arial" w:hAnsi="Arial"/>
      <w:sz w:val="24"/>
    </w:rPr>
  </w:style>
  <w:style w:type="paragraph" w:customStyle="1" w:styleId="MELegal1">
    <w:name w:val="ME Legal 1"/>
    <w:aliases w:val="l1"/>
    <w:basedOn w:val="Normal"/>
    <w:next w:val="Normal"/>
    <w:uiPriority w:val="99"/>
    <w:rsid w:val="00D84ADD"/>
    <w:pPr>
      <w:keepNext/>
      <w:numPr>
        <w:numId w:val="6"/>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MELegal2">
    <w:name w:val="ME Legal 2"/>
    <w:aliases w:val="l2"/>
    <w:basedOn w:val="Normal"/>
    <w:next w:val="Normal"/>
    <w:uiPriority w:val="99"/>
    <w:rsid w:val="00D84ADD"/>
    <w:pPr>
      <w:keepNext/>
      <w:numPr>
        <w:ilvl w:val="1"/>
        <w:numId w:val="6"/>
      </w:numPr>
      <w:spacing w:before="60" w:after="60" w:line="280" w:lineRule="atLeast"/>
      <w:outlineLvl w:val="1"/>
    </w:pPr>
    <w:rPr>
      <w:rFonts w:ascii="Arial" w:eastAsia="Times New Roman" w:hAnsi="Arial" w:cs="Angsana New"/>
      <w:b/>
      <w:bCs/>
      <w:w w:val="95"/>
      <w:lang w:val="en-AU" w:eastAsia="zh-CN" w:bidi="th-TH"/>
    </w:rPr>
  </w:style>
  <w:style w:type="paragraph" w:customStyle="1" w:styleId="MELegal3">
    <w:name w:val="ME Legal 3"/>
    <w:aliases w:val="l3"/>
    <w:basedOn w:val="Normal"/>
    <w:uiPriority w:val="99"/>
    <w:rsid w:val="00D84ADD"/>
    <w:pPr>
      <w:numPr>
        <w:ilvl w:val="2"/>
        <w:numId w:val="6"/>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Legal4">
    <w:name w:val="ME Legal 4"/>
    <w:aliases w:val="l4"/>
    <w:basedOn w:val="Normal"/>
    <w:uiPriority w:val="99"/>
    <w:rsid w:val="00D84ADD"/>
    <w:pPr>
      <w:numPr>
        <w:ilvl w:val="3"/>
        <w:numId w:val="6"/>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Legal5">
    <w:name w:val="ME Legal 5"/>
    <w:aliases w:val="l5"/>
    <w:basedOn w:val="Normal"/>
    <w:uiPriority w:val="99"/>
    <w:rsid w:val="00D84ADD"/>
    <w:pPr>
      <w:numPr>
        <w:ilvl w:val="4"/>
        <w:numId w:val="6"/>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MELegal6">
    <w:name w:val="ME Legal 6"/>
    <w:basedOn w:val="Normal"/>
    <w:uiPriority w:val="99"/>
    <w:rsid w:val="00D84ADD"/>
    <w:pPr>
      <w:tabs>
        <w:tab w:val="num" w:pos="3402"/>
      </w:tabs>
      <w:spacing w:after="140" w:line="280" w:lineRule="atLeast"/>
      <w:ind w:left="3402" w:hanging="680"/>
      <w:outlineLvl w:val="5"/>
    </w:pPr>
    <w:rPr>
      <w:rFonts w:ascii="Times New Roman" w:eastAsia="Times New Roman" w:hAnsi="Times New Roman" w:cs="Angsana New"/>
      <w:sz w:val="22"/>
      <w:szCs w:val="22"/>
      <w:lang w:val="en-AU" w:eastAsia="zh-CN" w:bidi="th-TH"/>
    </w:rPr>
  </w:style>
  <w:style w:type="paragraph" w:customStyle="1" w:styleId="ScheduleL1">
    <w:name w:val="Schedule L1"/>
    <w:basedOn w:val="Normal"/>
    <w:next w:val="Normal"/>
    <w:uiPriority w:val="99"/>
    <w:rsid w:val="00D84ADD"/>
    <w:pPr>
      <w:numPr>
        <w:numId w:val="7"/>
      </w:numPr>
      <w:pBdr>
        <w:bottom w:val="single" w:sz="4" w:space="1" w:color="auto"/>
      </w:pBdr>
      <w:spacing w:before="140" w:after="480" w:line="480" w:lineRule="exact"/>
      <w:outlineLvl w:val="0"/>
    </w:pPr>
    <w:rPr>
      <w:rFonts w:ascii="Arial" w:eastAsia="Times New Roman" w:hAnsi="Arial" w:cs="Angsana New"/>
      <w:spacing w:val="-10"/>
      <w:w w:val="95"/>
      <w:sz w:val="48"/>
      <w:szCs w:val="48"/>
      <w:lang w:val="en-AU" w:eastAsia="zh-CN" w:bidi="th-TH"/>
    </w:rPr>
  </w:style>
  <w:style w:type="paragraph" w:customStyle="1" w:styleId="ScheduleL2">
    <w:name w:val="Schedule L2"/>
    <w:basedOn w:val="Normal"/>
    <w:next w:val="Normal"/>
    <w:uiPriority w:val="99"/>
    <w:rsid w:val="00D84ADD"/>
    <w:pPr>
      <w:keepNext/>
      <w:numPr>
        <w:ilvl w:val="1"/>
        <w:numId w:val="7"/>
      </w:numPr>
      <w:spacing w:before="280" w:after="140" w:line="280" w:lineRule="atLeast"/>
      <w:outlineLvl w:val="1"/>
    </w:pPr>
    <w:rPr>
      <w:rFonts w:ascii="Arial" w:eastAsia="Times New Roman" w:hAnsi="Arial" w:cs="Angsana New"/>
      <w:spacing w:val="-10"/>
      <w:w w:val="95"/>
      <w:sz w:val="32"/>
      <w:szCs w:val="32"/>
      <w:lang w:val="en-AU" w:eastAsia="zh-CN" w:bidi="th-TH"/>
    </w:rPr>
  </w:style>
  <w:style w:type="paragraph" w:customStyle="1" w:styleId="ScheduleL3">
    <w:name w:val="Schedule L3"/>
    <w:basedOn w:val="Normal"/>
    <w:next w:val="Normal"/>
    <w:uiPriority w:val="99"/>
    <w:rsid w:val="00D84ADD"/>
    <w:pPr>
      <w:keepNext/>
      <w:numPr>
        <w:ilvl w:val="2"/>
        <w:numId w:val="7"/>
      </w:numPr>
      <w:tabs>
        <w:tab w:val="clear" w:pos="680"/>
      </w:tabs>
      <w:spacing w:before="60" w:after="60" w:line="280" w:lineRule="atLeast"/>
      <w:outlineLvl w:val="2"/>
    </w:pPr>
    <w:rPr>
      <w:rFonts w:ascii="Arial" w:eastAsia="Times New Roman" w:hAnsi="Arial" w:cs="Angsana New"/>
      <w:b/>
      <w:bCs/>
      <w:w w:val="95"/>
      <w:lang w:val="en-AU" w:eastAsia="zh-CN" w:bidi="th-TH"/>
    </w:rPr>
  </w:style>
  <w:style w:type="paragraph" w:customStyle="1" w:styleId="ScheduleL4">
    <w:name w:val="Schedule L4"/>
    <w:basedOn w:val="Normal"/>
    <w:uiPriority w:val="99"/>
    <w:rsid w:val="00D84ADD"/>
    <w:pPr>
      <w:numPr>
        <w:ilvl w:val="3"/>
        <w:numId w:val="7"/>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ScheduleL5">
    <w:name w:val="Schedule L5"/>
    <w:basedOn w:val="Normal"/>
    <w:uiPriority w:val="99"/>
    <w:rsid w:val="00D84ADD"/>
    <w:pPr>
      <w:numPr>
        <w:ilvl w:val="4"/>
        <w:numId w:val="7"/>
      </w:numPr>
      <w:tabs>
        <w:tab w:val="clear" w:pos="2041"/>
      </w:tabs>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ScheduleL6">
    <w:name w:val="Schedule L6"/>
    <w:basedOn w:val="Normal"/>
    <w:uiPriority w:val="99"/>
    <w:rsid w:val="00D84ADD"/>
    <w:pPr>
      <w:spacing w:after="140" w:line="280" w:lineRule="atLeast"/>
      <w:ind w:left="2722" w:hanging="681"/>
      <w:outlineLvl w:val="5"/>
    </w:pPr>
    <w:rPr>
      <w:rFonts w:ascii="Times New Roman" w:eastAsia="Times New Roman" w:hAnsi="Times New Roman" w:cs="Angsana New"/>
      <w:sz w:val="22"/>
      <w:szCs w:val="22"/>
      <w:lang w:val="en-AU" w:eastAsia="zh-CN" w:bidi="th-TH"/>
    </w:rPr>
  </w:style>
  <w:style w:type="paragraph" w:customStyle="1" w:styleId="MEBasic1">
    <w:name w:val="ME Basic 1"/>
    <w:basedOn w:val="Normal"/>
    <w:link w:val="MEBasic1Char"/>
    <w:uiPriority w:val="99"/>
    <w:rsid w:val="00880A9A"/>
    <w:pPr>
      <w:numPr>
        <w:numId w:val="8"/>
      </w:numPr>
      <w:spacing w:after="140" w:line="280" w:lineRule="atLeast"/>
      <w:outlineLvl w:val="0"/>
    </w:pPr>
    <w:rPr>
      <w:rFonts w:ascii="Times New Roman" w:eastAsia="Times New Roman" w:hAnsi="Times New Roman" w:cs="Angsana New"/>
      <w:sz w:val="22"/>
      <w:szCs w:val="22"/>
      <w:lang w:val="en-AU" w:eastAsia="zh-CN" w:bidi="th-TH"/>
    </w:rPr>
  </w:style>
  <w:style w:type="character" w:customStyle="1" w:styleId="MEBasic1Char">
    <w:name w:val="ME Basic 1 Char"/>
    <w:link w:val="MEBasic1"/>
    <w:uiPriority w:val="99"/>
    <w:rsid w:val="00880A9A"/>
    <w:rPr>
      <w:rFonts w:ascii="Times New Roman" w:eastAsia="Times New Roman" w:hAnsi="Times New Roman" w:cs="Angsana New"/>
      <w:sz w:val="22"/>
      <w:szCs w:val="22"/>
      <w:lang w:val="en-AU" w:eastAsia="zh-CN" w:bidi="th-TH"/>
    </w:rPr>
  </w:style>
  <w:style w:type="paragraph" w:customStyle="1" w:styleId="MEBasic2">
    <w:name w:val="ME Basic 2"/>
    <w:basedOn w:val="Normal"/>
    <w:uiPriority w:val="99"/>
    <w:rsid w:val="00880A9A"/>
    <w:pPr>
      <w:numPr>
        <w:ilvl w:val="1"/>
        <w:numId w:val="8"/>
      </w:numPr>
      <w:spacing w:after="140" w:line="280" w:lineRule="atLeast"/>
      <w:outlineLvl w:val="1"/>
    </w:pPr>
    <w:rPr>
      <w:rFonts w:ascii="Times New Roman" w:eastAsia="Times New Roman" w:hAnsi="Times New Roman" w:cs="Angsana New"/>
      <w:sz w:val="22"/>
      <w:szCs w:val="22"/>
      <w:lang w:val="en-AU" w:eastAsia="zh-CN" w:bidi="th-TH"/>
    </w:rPr>
  </w:style>
  <w:style w:type="paragraph" w:customStyle="1" w:styleId="MEBasic3">
    <w:name w:val="ME Basic 3"/>
    <w:basedOn w:val="Normal"/>
    <w:uiPriority w:val="99"/>
    <w:rsid w:val="00880A9A"/>
    <w:pPr>
      <w:numPr>
        <w:ilvl w:val="2"/>
        <w:numId w:val="8"/>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Basic4">
    <w:name w:val="ME Basic 4"/>
    <w:basedOn w:val="Normal"/>
    <w:uiPriority w:val="99"/>
    <w:rsid w:val="00880A9A"/>
    <w:pPr>
      <w:numPr>
        <w:ilvl w:val="3"/>
        <w:numId w:val="8"/>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Basic5">
    <w:name w:val="ME Basic 5"/>
    <w:basedOn w:val="Normal"/>
    <w:uiPriority w:val="99"/>
    <w:rsid w:val="00880A9A"/>
    <w:pPr>
      <w:numPr>
        <w:ilvl w:val="4"/>
        <w:numId w:val="8"/>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Numbered105cm">
    <w:name w:val="Numbered 1_0.5cm"/>
    <w:basedOn w:val="Normal"/>
    <w:uiPriority w:val="99"/>
    <w:rsid w:val="001D7F4F"/>
    <w:pPr>
      <w:numPr>
        <w:numId w:val="9"/>
      </w:numPr>
      <w:spacing w:before="60" w:after="60"/>
      <w:jc w:val="both"/>
    </w:pPr>
    <w:rPr>
      <w:rFonts w:ascii="Times New Roman" w:eastAsia="Times New Roman" w:hAnsi="Times New Roman" w:cs="Times New Roman"/>
      <w:lang w:val="en-AU"/>
    </w:rPr>
  </w:style>
  <w:style w:type="table" w:customStyle="1" w:styleId="AABlackTable1">
    <w:name w:val="AABlackTable1"/>
    <w:basedOn w:val="TableNormal"/>
    <w:uiPriority w:val="99"/>
    <w:rsid w:val="007D641E"/>
    <w:pPr>
      <w:spacing w:before="110" w:after="110" w:line="264" w:lineRule="auto"/>
    </w:pPr>
    <w:rPr>
      <w:rFonts w:ascii="Verdana" w:eastAsiaTheme="minorHAnsi" w:hAnsi="Verdana"/>
      <w:sz w:val="18"/>
      <w:szCs w:val="20"/>
      <w:lang w:val="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styleId="FollowedHyperlink">
    <w:name w:val="FollowedHyperlink"/>
    <w:basedOn w:val="DefaultParagraphFont"/>
    <w:uiPriority w:val="99"/>
    <w:semiHidden/>
    <w:unhideWhenUsed/>
    <w:rsid w:val="009A367C"/>
    <w:rPr>
      <w:color w:val="800080" w:themeColor="followedHyperlink"/>
      <w:u w:val="single"/>
    </w:rPr>
  </w:style>
  <w:style w:type="paragraph" w:customStyle="1" w:styleId="Level11fo">
    <w:name w:val="Level 1.1fo"/>
    <w:basedOn w:val="Normal"/>
    <w:link w:val="Level11foChar"/>
    <w:rsid w:val="00540814"/>
    <w:pPr>
      <w:spacing w:before="200" w:line="240" w:lineRule="atLeast"/>
      <w:ind w:left="720"/>
    </w:pPr>
    <w:rPr>
      <w:rFonts w:ascii="Arial" w:eastAsia="SimSun" w:hAnsi="Arial" w:cs="Times New Roman"/>
      <w:sz w:val="20"/>
      <w:szCs w:val="20"/>
      <w:lang w:val="en-AU" w:eastAsia="zh-CN"/>
    </w:rPr>
  </w:style>
  <w:style w:type="character" w:customStyle="1" w:styleId="Level11foChar">
    <w:name w:val="Level 1.1fo Char"/>
    <w:link w:val="Level11fo"/>
    <w:rsid w:val="00540814"/>
    <w:rPr>
      <w:rFonts w:ascii="Arial" w:eastAsia="SimSun" w:hAnsi="Arial" w:cs="Times New Roman"/>
      <w:sz w:val="20"/>
      <w:szCs w:val="20"/>
      <w:lang w:val="en-AU" w:eastAsia="zh-CN"/>
    </w:rPr>
  </w:style>
  <w:style w:type="paragraph" w:customStyle="1" w:styleId="Table-body">
    <w:name w:val="Table - body"/>
    <w:basedOn w:val="Normal"/>
    <w:uiPriority w:val="99"/>
    <w:rsid w:val="004F5B73"/>
    <w:pPr>
      <w:overflowPunct w:val="0"/>
      <w:autoSpaceDE w:val="0"/>
      <w:autoSpaceDN w:val="0"/>
      <w:adjustRightInd w:val="0"/>
      <w:spacing w:before="60" w:after="60"/>
      <w:textAlignment w:val="baseline"/>
    </w:pPr>
    <w:rPr>
      <w:rFonts w:ascii="Times New Roman" w:eastAsia="Times New Roman" w:hAnsi="Times New Roman" w:cs="Times New Roman"/>
      <w:sz w:val="22"/>
      <w:szCs w:val="20"/>
      <w:lang w:val="en-AU"/>
    </w:rPr>
  </w:style>
  <w:style w:type="paragraph" w:customStyle="1" w:styleId="ResumeText">
    <w:name w:val="Resume Text"/>
    <w:basedOn w:val="Normal"/>
    <w:link w:val="ResumeTextChar"/>
    <w:rsid w:val="00BF02E6"/>
    <w:pPr>
      <w:overflowPunct w:val="0"/>
      <w:autoSpaceDE w:val="0"/>
      <w:autoSpaceDN w:val="0"/>
      <w:adjustRightInd w:val="0"/>
      <w:spacing w:after="120" w:line="264" w:lineRule="auto"/>
      <w:textAlignment w:val="baseline"/>
    </w:pPr>
    <w:rPr>
      <w:rFonts w:ascii="Times New Roman" w:eastAsia="MS Mincho" w:hAnsi="Times New Roman" w:cs="Arial"/>
      <w:sz w:val="20"/>
      <w:szCs w:val="20"/>
      <w:lang w:val="en-AU"/>
    </w:rPr>
  </w:style>
  <w:style w:type="character" w:customStyle="1" w:styleId="ResumeTextChar">
    <w:name w:val="Resume Text Char"/>
    <w:link w:val="ResumeText"/>
    <w:rsid w:val="00BF02E6"/>
    <w:rPr>
      <w:rFonts w:ascii="Times New Roman" w:eastAsia="MS Mincho" w:hAnsi="Times New Roman" w:cs="Arial"/>
      <w:sz w:val="20"/>
      <w:szCs w:val="20"/>
      <w:lang w:val="en-AU"/>
    </w:rPr>
  </w:style>
  <w:style w:type="paragraph" w:customStyle="1" w:styleId="bullets">
    <w:name w:val="bullets"/>
    <w:basedOn w:val="Normal"/>
    <w:uiPriority w:val="99"/>
    <w:rsid w:val="00BF02E6"/>
    <w:pPr>
      <w:numPr>
        <w:numId w:val="10"/>
      </w:numPr>
      <w:tabs>
        <w:tab w:val="left" w:pos="-720"/>
      </w:tabs>
    </w:pPr>
    <w:rPr>
      <w:rFonts w:ascii="Times New Roman" w:eastAsia="Times New Roman" w:hAnsi="Times New Roman" w:cs="Times New Roman"/>
      <w:sz w:val="22"/>
      <w:lang w:val="en-AU"/>
    </w:rPr>
  </w:style>
  <w:style w:type="paragraph" w:customStyle="1" w:styleId="Heading-3">
    <w:name w:val="Heading - 3"/>
    <w:basedOn w:val="Normal"/>
    <w:uiPriority w:val="99"/>
    <w:rsid w:val="00C35DFB"/>
    <w:pPr>
      <w:keepNext/>
      <w:keepLines/>
      <w:overflowPunct w:val="0"/>
      <w:autoSpaceDE w:val="0"/>
      <w:autoSpaceDN w:val="0"/>
      <w:adjustRightInd w:val="0"/>
      <w:spacing w:before="120" w:after="120"/>
      <w:ind w:left="567"/>
      <w:textAlignment w:val="baseline"/>
    </w:pPr>
    <w:rPr>
      <w:rFonts w:ascii="Times New Roman" w:eastAsia="Times New Roman" w:hAnsi="Times New Roman" w:cs="Times New Roman"/>
      <w:b/>
      <w:sz w:val="28"/>
      <w:szCs w:val="20"/>
      <w:lang w:val="en-AU"/>
    </w:rPr>
  </w:style>
  <w:style w:type="paragraph" w:customStyle="1" w:styleId="2ndLevelBullet">
    <w:name w:val="2nd Level Bullet"/>
    <w:basedOn w:val="Normal"/>
    <w:uiPriority w:val="99"/>
    <w:rsid w:val="004D559A"/>
    <w:pPr>
      <w:numPr>
        <w:numId w:val="11"/>
      </w:numPr>
      <w:spacing w:before="60" w:after="60"/>
      <w:jc w:val="both"/>
    </w:pPr>
    <w:rPr>
      <w:rFonts w:ascii="Century Gothic" w:eastAsia="Times New Roman" w:hAnsi="Century Gothic" w:cs="Times New Roman"/>
      <w:sz w:val="19"/>
      <w:szCs w:val="19"/>
      <w:lang w:val="en-AU"/>
    </w:rPr>
  </w:style>
  <w:style w:type="paragraph" w:customStyle="1" w:styleId="ExecSum0">
    <w:name w:val="Exec Sum"/>
    <w:basedOn w:val="SectionHeader"/>
    <w:next w:val="Normal"/>
    <w:uiPriority w:val="99"/>
    <w:rsid w:val="004D559A"/>
    <w:rPr>
      <w:rFonts w:ascii="Century Gothic" w:hAnsi="Century Gothic"/>
      <w:color w:val="auto"/>
    </w:rPr>
  </w:style>
  <w:style w:type="paragraph" w:customStyle="1" w:styleId="Tables">
    <w:name w:val="Tables"/>
    <w:basedOn w:val="Contents0"/>
    <w:next w:val="Normal"/>
    <w:uiPriority w:val="99"/>
    <w:rsid w:val="004D559A"/>
    <w:rPr>
      <w:rFonts w:ascii="Century Gothic" w:hAnsi="Century Gothic"/>
      <w:color w:val="auto"/>
    </w:rPr>
  </w:style>
  <w:style w:type="paragraph" w:customStyle="1" w:styleId="Tables0">
    <w:name w:val="Tables #"/>
    <w:basedOn w:val="Contents"/>
    <w:uiPriority w:val="99"/>
    <w:rsid w:val="004D559A"/>
    <w:pPr>
      <w:shd w:val="clear" w:color="auto" w:fill="000080"/>
      <w:spacing w:line="240" w:lineRule="auto"/>
    </w:pPr>
    <w:rPr>
      <w:rFonts w:ascii="Times New Roman" w:hAnsi="Times New Roman"/>
    </w:rPr>
  </w:style>
  <w:style w:type="paragraph" w:customStyle="1" w:styleId="Figures">
    <w:name w:val="Figures"/>
    <w:basedOn w:val="Contents0"/>
    <w:next w:val="Normal"/>
    <w:uiPriority w:val="99"/>
    <w:rsid w:val="004D559A"/>
    <w:rPr>
      <w:rFonts w:ascii="Century Gothic" w:hAnsi="Century Gothic"/>
      <w:color w:val="auto"/>
    </w:rPr>
  </w:style>
  <w:style w:type="paragraph" w:customStyle="1" w:styleId="Figures0">
    <w:name w:val="Figures #"/>
    <w:basedOn w:val="Contents"/>
    <w:next w:val="Figures"/>
    <w:uiPriority w:val="99"/>
    <w:rsid w:val="004D559A"/>
    <w:pPr>
      <w:shd w:val="clear" w:color="auto" w:fill="000080"/>
      <w:spacing w:line="240" w:lineRule="auto"/>
    </w:pPr>
    <w:rPr>
      <w:rFonts w:ascii="Times New Roman" w:hAnsi="Times New Roman"/>
    </w:rPr>
  </w:style>
  <w:style w:type="paragraph" w:customStyle="1" w:styleId="AppendixHeader">
    <w:name w:val="Appendix Header"/>
    <w:basedOn w:val="Heading4"/>
    <w:uiPriority w:val="99"/>
    <w:rsid w:val="004D559A"/>
    <w:pPr>
      <w:keepLines w:val="0"/>
      <w:tabs>
        <w:tab w:val="left" w:pos="851"/>
      </w:tabs>
      <w:spacing w:before="240" w:after="60"/>
      <w:jc w:val="both"/>
    </w:pPr>
    <w:rPr>
      <w:rFonts w:ascii="Century Gothic" w:eastAsia="Times New Roman" w:hAnsi="Century Gothic" w:cs="Times New Roman"/>
      <w:i w:val="0"/>
      <w:iCs w:val="0"/>
      <w:smallCaps/>
      <w:color w:val="auto"/>
      <w:spacing w:val="20"/>
      <w:sz w:val="21"/>
      <w:szCs w:val="21"/>
      <w:lang w:val="en-AU"/>
    </w:rPr>
  </w:style>
  <w:style w:type="paragraph" w:customStyle="1" w:styleId="AppendixList">
    <w:name w:val="Appendix List"/>
    <w:basedOn w:val="Normal"/>
    <w:uiPriority w:val="99"/>
    <w:rsid w:val="004D559A"/>
    <w:pPr>
      <w:tabs>
        <w:tab w:val="left" w:pos="1440"/>
      </w:tabs>
      <w:spacing w:before="20" w:after="20"/>
      <w:jc w:val="both"/>
    </w:pPr>
    <w:rPr>
      <w:rFonts w:ascii="Century Gothic" w:eastAsia="Times New Roman" w:hAnsi="Century Gothic" w:cs="Times New Roman"/>
      <w:smallCaps/>
      <w:sz w:val="19"/>
      <w:szCs w:val="20"/>
      <w:lang w:val="en-AU"/>
    </w:rPr>
  </w:style>
  <w:style w:type="paragraph" w:customStyle="1" w:styleId="Rec">
    <w:name w:val="Rec #"/>
    <w:basedOn w:val="ExecSum"/>
    <w:uiPriority w:val="99"/>
    <w:rsid w:val="004D559A"/>
    <w:pPr>
      <w:numPr>
        <w:numId w:val="12"/>
      </w:numPr>
      <w:shd w:val="clear" w:color="auto" w:fill="000080"/>
      <w:spacing w:line="240" w:lineRule="auto"/>
    </w:pPr>
  </w:style>
  <w:style w:type="paragraph" w:customStyle="1" w:styleId="RecHeading">
    <w:name w:val="Rec Heading"/>
    <w:basedOn w:val="ExecSum0"/>
    <w:uiPriority w:val="99"/>
    <w:rsid w:val="004D559A"/>
  </w:style>
  <w:style w:type="paragraph" w:customStyle="1" w:styleId="Rec1">
    <w:name w:val="Rec 1"/>
    <w:basedOn w:val="ES1"/>
    <w:next w:val="Normal"/>
    <w:uiPriority w:val="99"/>
    <w:rsid w:val="004D559A"/>
    <w:pPr>
      <w:tabs>
        <w:tab w:val="num" w:pos="851"/>
      </w:tabs>
      <w:ind w:left="851" w:hanging="851"/>
    </w:pPr>
    <w:rPr>
      <w:rFonts w:ascii="Century Gothic" w:hAnsi="Century Gothic"/>
    </w:rPr>
  </w:style>
  <w:style w:type="paragraph" w:customStyle="1" w:styleId="Rec2">
    <w:name w:val="Rec 2"/>
    <w:basedOn w:val="ES2"/>
    <w:next w:val="Normal"/>
    <w:uiPriority w:val="99"/>
    <w:rsid w:val="004D559A"/>
    <w:rPr>
      <w:rFonts w:ascii="Century Gothic" w:hAnsi="Century Gothic"/>
    </w:rPr>
  </w:style>
  <w:style w:type="paragraph" w:styleId="TOC4">
    <w:name w:val="toc 4"/>
    <w:basedOn w:val="Normal"/>
    <w:next w:val="Normal"/>
    <w:autoRedefine/>
    <w:uiPriority w:val="39"/>
    <w:rsid w:val="004D559A"/>
    <w:pPr>
      <w:tabs>
        <w:tab w:val="right" w:leader="dot" w:pos="9072"/>
      </w:tabs>
      <w:spacing w:before="20" w:after="20"/>
      <w:jc w:val="both"/>
    </w:pPr>
    <w:rPr>
      <w:rFonts w:ascii="Century Gothic" w:eastAsia="Times New Roman" w:hAnsi="Century Gothic" w:cs="Times New Roman"/>
      <w:smallCaps/>
      <w:sz w:val="19"/>
      <w:szCs w:val="19"/>
      <w:lang w:val="en-AU"/>
    </w:rPr>
  </w:style>
  <w:style w:type="paragraph" w:customStyle="1" w:styleId="ClientName">
    <w:name w:val="Client Name"/>
    <w:basedOn w:val="Normal"/>
    <w:uiPriority w:val="99"/>
    <w:qFormat/>
    <w:rsid w:val="004D559A"/>
    <w:pPr>
      <w:framePr w:w="7938" w:h="4253" w:hSpace="284" w:vSpace="284" w:wrap="around" w:vAnchor="page" w:hAnchor="page" w:xAlign="center" w:y="4537"/>
      <w:shd w:val="solid" w:color="FFFFFF" w:fill="FFFFFF"/>
      <w:spacing w:before="240" w:after="360"/>
      <w:jc w:val="center"/>
    </w:pPr>
    <w:rPr>
      <w:rFonts w:ascii="Century Gothic" w:eastAsia="Times New Roman" w:hAnsi="Century Gothic" w:cs="Times New Roman"/>
      <w:b/>
      <w:smallCaps/>
      <w:color w:val="000080"/>
      <w:spacing w:val="20"/>
      <w:sz w:val="52"/>
      <w:szCs w:val="44"/>
      <w:lang w:val="en-AU"/>
    </w:rPr>
  </w:style>
  <w:style w:type="paragraph" w:customStyle="1" w:styleId="ProposalReportTitle">
    <w:name w:val="Proposal/Report Title"/>
    <w:basedOn w:val="Normal"/>
    <w:uiPriority w:val="99"/>
    <w:rsid w:val="004D559A"/>
    <w:pPr>
      <w:framePr w:w="7938" w:h="4253" w:hSpace="284" w:vSpace="284" w:wrap="around" w:vAnchor="page" w:hAnchor="page" w:xAlign="center" w:y="4537"/>
      <w:shd w:val="solid" w:color="FFFFFF" w:fill="FFFFFF"/>
      <w:spacing w:before="120" w:after="360"/>
      <w:jc w:val="center"/>
    </w:pPr>
    <w:rPr>
      <w:rFonts w:ascii="Century Gothic" w:eastAsia="Times New Roman" w:hAnsi="Century Gothic" w:cs="Times New Roman"/>
      <w:b/>
      <w:smallCaps/>
      <w:color w:val="000080"/>
      <w:spacing w:val="20"/>
      <w:sz w:val="40"/>
      <w:szCs w:val="36"/>
      <w:lang w:val="en-AU"/>
    </w:rPr>
  </w:style>
  <w:style w:type="paragraph" w:customStyle="1" w:styleId="CopyType">
    <w:name w:val="Copy Type"/>
    <w:basedOn w:val="Normal"/>
    <w:uiPriority w:val="99"/>
    <w:rsid w:val="004D559A"/>
    <w:pPr>
      <w:framePr w:w="7938" w:h="4253" w:hSpace="284" w:vSpace="284" w:wrap="around" w:vAnchor="page" w:hAnchor="page" w:xAlign="center" w:y="4537"/>
      <w:shd w:val="solid" w:color="FFFFFF" w:fill="FFFFFF"/>
      <w:spacing w:before="120"/>
      <w:jc w:val="center"/>
    </w:pPr>
    <w:rPr>
      <w:rFonts w:ascii="Times New Roman" w:eastAsia="Times New Roman" w:hAnsi="Times New Roman" w:cs="Times New Roman"/>
      <w:b/>
      <w:caps/>
      <w:color w:val="FF0000"/>
      <w:spacing w:val="20"/>
      <w:sz w:val="40"/>
      <w:szCs w:val="40"/>
      <w:lang w:val="en-AU"/>
    </w:rPr>
  </w:style>
  <w:style w:type="paragraph" w:customStyle="1" w:styleId="Author">
    <w:name w:val="Author"/>
    <w:basedOn w:val="ProposalReportTitle"/>
    <w:uiPriority w:val="99"/>
    <w:rsid w:val="004D559A"/>
    <w:pPr>
      <w:framePr w:wrap="around"/>
    </w:pPr>
    <w:rPr>
      <w:b w:val="0"/>
      <w:sz w:val="32"/>
    </w:rPr>
  </w:style>
  <w:style w:type="paragraph" w:customStyle="1" w:styleId="FrontAddress">
    <w:name w:val="Front Address"/>
    <w:basedOn w:val="Normal"/>
    <w:uiPriority w:val="99"/>
    <w:rsid w:val="004D559A"/>
    <w:pPr>
      <w:jc w:val="center"/>
    </w:pPr>
    <w:rPr>
      <w:rFonts w:ascii="Arial Narrow" w:eastAsia="Times New Roman" w:hAnsi="Arial Narrow" w:cs="Times New Roman"/>
      <w:sz w:val="16"/>
      <w:szCs w:val="20"/>
      <w:lang w:val="en-AU"/>
    </w:rPr>
  </w:style>
  <w:style w:type="paragraph" w:customStyle="1" w:styleId="Appendix">
    <w:name w:val="Appendix"/>
    <w:basedOn w:val="ExecSum0"/>
    <w:next w:val="Normal"/>
    <w:uiPriority w:val="99"/>
    <w:rsid w:val="004D559A"/>
  </w:style>
  <w:style w:type="paragraph" w:customStyle="1" w:styleId="Appendix0">
    <w:name w:val="Appendix #"/>
    <w:basedOn w:val="ExecSum"/>
    <w:next w:val="Appendix"/>
    <w:uiPriority w:val="99"/>
    <w:rsid w:val="004D559A"/>
    <w:pPr>
      <w:numPr>
        <w:numId w:val="0"/>
      </w:numPr>
      <w:shd w:val="clear" w:color="auto" w:fill="000080"/>
      <w:spacing w:line="240" w:lineRule="auto"/>
      <w:ind w:left="7938"/>
      <w:outlineLvl w:val="9"/>
    </w:pPr>
  </w:style>
  <w:style w:type="paragraph" w:customStyle="1" w:styleId="Outcome">
    <w:name w:val="Outcome"/>
    <w:basedOn w:val="Normal"/>
    <w:uiPriority w:val="99"/>
    <w:rsid w:val="004D559A"/>
    <w:pPr>
      <w:keepNext/>
      <w:pBdr>
        <w:top w:val="single" w:sz="6" w:space="6" w:color="000000" w:shadow="1"/>
        <w:left w:val="single" w:sz="6" w:space="6" w:color="000000" w:shadow="1"/>
        <w:bottom w:val="single" w:sz="6" w:space="6" w:color="000000" w:shadow="1"/>
        <w:right w:val="single" w:sz="6" w:space="6" w:color="000000" w:shadow="1"/>
      </w:pBdr>
      <w:spacing w:before="60" w:after="60"/>
      <w:ind w:left="851" w:right="851"/>
      <w:jc w:val="both"/>
    </w:pPr>
    <w:rPr>
      <w:rFonts w:ascii="Century Gothic" w:eastAsia="Times New Roman" w:hAnsi="Century Gothic" w:cs="Times New Roman"/>
      <w:b/>
      <w:i/>
      <w:color w:val="000000"/>
      <w:spacing w:val="20"/>
      <w:sz w:val="19"/>
      <w:szCs w:val="20"/>
      <w:lang w:val="en-AU"/>
    </w:rPr>
  </w:style>
  <w:style w:type="paragraph" w:customStyle="1" w:styleId="Outcome-BulletList">
    <w:name w:val="Outcome - Bullet List"/>
    <w:basedOn w:val="Outcome"/>
    <w:uiPriority w:val="99"/>
    <w:rsid w:val="004D559A"/>
    <w:pPr>
      <w:numPr>
        <w:numId w:val="13"/>
      </w:numPr>
      <w:tabs>
        <w:tab w:val="clear" w:pos="1571"/>
        <w:tab w:val="left" w:pos="1276"/>
      </w:tabs>
      <w:spacing w:before="40" w:after="40"/>
      <w:ind w:left="1276" w:hanging="425"/>
    </w:pPr>
  </w:style>
  <w:style w:type="paragraph" w:styleId="Quote">
    <w:name w:val="Quote"/>
    <w:basedOn w:val="Normal"/>
    <w:link w:val="QuoteChar"/>
    <w:uiPriority w:val="99"/>
    <w:qFormat/>
    <w:rsid w:val="004D559A"/>
    <w:pPr>
      <w:spacing w:before="120" w:after="120"/>
      <w:ind w:left="851" w:right="851"/>
      <w:jc w:val="both"/>
    </w:pPr>
    <w:rPr>
      <w:rFonts w:ascii="Times New Roman" w:eastAsia="Times New Roman" w:hAnsi="Times New Roman" w:cs="Times New Roman"/>
      <w:i/>
      <w:sz w:val="19"/>
      <w:lang w:val="en-AU"/>
    </w:rPr>
  </w:style>
  <w:style w:type="character" w:customStyle="1" w:styleId="QuoteChar">
    <w:name w:val="Quote Char"/>
    <w:basedOn w:val="DefaultParagraphFont"/>
    <w:link w:val="Quote"/>
    <w:uiPriority w:val="99"/>
    <w:rsid w:val="004D559A"/>
    <w:rPr>
      <w:rFonts w:ascii="Times New Roman" w:eastAsia="Times New Roman" w:hAnsi="Times New Roman" w:cs="Times New Roman"/>
      <w:i/>
      <w:sz w:val="19"/>
      <w:lang w:val="en-AU"/>
    </w:rPr>
  </w:style>
  <w:style w:type="paragraph" w:customStyle="1" w:styleId="DetailsofTenderer">
    <w:name w:val="Details of Tenderer"/>
    <w:basedOn w:val="Normal"/>
    <w:uiPriority w:val="99"/>
    <w:rsid w:val="004D559A"/>
    <w:pPr>
      <w:spacing w:before="120" w:after="120"/>
      <w:jc w:val="right"/>
    </w:pPr>
    <w:rPr>
      <w:rFonts w:ascii="Century Gothic" w:eastAsia="Times New Roman" w:hAnsi="Century Gothic" w:cs="Times New Roman"/>
      <w:b/>
      <w:smallCaps/>
      <w:sz w:val="36"/>
      <w:szCs w:val="36"/>
      <w:lang w:val="en-AU"/>
    </w:rPr>
  </w:style>
  <w:style w:type="paragraph" w:styleId="Caption">
    <w:name w:val="caption"/>
    <w:basedOn w:val="Normal"/>
    <w:next w:val="Normal"/>
    <w:uiPriority w:val="99"/>
    <w:qFormat/>
    <w:rsid w:val="004D559A"/>
    <w:pPr>
      <w:spacing w:before="120" w:after="120"/>
      <w:jc w:val="both"/>
    </w:pPr>
    <w:rPr>
      <w:rFonts w:ascii="Century Gothic" w:eastAsia="Times New Roman" w:hAnsi="Century Gothic" w:cs="Times New Roman"/>
      <w:b/>
      <w:bCs/>
      <w:sz w:val="20"/>
      <w:szCs w:val="20"/>
      <w:lang w:val="en-AU"/>
    </w:rPr>
  </w:style>
  <w:style w:type="paragraph" w:styleId="ListBullet">
    <w:name w:val="List Bullet"/>
    <w:basedOn w:val="Normal"/>
    <w:autoRedefine/>
    <w:uiPriority w:val="99"/>
    <w:rsid w:val="004D559A"/>
    <w:pPr>
      <w:tabs>
        <w:tab w:val="num" w:pos="360"/>
      </w:tabs>
      <w:spacing w:before="60" w:after="60"/>
      <w:ind w:left="360" w:hanging="360"/>
      <w:jc w:val="both"/>
    </w:pPr>
    <w:rPr>
      <w:rFonts w:ascii="Arial Narrow" w:eastAsia="Times New Roman" w:hAnsi="Arial Narrow" w:cs="Times New Roman"/>
      <w:sz w:val="22"/>
      <w:szCs w:val="20"/>
      <w:lang w:val="en-AU"/>
    </w:rPr>
  </w:style>
  <w:style w:type="character" w:customStyle="1" w:styleId="TableTextChar1">
    <w:name w:val="Table Text Char1"/>
    <w:basedOn w:val="DefaultParagraphFont"/>
    <w:rsid w:val="004D559A"/>
    <w:rPr>
      <w:rFonts w:ascii="Century Gothic" w:hAnsi="Century Gothic"/>
      <w:sz w:val="16"/>
      <w:szCs w:val="24"/>
      <w:lang w:val="en-AU" w:eastAsia="en-US" w:bidi="ar-SA"/>
    </w:rPr>
  </w:style>
  <w:style w:type="paragraph" w:customStyle="1" w:styleId="a">
    <w:name w:val="字元"/>
    <w:basedOn w:val="Normal"/>
    <w:uiPriority w:val="99"/>
    <w:rsid w:val="004D559A"/>
    <w:rPr>
      <w:rFonts w:ascii="Arial" w:eastAsia="PMingLiU" w:hAnsi="Arial" w:cs="Arial"/>
      <w:sz w:val="22"/>
      <w:szCs w:val="22"/>
      <w:lang w:val="en-AU"/>
    </w:rPr>
  </w:style>
  <w:style w:type="character" w:customStyle="1" w:styleId="highlightedsearchterm">
    <w:name w:val="highlightedsearchterm"/>
    <w:basedOn w:val="DefaultParagraphFont"/>
    <w:rsid w:val="004D559A"/>
  </w:style>
  <w:style w:type="character" w:styleId="HTMLCite">
    <w:name w:val="HTML Cite"/>
    <w:basedOn w:val="DefaultParagraphFont"/>
    <w:uiPriority w:val="99"/>
    <w:unhideWhenUsed/>
    <w:rsid w:val="004D559A"/>
    <w:rPr>
      <w:i/>
      <w:iCs/>
    </w:rPr>
  </w:style>
  <w:style w:type="character" w:customStyle="1" w:styleId="link-external">
    <w:name w:val="link-external"/>
    <w:basedOn w:val="DefaultParagraphFont"/>
    <w:rsid w:val="004D559A"/>
  </w:style>
  <w:style w:type="paragraph" w:customStyle="1" w:styleId="Figure">
    <w:name w:val="Figure"/>
    <w:basedOn w:val="BodyText"/>
    <w:uiPriority w:val="99"/>
    <w:rsid w:val="004D559A"/>
    <w:pPr>
      <w:keepNext/>
      <w:widowControl w:val="0"/>
      <w:spacing w:before="120" w:after="120" w:line="240" w:lineRule="atLeast"/>
      <w:jc w:val="center"/>
    </w:pPr>
    <w:rPr>
      <w:color w:val="000000"/>
      <w:sz w:val="26"/>
      <w:szCs w:val="20"/>
    </w:rPr>
  </w:style>
  <w:style w:type="paragraph" w:customStyle="1" w:styleId="CharCharChar">
    <w:name w:val="Char Char Char"/>
    <w:basedOn w:val="Normal"/>
    <w:uiPriority w:val="99"/>
    <w:rsid w:val="004D559A"/>
    <w:rPr>
      <w:rFonts w:ascii="Arial" w:eastAsia="Times New Roman" w:hAnsi="Arial" w:cs="Arial"/>
      <w:sz w:val="22"/>
      <w:szCs w:val="22"/>
      <w:lang w:val="en-AU"/>
    </w:rPr>
  </w:style>
  <w:style w:type="paragraph" w:customStyle="1" w:styleId="Bullet-level2">
    <w:name w:val="Bullet - level 2"/>
    <w:basedOn w:val="Normal"/>
    <w:link w:val="Bullet-level2Char"/>
    <w:rsid w:val="004D559A"/>
    <w:pPr>
      <w:tabs>
        <w:tab w:val="num" w:pos="1702"/>
      </w:tabs>
      <w:spacing w:before="40" w:after="40"/>
      <w:ind w:left="1702" w:hanging="851"/>
      <w:jc w:val="both"/>
    </w:pPr>
    <w:rPr>
      <w:rFonts w:ascii="Century Gothic" w:eastAsia="Times New Roman" w:hAnsi="Century Gothic" w:cs="Times New Roman"/>
      <w:sz w:val="19"/>
      <w:lang w:val="en-AU"/>
    </w:rPr>
  </w:style>
  <w:style w:type="character" w:customStyle="1" w:styleId="Bullet-level2Char">
    <w:name w:val="Bullet - level 2 Char"/>
    <w:basedOn w:val="DefaultParagraphFont"/>
    <w:link w:val="Bullet-level2"/>
    <w:rsid w:val="004D559A"/>
    <w:rPr>
      <w:rFonts w:ascii="Century Gothic" w:eastAsia="Times New Roman" w:hAnsi="Century Gothic" w:cs="Times New Roman"/>
      <w:sz w:val="19"/>
      <w:lang w:val="en-AU"/>
    </w:rPr>
  </w:style>
  <w:style w:type="paragraph" w:styleId="BodyTextIndent2">
    <w:name w:val="Body Text Indent 2"/>
    <w:basedOn w:val="Normal"/>
    <w:link w:val="BodyTextIndent2Char"/>
    <w:uiPriority w:val="99"/>
    <w:semiHidden/>
    <w:unhideWhenUsed/>
    <w:rsid w:val="00DB07B1"/>
    <w:pPr>
      <w:spacing w:after="120" w:line="480" w:lineRule="auto"/>
      <w:ind w:left="283"/>
    </w:pPr>
  </w:style>
  <w:style w:type="character" w:customStyle="1" w:styleId="BodyTextIndent2Char">
    <w:name w:val="Body Text Indent 2 Char"/>
    <w:basedOn w:val="DefaultParagraphFont"/>
    <w:link w:val="BodyTextIndent2"/>
    <w:uiPriority w:val="99"/>
    <w:semiHidden/>
    <w:rsid w:val="00DB07B1"/>
  </w:style>
  <w:style w:type="paragraph" w:customStyle="1" w:styleId="BodyTextIndent2bullet">
    <w:name w:val="Body Text Indent 2 (bullet)"/>
    <w:basedOn w:val="BodyTextIndent2"/>
    <w:uiPriority w:val="99"/>
    <w:rsid w:val="00DB07B1"/>
    <w:pPr>
      <w:tabs>
        <w:tab w:val="left" w:pos="2520"/>
      </w:tabs>
      <w:spacing w:before="80" w:line="240" w:lineRule="auto"/>
      <w:ind w:left="2520" w:hanging="540"/>
      <w:jc w:val="both"/>
    </w:pPr>
    <w:rPr>
      <w:rFonts w:ascii="Arial" w:eastAsia="Times New Roman" w:hAnsi="Arial" w:cs="Times New Roman"/>
      <w:lang w:val="en-AU"/>
    </w:rPr>
  </w:style>
  <w:style w:type="paragraph" w:customStyle="1" w:styleId="BodyTextIndentbullet">
    <w:name w:val="Body Text Indent (bullet)"/>
    <w:basedOn w:val="BodyTextIndent"/>
    <w:uiPriority w:val="99"/>
    <w:rsid w:val="00DB07B1"/>
    <w:pPr>
      <w:tabs>
        <w:tab w:val="left" w:pos="1980"/>
      </w:tabs>
      <w:spacing w:before="80"/>
      <w:ind w:left="1980" w:hanging="540"/>
      <w:jc w:val="both"/>
    </w:pPr>
    <w:rPr>
      <w:rFonts w:ascii="Arial" w:eastAsia="Times New Roman" w:hAnsi="Arial" w:cs="Times New Roman"/>
      <w:lang w:val="en-AU"/>
    </w:rPr>
  </w:style>
  <w:style w:type="paragraph" w:customStyle="1" w:styleId="BodyTextbullet">
    <w:name w:val="Body Text (bullet)"/>
    <w:basedOn w:val="BodyText"/>
    <w:uiPriority w:val="99"/>
    <w:rsid w:val="00DB07B1"/>
    <w:pPr>
      <w:numPr>
        <w:ilvl w:val="1"/>
        <w:numId w:val="14"/>
      </w:numPr>
      <w:spacing w:before="80" w:after="120" w:line="240" w:lineRule="auto"/>
      <w:jc w:val="both"/>
    </w:pPr>
    <w:rPr>
      <w:rFonts w:ascii="Arial" w:hAnsi="Arial"/>
      <w:sz w:val="24"/>
    </w:rPr>
  </w:style>
  <w:style w:type="character" w:customStyle="1" w:styleId="Optional">
    <w:name w:val="Optional"/>
    <w:basedOn w:val="DefaultParagraphFont"/>
    <w:uiPriority w:val="99"/>
    <w:rsid w:val="00DB07B1"/>
    <w:rPr>
      <w:color w:val="0000FF"/>
    </w:rPr>
  </w:style>
  <w:style w:type="character" w:customStyle="1" w:styleId="OptionalBold">
    <w:name w:val="Optional (Bold)"/>
    <w:basedOn w:val="Optional"/>
    <w:uiPriority w:val="99"/>
    <w:rsid w:val="00DB07B1"/>
    <w:rPr>
      <w:b/>
      <w:color w:val="0000FF"/>
    </w:rPr>
  </w:style>
  <w:style w:type="character" w:customStyle="1" w:styleId="Instructionbold">
    <w:name w:val="Instruction (bold)"/>
    <w:basedOn w:val="DefaultParagraphFont"/>
    <w:rsid w:val="00F103B9"/>
    <w:rPr>
      <w:b/>
      <w:i/>
      <w:color w:val="FF0000"/>
    </w:rPr>
  </w:style>
  <w:style w:type="paragraph" w:customStyle="1" w:styleId="NormText">
    <w:name w:val="Norm Text"/>
    <w:basedOn w:val="BodyText"/>
    <w:uiPriority w:val="99"/>
    <w:rsid w:val="00F103B9"/>
    <w:pPr>
      <w:spacing w:before="80" w:after="120" w:line="240" w:lineRule="auto"/>
      <w:jc w:val="both"/>
    </w:pPr>
    <w:rPr>
      <w:rFonts w:ascii="Arial" w:hAnsi="Arial"/>
      <w:sz w:val="24"/>
    </w:rPr>
  </w:style>
  <w:style w:type="paragraph" w:customStyle="1" w:styleId="sch4">
    <w:name w:val="sch4"/>
    <w:basedOn w:val="Normal"/>
    <w:next w:val="Normal"/>
    <w:uiPriority w:val="99"/>
    <w:rsid w:val="00AE162F"/>
    <w:pPr>
      <w:tabs>
        <w:tab w:val="num" w:pos="1440"/>
      </w:tabs>
      <w:spacing w:before="200" w:line="240" w:lineRule="atLeast"/>
      <w:ind w:left="1440" w:hanging="720"/>
    </w:pPr>
    <w:rPr>
      <w:rFonts w:ascii="Arial" w:eastAsia="SimSun" w:hAnsi="Arial" w:cs="Times New Roman"/>
      <w:sz w:val="20"/>
      <w:szCs w:val="20"/>
      <w:lang w:val="en-AU" w:eastAsia="zh-CN"/>
    </w:rPr>
  </w:style>
  <w:style w:type="character" w:customStyle="1" w:styleId="ListParagraphChar">
    <w:name w:val="List Paragraph Char"/>
    <w:link w:val="ListParagraph"/>
    <w:uiPriority w:val="34"/>
    <w:locked/>
    <w:rsid w:val="00926337"/>
  </w:style>
  <w:style w:type="paragraph" w:styleId="BodyTextFirstIndent2">
    <w:name w:val="Body Text First Indent 2"/>
    <w:basedOn w:val="BodyTextIndent2"/>
    <w:link w:val="BodyTextFirstIndent2Char"/>
    <w:uiPriority w:val="99"/>
    <w:semiHidden/>
    <w:rsid w:val="008768D7"/>
    <w:pPr>
      <w:tabs>
        <w:tab w:val="num" w:pos="2880"/>
      </w:tabs>
      <w:spacing w:before="200" w:after="0"/>
      <w:ind w:left="2880" w:hanging="720"/>
    </w:pPr>
    <w:rPr>
      <w:rFonts w:ascii="Arial" w:eastAsia="SimSun" w:hAnsi="Arial" w:cs="Times New Roman"/>
      <w:sz w:val="22"/>
      <w:szCs w:val="20"/>
      <w:lang w:val="en-AU" w:eastAsia="zh-CN"/>
    </w:rPr>
  </w:style>
  <w:style w:type="character" w:customStyle="1" w:styleId="BodyTextFirstIndent2Char">
    <w:name w:val="Body Text First Indent 2 Char"/>
    <w:basedOn w:val="BodyTextIndentChar"/>
    <w:link w:val="BodyTextFirstIndent2"/>
    <w:uiPriority w:val="99"/>
    <w:semiHidden/>
    <w:rsid w:val="008768D7"/>
    <w:rPr>
      <w:rFonts w:ascii="Arial" w:eastAsia="SimSun" w:hAnsi="Arial" w:cs="Times New Roman"/>
      <w:sz w:val="22"/>
      <w:szCs w:val="20"/>
      <w:lang w:val="en-AU" w:eastAsia="zh-CN"/>
    </w:rPr>
  </w:style>
  <w:style w:type="paragraph" w:customStyle="1" w:styleId="sch2">
    <w:name w:val="sch2"/>
    <w:basedOn w:val="Normal"/>
    <w:next w:val="Normal"/>
    <w:uiPriority w:val="99"/>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customStyle="1" w:styleId="sch3">
    <w:name w:val="sch3"/>
    <w:basedOn w:val="Normal"/>
    <w:next w:val="Level11fo"/>
    <w:uiPriority w:val="99"/>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styleId="ListNumber2">
    <w:name w:val="List Number 2"/>
    <w:basedOn w:val="Normal"/>
    <w:uiPriority w:val="99"/>
    <w:rsid w:val="008768D7"/>
    <w:pPr>
      <w:tabs>
        <w:tab w:val="num" w:pos="3600"/>
      </w:tabs>
      <w:spacing w:before="200" w:line="240" w:lineRule="atLeast"/>
      <w:ind w:left="3600" w:hanging="720"/>
    </w:pPr>
    <w:rPr>
      <w:rFonts w:ascii="Arial" w:eastAsia="SimSun" w:hAnsi="Arial" w:cs="Times New Roman"/>
      <w:sz w:val="22"/>
      <w:szCs w:val="20"/>
      <w:lang w:val="en-AU" w:eastAsia="zh-CN"/>
    </w:rPr>
  </w:style>
  <w:style w:type="table" w:styleId="LightList">
    <w:name w:val="Light List"/>
    <w:basedOn w:val="TableNormal"/>
    <w:uiPriority w:val="61"/>
    <w:rsid w:val="006D366B"/>
    <w:pPr>
      <w:spacing w:before="40" w:after="40"/>
    </w:pPr>
    <w:rPr>
      <w:rFonts w:eastAsiaTheme="minorHAns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8064A2" w:themeFill="accent4"/>
      </w:tcPr>
    </w:tblStylePr>
  </w:style>
  <w:style w:type="character" w:styleId="Emphasis">
    <w:name w:val="Emphasis"/>
    <w:uiPriority w:val="20"/>
    <w:qFormat/>
    <w:rsid w:val="009B6A6C"/>
    <w:rPr>
      <w:i/>
      <w:iCs/>
    </w:rPr>
  </w:style>
  <w:style w:type="paragraph" w:customStyle="1" w:styleId="CVTabletext">
    <w:name w:val="CV Table text"/>
    <w:basedOn w:val="Normal"/>
    <w:uiPriority w:val="99"/>
    <w:rsid w:val="009D4FE5"/>
    <w:pPr>
      <w:keepNext/>
      <w:spacing w:before="40" w:after="40"/>
      <w:jc w:val="both"/>
    </w:pPr>
    <w:rPr>
      <w:rFonts w:ascii="Times New Roman" w:eastAsia="Times New Roman" w:hAnsi="Times New Roman" w:cs="Times New Roman"/>
      <w:sz w:val="20"/>
      <w:szCs w:val="20"/>
      <w:lang w:val="en-GB" w:eastAsia="en-AU"/>
    </w:rPr>
  </w:style>
  <w:style w:type="character" w:customStyle="1" w:styleId="BulletPointsChar">
    <w:name w:val="Bullet Points Char"/>
    <w:link w:val="BulletPoints"/>
    <w:uiPriority w:val="99"/>
    <w:locked/>
    <w:rsid w:val="00C902B5"/>
    <w:rPr>
      <w:rFonts w:ascii="Arial" w:hAnsi="Arial" w:cs="Arial"/>
      <w:lang w:val="x-none"/>
    </w:rPr>
  </w:style>
  <w:style w:type="paragraph" w:customStyle="1" w:styleId="BulletPoints">
    <w:name w:val="Bullet Points"/>
    <w:basedOn w:val="Normal"/>
    <w:link w:val="BulletPointsChar"/>
    <w:uiPriority w:val="99"/>
    <w:qFormat/>
    <w:rsid w:val="00C902B5"/>
    <w:pPr>
      <w:numPr>
        <w:numId w:val="15"/>
      </w:numPr>
      <w:tabs>
        <w:tab w:val="left" w:pos="357"/>
      </w:tabs>
      <w:spacing w:after="60"/>
      <w:ind w:left="360"/>
      <w:jc w:val="both"/>
    </w:pPr>
    <w:rPr>
      <w:rFonts w:ascii="Arial" w:hAnsi="Arial" w:cs="Arial"/>
      <w:lang w:val="x-none"/>
    </w:rPr>
  </w:style>
  <w:style w:type="paragraph" w:customStyle="1" w:styleId="BDOProfleBullets">
    <w:name w:val="BDO_Profle Bullets"/>
    <w:basedOn w:val="Normal"/>
    <w:uiPriority w:val="99"/>
    <w:qFormat/>
    <w:rsid w:val="00B82D03"/>
    <w:pPr>
      <w:numPr>
        <w:numId w:val="16"/>
      </w:numPr>
      <w:spacing w:line="240" w:lineRule="atLeast"/>
    </w:pPr>
    <w:rPr>
      <w:rFonts w:ascii="Trebuchet MS" w:eastAsia="Times New Roman" w:hAnsi="Trebuchet MS" w:cs="Times New Roman"/>
      <w:color w:val="786860"/>
      <w:sz w:val="20"/>
      <w:lang w:val="en-AU" w:eastAsia="en-GB"/>
    </w:rPr>
  </w:style>
  <w:style w:type="paragraph" w:customStyle="1" w:styleId="BDOProfileBody">
    <w:name w:val="BDO_Profile Body"/>
    <w:basedOn w:val="Normal"/>
    <w:uiPriority w:val="99"/>
    <w:qFormat/>
    <w:rsid w:val="00B82D03"/>
    <w:pPr>
      <w:spacing w:after="120" w:line="240" w:lineRule="atLeast"/>
    </w:pPr>
    <w:rPr>
      <w:rFonts w:ascii="Trebuchet MS" w:eastAsia="Times New Roman" w:hAnsi="Trebuchet MS" w:cs="Times New Roman"/>
      <w:color w:val="786860"/>
      <w:sz w:val="20"/>
      <w:lang w:val="en-AU" w:eastAsia="en-GB"/>
    </w:rPr>
  </w:style>
  <w:style w:type="paragraph" w:customStyle="1" w:styleId="BDONameTitle">
    <w:name w:val="BDO_Name Title"/>
    <w:basedOn w:val="Normal"/>
    <w:uiPriority w:val="99"/>
    <w:qFormat/>
    <w:rsid w:val="00C36640"/>
    <w:pPr>
      <w:spacing w:line="320" w:lineRule="exact"/>
    </w:pPr>
    <w:rPr>
      <w:rFonts w:ascii="Trebuchet MS" w:eastAsia="Times New Roman" w:hAnsi="Trebuchet MS" w:cs="Times New Roman"/>
      <w:b/>
      <w:color w:val="786860"/>
      <w:sz w:val="28"/>
      <w:lang w:val="en-AU" w:eastAsia="en-GB"/>
    </w:rPr>
  </w:style>
  <w:style w:type="paragraph" w:customStyle="1" w:styleId="Bulleted1">
    <w:name w:val="Bulleted1"/>
    <w:basedOn w:val="Normal"/>
    <w:uiPriority w:val="99"/>
    <w:rsid w:val="00A25973"/>
    <w:pPr>
      <w:numPr>
        <w:numId w:val="17"/>
      </w:numPr>
    </w:pPr>
    <w:rPr>
      <w:rFonts w:ascii="Arial" w:eastAsia="Times New Roman" w:hAnsi="Arial" w:cs="Times New Roman"/>
      <w:sz w:val="20"/>
      <w:lang w:val="en-AU" w:eastAsia="en-AU"/>
    </w:rPr>
  </w:style>
  <w:style w:type="paragraph" w:customStyle="1" w:styleId="NormalIndent1">
    <w:name w:val="Normal Indent 1"/>
    <w:basedOn w:val="Normal"/>
    <w:uiPriority w:val="99"/>
    <w:rsid w:val="00ED4263"/>
    <w:pPr>
      <w:spacing w:after="120"/>
      <w:ind w:left="567"/>
      <w:jc w:val="both"/>
    </w:pPr>
    <w:rPr>
      <w:rFonts w:ascii="Arial" w:eastAsia="Times New Roman" w:hAnsi="Arial" w:cs="Times New Roman"/>
      <w:sz w:val="20"/>
      <w:szCs w:val="20"/>
      <w:lang w:val="en-AU"/>
    </w:rPr>
  </w:style>
  <w:style w:type="character" w:customStyle="1" w:styleId="AmericanTypewriter">
    <w:name w:val="American Typewriter"/>
    <w:rsid w:val="00D14A60"/>
    <w:rPr>
      <w:rFonts w:ascii="American Typewriter" w:eastAsia="ヒラギノ角ゴ Pro W3" w:hAnsi="American Typewriter"/>
      <w:b w:val="0"/>
      <w:i w:val="0"/>
    </w:rPr>
  </w:style>
  <w:style w:type="paragraph" w:customStyle="1" w:styleId="TitleBold">
    <w:name w:val="Title Bold"/>
    <w:basedOn w:val="Normal"/>
    <w:link w:val="TitleBoldChar"/>
    <w:rsid w:val="005943A0"/>
    <w:pPr>
      <w:spacing w:after="60"/>
      <w:jc w:val="both"/>
    </w:pPr>
    <w:rPr>
      <w:rFonts w:ascii="Arial" w:eastAsia="MS Mincho" w:hAnsi="Arial" w:cs="Times New Roman"/>
      <w:b/>
      <w:sz w:val="20"/>
      <w:szCs w:val="20"/>
    </w:rPr>
  </w:style>
  <w:style w:type="character" w:customStyle="1" w:styleId="TitleBoldChar">
    <w:name w:val="Title Bold Char"/>
    <w:basedOn w:val="DefaultParagraphFont"/>
    <w:link w:val="TitleBold"/>
    <w:rsid w:val="005943A0"/>
    <w:rPr>
      <w:rFonts w:ascii="Arial" w:eastAsia="MS Mincho" w:hAnsi="Arial" w:cs="Times New Roman"/>
      <w:b/>
      <w:sz w:val="20"/>
      <w:szCs w:val="20"/>
    </w:rPr>
  </w:style>
  <w:style w:type="paragraph" w:customStyle="1" w:styleId="FreeForm">
    <w:name w:val="Free Form"/>
    <w:uiPriority w:val="99"/>
    <w:rsid w:val="002D42AC"/>
    <w:pPr>
      <w:spacing w:line="336" w:lineRule="auto"/>
    </w:pPr>
    <w:rPr>
      <w:rFonts w:ascii="Helvetica Neue Light" w:eastAsia="ヒラギノ角ゴ Pro W3" w:hAnsi="Helvetica Neue Light" w:cs="Times New Roman"/>
      <w:color w:val="000000"/>
      <w:sz w:val="20"/>
      <w:szCs w:val="20"/>
    </w:rPr>
  </w:style>
  <w:style w:type="paragraph" w:customStyle="1" w:styleId="HeaderFooter">
    <w:name w:val="Header &amp; Footer"/>
    <w:uiPriority w:val="99"/>
    <w:rsid w:val="002D42AC"/>
    <w:pPr>
      <w:tabs>
        <w:tab w:val="right" w:pos="9065"/>
      </w:tabs>
      <w:spacing w:after="240"/>
    </w:pPr>
    <w:rPr>
      <w:rFonts w:ascii="American Typewriter" w:eastAsia="ヒラギノ角ゴ Pro W3" w:hAnsi="American Typewriter" w:cs="Times New Roman"/>
      <w:color w:val="000000"/>
      <w:sz w:val="17"/>
      <w:szCs w:val="20"/>
    </w:rPr>
  </w:style>
  <w:style w:type="paragraph" w:customStyle="1" w:styleId="EYHeading1">
    <w:name w:val="EY Heading 1"/>
    <w:basedOn w:val="Heading1"/>
    <w:next w:val="Normal"/>
    <w:uiPriority w:val="99"/>
    <w:rsid w:val="00AA1588"/>
    <w:pPr>
      <w:pageBreakBefore/>
      <w:numPr>
        <w:numId w:val="18"/>
      </w:numPr>
    </w:pPr>
    <w:rPr>
      <w:rFonts w:ascii="EYInterstate Light" w:eastAsia="Times New Roman" w:hAnsi="EYInterstate Light"/>
      <w:color w:val="7F7E82"/>
      <w:kern w:val="32"/>
      <w:sz w:val="40"/>
      <w:lang w:val="en-AU" w:eastAsia="en-AU"/>
    </w:rPr>
  </w:style>
  <w:style w:type="paragraph" w:customStyle="1" w:styleId="EYHeading2">
    <w:name w:val="EY Heading 2"/>
    <w:basedOn w:val="Heading2"/>
    <w:next w:val="Normal"/>
    <w:uiPriority w:val="99"/>
    <w:rsid w:val="00AA1588"/>
    <w:pPr>
      <w:keepLines w:val="0"/>
      <w:tabs>
        <w:tab w:val="num" w:pos="850"/>
      </w:tabs>
      <w:spacing w:before="120" w:after="120"/>
      <w:ind w:left="850" w:hanging="850"/>
    </w:pPr>
    <w:rPr>
      <w:rFonts w:ascii="EYInterstate Light" w:eastAsia="Times New Roman" w:hAnsi="EYInterstate Light" w:cs="Times New Roman"/>
      <w:iCs/>
      <w:color w:val="auto"/>
      <w:sz w:val="28"/>
      <w:szCs w:val="28"/>
      <w:lang w:val="en-AU" w:eastAsia="en-AU"/>
    </w:rPr>
  </w:style>
  <w:style w:type="paragraph" w:customStyle="1" w:styleId="EYHeading3">
    <w:name w:val="EY Heading 3"/>
    <w:basedOn w:val="Heading3"/>
    <w:next w:val="Normal"/>
    <w:uiPriority w:val="99"/>
    <w:rsid w:val="00AA1588"/>
    <w:pPr>
      <w:keepLines w:val="0"/>
      <w:tabs>
        <w:tab w:val="num" w:pos="850"/>
      </w:tabs>
      <w:spacing w:before="120" w:after="120"/>
      <w:ind w:left="850" w:hanging="850"/>
    </w:pPr>
    <w:rPr>
      <w:rFonts w:ascii="EYInterstate" w:eastAsia="Times New Roman" w:hAnsi="EYInterstate" w:cs="Times New Roman"/>
      <w:b w:val="0"/>
      <w:color w:val="auto"/>
      <w:szCs w:val="26"/>
      <w:lang w:val="en-AU" w:eastAsia="en-AU"/>
    </w:rPr>
  </w:style>
  <w:style w:type="paragraph" w:customStyle="1" w:styleId="EYHeading4">
    <w:name w:val="EY Heading 4"/>
    <w:basedOn w:val="EYHeading3"/>
    <w:next w:val="Normal"/>
    <w:uiPriority w:val="99"/>
    <w:rsid w:val="00AA1588"/>
    <w:pPr>
      <w:numPr>
        <w:ilvl w:val="3"/>
      </w:numPr>
      <w:tabs>
        <w:tab w:val="num" w:pos="850"/>
      </w:tabs>
      <w:ind w:left="850" w:hanging="850"/>
    </w:pPr>
    <w:rPr>
      <w:i/>
      <w:sz w:val="20"/>
    </w:rPr>
  </w:style>
  <w:style w:type="paragraph" w:styleId="TableofFigures">
    <w:name w:val="table of figures"/>
    <w:basedOn w:val="Normal"/>
    <w:next w:val="Normal"/>
    <w:uiPriority w:val="99"/>
    <w:rsid w:val="006523D3"/>
    <w:pPr>
      <w:spacing w:before="120" w:after="120"/>
      <w:ind w:left="400" w:hanging="400"/>
      <w:jc w:val="both"/>
    </w:pPr>
    <w:rPr>
      <w:rFonts w:ascii="Century Gothic" w:eastAsia="Times New Roman" w:hAnsi="Century Gothic" w:cs="Times New Roman"/>
      <w:sz w:val="20"/>
      <w:lang w:val="en-AU"/>
    </w:rPr>
  </w:style>
  <w:style w:type="paragraph" w:customStyle="1" w:styleId="Tabletext0">
    <w:name w:val="Table text"/>
    <w:basedOn w:val="Normal"/>
    <w:uiPriority w:val="99"/>
    <w:qFormat/>
    <w:rsid w:val="00455079"/>
    <w:pPr>
      <w:spacing w:after="40"/>
    </w:pPr>
    <w:rPr>
      <w:rFonts w:ascii="Arial" w:eastAsiaTheme="minorHAnsi" w:hAnsi="Arial" w:cs="Arial"/>
      <w:color w:val="000000"/>
      <w:sz w:val="16"/>
      <w:szCs w:val="16"/>
      <w:lang w:val="en-AU"/>
    </w:rPr>
  </w:style>
  <w:style w:type="paragraph" w:customStyle="1" w:styleId="Tabletextrightalign">
    <w:name w:val="Table text right align"/>
    <w:basedOn w:val="Tabletext0"/>
    <w:uiPriority w:val="99"/>
    <w:qFormat/>
    <w:rsid w:val="00455079"/>
    <w:pPr>
      <w:jc w:val="right"/>
    </w:pPr>
  </w:style>
  <w:style w:type="paragraph" w:customStyle="1" w:styleId="Tablehead">
    <w:name w:val="Table head"/>
    <w:basedOn w:val="Normal"/>
    <w:uiPriority w:val="99"/>
    <w:qFormat/>
    <w:rsid w:val="00455079"/>
    <w:rPr>
      <w:rFonts w:ascii="Arial" w:eastAsiaTheme="minorHAnsi" w:hAnsi="Arial" w:cs="Arial"/>
      <w:b/>
      <w:color w:val="000000"/>
      <w:sz w:val="16"/>
      <w:szCs w:val="16"/>
      <w:lang w:val="en-AU"/>
    </w:rPr>
  </w:style>
  <w:style w:type="paragraph" w:styleId="NoSpacing">
    <w:name w:val="No Spacing"/>
    <w:uiPriority w:val="1"/>
    <w:qFormat/>
    <w:rsid w:val="00455079"/>
    <w:rPr>
      <w:rFonts w:ascii="Arial" w:eastAsiaTheme="minorHAnsi" w:hAnsi="Arial" w:cs="Arial"/>
      <w:sz w:val="22"/>
      <w:szCs w:val="22"/>
      <w:lang w:val="en-AU"/>
    </w:rPr>
  </w:style>
  <w:style w:type="paragraph" w:customStyle="1" w:styleId="EYBodytextwithparaspace">
    <w:name w:val="EY Body text (with para space)"/>
    <w:basedOn w:val="Normal"/>
    <w:uiPriority w:val="99"/>
    <w:rsid w:val="00B46641"/>
    <w:pPr>
      <w:numPr>
        <w:ilvl w:val="4"/>
        <w:numId w:val="19"/>
      </w:numPr>
      <w:outlineLvl w:val="0"/>
    </w:pPr>
    <w:rPr>
      <w:rFonts w:ascii="EYInterstate Light" w:eastAsia="Times New Roman" w:hAnsi="EYInterstate Light" w:cs="Times New Roman"/>
      <w:kern w:val="12"/>
      <w:sz w:val="20"/>
      <w:lang w:val="en-AU" w:eastAsia="en-AU"/>
    </w:rPr>
  </w:style>
  <w:style w:type="numbering" w:customStyle="1" w:styleId="ParaNumberingArial">
    <w:name w:val="ParaNumbering Arial"/>
    <w:basedOn w:val="NoList"/>
    <w:rsid w:val="00B46641"/>
    <w:pPr>
      <w:numPr>
        <w:numId w:val="19"/>
      </w:numPr>
    </w:pPr>
  </w:style>
  <w:style w:type="paragraph" w:customStyle="1" w:styleId="TableParagraph">
    <w:name w:val="Table Paragraph"/>
    <w:basedOn w:val="Normal"/>
    <w:uiPriority w:val="1"/>
    <w:qFormat/>
    <w:rsid w:val="00192BB3"/>
    <w:pPr>
      <w:widowControl w:val="0"/>
    </w:pPr>
    <w:rPr>
      <w:rFonts w:eastAsiaTheme="minorHAnsi"/>
      <w:sz w:val="22"/>
      <w:szCs w:val="22"/>
    </w:rPr>
  </w:style>
  <w:style w:type="paragraph" w:customStyle="1" w:styleId="xl64">
    <w:name w:val="xl64"/>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val="en-AU"/>
    </w:rPr>
  </w:style>
  <w:style w:type="paragraph" w:customStyle="1" w:styleId="xl65">
    <w:name w:val="xl65"/>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val="en-AU"/>
    </w:rPr>
  </w:style>
  <w:style w:type="paragraph" w:customStyle="1" w:styleId="xl66">
    <w:name w:val="xl66"/>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en-AU"/>
    </w:rPr>
  </w:style>
  <w:style w:type="paragraph" w:customStyle="1" w:styleId="xl67">
    <w:name w:val="xl67"/>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sz w:val="20"/>
      <w:szCs w:val="20"/>
      <w:lang w:val="en-AU"/>
    </w:rPr>
  </w:style>
  <w:style w:type="paragraph" w:customStyle="1" w:styleId="xl68">
    <w:name w:val="xl68"/>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b/>
      <w:bCs/>
      <w:sz w:val="20"/>
      <w:szCs w:val="20"/>
      <w:lang w:val="en-AU"/>
    </w:rPr>
  </w:style>
  <w:style w:type="paragraph" w:customStyle="1" w:styleId="xl69">
    <w:name w:val="xl69"/>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b/>
      <w:bCs/>
      <w:sz w:val="20"/>
      <w:szCs w:val="20"/>
      <w:lang w:val="en-AU"/>
    </w:rPr>
  </w:style>
  <w:style w:type="paragraph" w:customStyle="1" w:styleId="xl70">
    <w:name w:val="xl70"/>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sz w:val="20"/>
      <w:szCs w:val="20"/>
      <w:lang w:val="en-AU"/>
    </w:rPr>
  </w:style>
  <w:style w:type="paragraph" w:customStyle="1" w:styleId="xl71">
    <w:name w:val="xl71"/>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en-AU"/>
    </w:rPr>
  </w:style>
  <w:style w:type="character" w:customStyle="1" w:styleId="body1">
    <w:name w:val="body1"/>
    <w:basedOn w:val="DefaultParagraphFont"/>
    <w:uiPriority w:val="99"/>
    <w:rsid w:val="00982185"/>
    <w:rPr>
      <w:rFonts w:ascii="Verdana" w:hAnsi="Verdana" w:cs="Times New Roman"/>
      <w:color w:val="000099"/>
      <w:sz w:val="20"/>
      <w:szCs w:val="20"/>
    </w:rPr>
  </w:style>
  <w:style w:type="character" w:styleId="SubtleEmphasis">
    <w:name w:val="Subtle Emphasis"/>
    <w:basedOn w:val="DefaultParagraphFont"/>
    <w:uiPriority w:val="19"/>
    <w:qFormat/>
    <w:rsid w:val="002612A1"/>
    <w:rPr>
      <w:i/>
      <w:iCs/>
      <w:color w:val="808080" w:themeColor="text1" w:themeTint="7F"/>
    </w:rPr>
  </w:style>
  <w:style w:type="paragraph" w:styleId="Revision">
    <w:name w:val="Revision"/>
    <w:hidden/>
    <w:uiPriority w:val="99"/>
    <w:semiHidden/>
    <w:rsid w:val="00B269DB"/>
  </w:style>
  <w:style w:type="character" w:customStyle="1" w:styleId="Heading1Char1">
    <w:name w:val="Heading 1 Char1"/>
    <w:aliases w:val="h1 Char1,H1 Char1,h1 chapter heading Char1,A MAJOR/BOLD Char1,Section Heading Char1,Para1 Char1,1m Char1,Level 1 Head Char1,Heading 1.1 Char1"/>
    <w:basedOn w:val="DefaultParagraphFont"/>
    <w:rsid w:val="006C44B6"/>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h2 Char2,h2 main heading Char2,B Sub/Bold Char2,Activity Char2,A.B.C. Char2,Level I for #'s Char1,hoofd 2 Char1,Heading2-bio Char1,Career Exp. Char1,Heading 2 main heading Char2,H2 Char2,Heading 2 main heading Char Char1,h2 Char Char"/>
    <w:basedOn w:val="DefaultParagraphFont"/>
    <w:uiPriority w:val="9"/>
    <w:semiHidden/>
    <w:rsid w:val="006C44B6"/>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Activity head Char1,h3 Char1,Mi Char1,H3 Char1,h3 sub heading Char1,C Sub-Sub/Italic Char1,Level 1 - 2 Char1,Level 1 - 1 Char1,Normal Numbered Char1,VS3 Char1,Para3 Char1,Head 3 Char1,Head 31 Char1,Head 32 Char1,C Sub-Sub/Italic1 Char1"/>
    <w:basedOn w:val="DefaultParagraphFont"/>
    <w:uiPriority w:val="9"/>
    <w:semiHidden/>
    <w:rsid w:val="006C44B6"/>
    <w:rPr>
      <w:rFonts w:asciiTheme="majorHAnsi" w:eastAsiaTheme="majorEastAsia" w:hAnsiTheme="majorHAnsi" w:cstheme="majorBidi"/>
      <w:b/>
      <w:bCs/>
      <w:color w:val="4F81BD" w:themeColor="accent1"/>
      <w:sz w:val="24"/>
      <w:szCs w:val="24"/>
      <w:lang w:val="en-US"/>
    </w:rPr>
  </w:style>
  <w:style w:type="character" w:customStyle="1" w:styleId="Heading4Char2">
    <w:name w:val="Heading 4 Char2"/>
    <w:aliases w:val="Heading 4 Char Char Char2,Heading 4 Char Char Char Char Char2,h4 sub sub heading Char1,h4 Char1,Te Char1,D Sub-Sub/Plain Char1,heading 4 Char1,Heading 4 Char Char Char Char Char Char1,heading 4 Char Char Char Char1,Heading 4 Char1 Char1"/>
    <w:basedOn w:val="DefaultParagraphFont"/>
    <w:uiPriority w:val="9"/>
    <w:semiHidden/>
    <w:rsid w:val="006C44B6"/>
    <w:rPr>
      <w:rFonts w:asciiTheme="majorHAnsi" w:eastAsiaTheme="majorEastAsia" w:hAnsiTheme="majorHAnsi" w:cstheme="majorBidi"/>
      <w:b/>
      <w:bCs/>
      <w:i/>
      <w:iCs/>
      <w:color w:val="4F81BD" w:themeColor="accent1"/>
      <w:sz w:val="24"/>
      <w:szCs w:val="24"/>
      <w:lang w:val="en-US"/>
    </w:rPr>
  </w:style>
  <w:style w:type="character" w:customStyle="1" w:styleId="FootnoteTextChar1">
    <w:name w:val="Footnote Text Char1"/>
    <w:aliases w:val="ACMA Footnote Text Char1,Footnote Text Char1 Char Char1,Footnote Text Char Char Char Char1,Footnote Text Char Char Char Char Char Char Char Char Char Char Char Char1,Footnote Text Char Char Char Char Char Char Char Char Char1"/>
    <w:basedOn w:val="DefaultParagraphFont"/>
    <w:semiHidden/>
    <w:rsid w:val="006C44B6"/>
    <w:rPr>
      <w:sz w:val="20"/>
      <w:szCs w:val="20"/>
    </w:rPr>
  </w:style>
  <w:style w:type="paragraph" w:styleId="TOCHeading">
    <w:name w:val="TOC Heading"/>
    <w:basedOn w:val="Heading1"/>
    <w:next w:val="Normal"/>
    <w:uiPriority w:val="39"/>
    <w:semiHidden/>
    <w:unhideWhenUsed/>
    <w:qFormat/>
    <w:rsid w:val="006C44B6"/>
    <w:pPr>
      <w:spacing w:line="276" w:lineRule="auto"/>
      <w:outlineLvl w:val="9"/>
    </w:pPr>
    <w:rPr>
      <w:color w:val="365F91" w:themeColor="accent1" w:themeShade="BF"/>
      <w:sz w:val="28"/>
      <w:szCs w:val="28"/>
      <w:lang w:eastAsia="ja-JP"/>
    </w:rPr>
  </w:style>
  <w:style w:type="character" w:styleId="IntenseReference">
    <w:name w:val="Intense Reference"/>
    <w:basedOn w:val="DefaultParagraphFont"/>
    <w:uiPriority w:val="32"/>
    <w:qFormat/>
    <w:rsid w:val="00371D16"/>
    <w:rPr>
      <w:b/>
      <w:bCs/>
      <w:i/>
      <w:smallCaps/>
      <w:color w:val="C0504D" w:themeColor="accent2"/>
      <w:spacing w:val="5"/>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2F"/>
  </w:style>
  <w:style w:type="paragraph" w:styleId="Heading1">
    <w:name w:val="heading 1"/>
    <w:aliases w:val="h1,H1,h1 chapter heading,A MAJOR/BOLD,Section Heading,Para1,1m,Level 1 Head,Heading 1.1"/>
    <w:basedOn w:val="Normal"/>
    <w:next w:val="Normal"/>
    <w:link w:val="Heading1Char"/>
    <w:qFormat/>
    <w:rsid w:val="00287791"/>
    <w:pPr>
      <w:numPr>
        <w:numId w:val="49"/>
      </w:numPr>
      <w:spacing w:before="240" w:after="360"/>
      <w:outlineLvl w:val="0"/>
    </w:pPr>
    <w:rPr>
      <w:rFonts w:ascii="Arial" w:eastAsiaTheme="majorEastAsia" w:hAnsi="Arial" w:cs="Arial"/>
      <w:b/>
      <w:bCs/>
      <w:color w:val="548DD4" w:themeColor="text2" w:themeTint="99"/>
      <w:sz w:val="32"/>
      <w:szCs w:val="32"/>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2"/>
    <w:basedOn w:val="Normal"/>
    <w:next w:val="Normal"/>
    <w:link w:val="Heading2Char"/>
    <w:uiPriority w:val="9"/>
    <w:unhideWhenUsed/>
    <w:qFormat/>
    <w:rsid w:val="00314A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uiPriority w:val="9"/>
    <w:unhideWhenUsed/>
    <w:qFormat/>
    <w:rsid w:val="00DB01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4 sub sub heading,h4,Te,D Sub-Sub/Plain,heading 4,Heading 4 Char Char Char Char Char,heading 4 Char Char Char,Heading 4 Char1 Char,Heading 4 Char Char Char,Heading 4 Char1,h4 Ch"/>
    <w:basedOn w:val="Normal"/>
    <w:next w:val="Normal"/>
    <w:link w:val="Heading4Char"/>
    <w:uiPriority w:val="9"/>
    <w:unhideWhenUsed/>
    <w:qFormat/>
    <w:rsid w:val="00CA720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54B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D559A"/>
    <w:pPr>
      <w:spacing w:before="120" w:after="120"/>
      <w:jc w:val="both"/>
      <w:outlineLvl w:val="5"/>
    </w:pPr>
    <w:rPr>
      <w:rFonts w:ascii="Century Gothic" w:eastAsia="Times New Roman" w:hAnsi="Century Gothic" w:cs="Times New Roman"/>
      <w:b/>
      <w:bCs/>
      <w:i/>
      <w:spacing w:val="20"/>
      <w:sz w:val="19"/>
      <w:szCs w:val="19"/>
      <w:lang w:val="en-AU"/>
    </w:rPr>
  </w:style>
  <w:style w:type="paragraph" w:styleId="Heading7">
    <w:name w:val="heading 7"/>
    <w:basedOn w:val="Normal"/>
    <w:next w:val="Normal"/>
    <w:link w:val="Heading7Char"/>
    <w:uiPriority w:val="99"/>
    <w:qFormat/>
    <w:rsid w:val="004D559A"/>
    <w:pPr>
      <w:spacing w:before="240" w:after="60"/>
      <w:jc w:val="both"/>
      <w:outlineLvl w:val="6"/>
    </w:pPr>
    <w:rPr>
      <w:rFonts w:ascii="Century Gothic" w:eastAsia="Times New Roman" w:hAnsi="Century Gothic" w:cs="Times New Roman"/>
      <w:sz w:val="19"/>
      <w:lang w:val="en-AU"/>
    </w:rPr>
  </w:style>
  <w:style w:type="paragraph" w:styleId="Heading8">
    <w:name w:val="heading 8"/>
    <w:basedOn w:val="Normal"/>
    <w:next w:val="Normal"/>
    <w:link w:val="Heading8Char"/>
    <w:uiPriority w:val="99"/>
    <w:qFormat/>
    <w:rsid w:val="004D559A"/>
    <w:pPr>
      <w:spacing w:before="240" w:after="60"/>
      <w:jc w:val="both"/>
      <w:outlineLvl w:val="7"/>
    </w:pPr>
    <w:rPr>
      <w:rFonts w:ascii="Century Gothic" w:eastAsia="Times New Roman" w:hAnsi="Century Gothic" w:cs="Times New Roman"/>
      <w:iCs/>
      <w:sz w:val="19"/>
      <w:lang w:val="en-AU"/>
    </w:rPr>
  </w:style>
  <w:style w:type="paragraph" w:styleId="Heading9">
    <w:name w:val="heading 9"/>
    <w:basedOn w:val="Normal"/>
    <w:next w:val="Normal"/>
    <w:link w:val="Heading9Char"/>
    <w:uiPriority w:val="99"/>
    <w:qFormat/>
    <w:rsid w:val="004D559A"/>
    <w:pPr>
      <w:spacing w:before="240" w:after="60"/>
      <w:jc w:val="both"/>
      <w:outlineLvl w:val="8"/>
    </w:pPr>
    <w:rPr>
      <w:rFonts w:ascii="Century Gothic" w:eastAsia="Times New Roman" w:hAnsi="Century Gothic" w:cs="Arial"/>
      <w:sz w:val="19"/>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rsid w:val="00287791"/>
    <w:rPr>
      <w:rFonts w:ascii="Arial" w:eastAsiaTheme="majorEastAsia" w:hAnsi="Arial" w:cs="Arial"/>
      <w:b/>
      <w:bCs/>
      <w:color w:val="548DD4" w:themeColor="text2" w:themeTint="99"/>
      <w:sz w:val="32"/>
      <w:szCs w:val="32"/>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9"/>
    <w:rsid w:val="00314A5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uiPriority w:val="9"/>
    <w:rsid w:val="00DB01DC"/>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1,Heading 4 Char Char Char Char Char1,h4 sub sub heading Char,h4 Char,Te Char,D Sub-Sub/Plain Char,heading 4 Char,Heading 4 Char Char Char Char Char Char,heading 4 Char Char Char Char,Heading 4 Char1 Char Char"/>
    <w:basedOn w:val="DefaultParagraphFont"/>
    <w:link w:val="Heading4"/>
    <w:uiPriority w:val="9"/>
    <w:rsid w:val="00CA72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54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D559A"/>
    <w:rPr>
      <w:rFonts w:ascii="Century Gothic" w:eastAsia="Times New Roman" w:hAnsi="Century Gothic" w:cs="Times New Roman"/>
      <w:b/>
      <w:bCs/>
      <w:i/>
      <w:spacing w:val="20"/>
      <w:sz w:val="19"/>
      <w:szCs w:val="19"/>
      <w:lang w:val="en-AU"/>
    </w:rPr>
  </w:style>
  <w:style w:type="character" w:customStyle="1" w:styleId="Heading7Char">
    <w:name w:val="Heading 7 Char"/>
    <w:basedOn w:val="DefaultParagraphFont"/>
    <w:link w:val="Heading7"/>
    <w:uiPriority w:val="99"/>
    <w:rsid w:val="004D559A"/>
    <w:rPr>
      <w:rFonts w:ascii="Century Gothic" w:eastAsia="Times New Roman" w:hAnsi="Century Gothic" w:cs="Times New Roman"/>
      <w:sz w:val="19"/>
      <w:lang w:val="en-AU"/>
    </w:rPr>
  </w:style>
  <w:style w:type="character" w:customStyle="1" w:styleId="Heading8Char">
    <w:name w:val="Heading 8 Char"/>
    <w:basedOn w:val="DefaultParagraphFont"/>
    <w:link w:val="Heading8"/>
    <w:uiPriority w:val="99"/>
    <w:rsid w:val="004D559A"/>
    <w:rPr>
      <w:rFonts w:ascii="Century Gothic" w:eastAsia="Times New Roman" w:hAnsi="Century Gothic" w:cs="Times New Roman"/>
      <w:iCs/>
      <w:sz w:val="19"/>
      <w:lang w:val="en-AU"/>
    </w:rPr>
  </w:style>
  <w:style w:type="character" w:customStyle="1" w:styleId="Heading9Char">
    <w:name w:val="Heading 9 Char"/>
    <w:basedOn w:val="DefaultParagraphFont"/>
    <w:link w:val="Heading9"/>
    <w:uiPriority w:val="99"/>
    <w:rsid w:val="004D559A"/>
    <w:rPr>
      <w:rFonts w:ascii="Century Gothic" w:eastAsia="Times New Roman" w:hAnsi="Century Gothic" w:cs="Arial"/>
      <w:sz w:val="19"/>
      <w:szCs w:val="22"/>
      <w:lang w:val="en-AU"/>
    </w:rPr>
  </w:style>
  <w:style w:type="paragraph" w:styleId="TOC1">
    <w:name w:val="toc 1"/>
    <w:basedOn w:val="Normal"/>
    <w:next w:val="Normal"/>
    <w:autoRedefine/>
    <w:uiPriority w:val="39"/>
    <w:unhideWhenUsed/>
    <w:rsid w:val="000D6352"/>
    <w:pPr>
      <w:spacing w:before="120" w:line="276" w:lineRule="auto"/>
    </w:pPr>
    <w:rPr>
      <w:rFonts w:cstheme="minorHAnsi"/>
      <w:b/>
      <w:bCs/>
      <w:i/>
      <w:iCs/>
      <w:lang w:val="en-AU" w:eastAsia="zh-TW"/>
    </w:rPr>
  </w:style>
  <w:style w:type="paragraph" w:styleId="TOC2">
    <w:name w:val="toc 2"/>
    <w:basedOn w:val="Normal"/>
    <w:next w:val="Normal"/>
    <w:autoRedefine/>
    <w:uiPriority w:val="39"/>
    <w:unhideWhenUsed/>
    <w:rsid w:val="000D6352"/>
    <w:pPr>
      <w:spacing w:before="120" w:line="276" w:lineRule="auto"/>
      <w:ind w:left="200"/>
    </w:pPr>
    <w:rPr>
      <w:rFonts w:cstheme="minorHAnsi"/>
      <w:b/>
      <w:bCs/>
      <w:sz w:val="22"/>
      <w:szCs w:val="22"/>
      <w:lang w:val="en-AU" w:eastAsia="zh-TW"/>
    </w:rPr>
  </w:style>
  <w:style w:type="character" w:styleId="Hyperlink">
    <w:name w:val="Hyperlink"/>
    <w:uiPriority w:val="99"/>
    <w:rsid w:val="00A06293"/>
    <w:rPr>
      <w:color w:val="0000FF"/>
      <w:u w:val="single"/>
    </w:rPr>
  </w:style>
  <w:style w:type="paragraph" w:styleId="ListParagraph">
    <w:name w:val="List Paragraph"/>
    <w:basedOn w:val="Normal"/>
    <w:link w:val="ListParagraphChar"/>
    <w:uiPriority w:val="34"/>
    <w:qFormat/>
    <w:rsid w:val="00F26AD6"/>
    <w:pPr>
      <w:ind w:left="720"/>
      <w:contextualSpacing/>
    </w:pPr>
  </w:style>
  <w:style w:type="paragraph" w:styleId="BalloonText">
    <w:name w:val="Balloon Text"/>
    <w:basedOn w:val="Normal"/>
    <w:link w:val="BalloonTextChar"/>
    <w:uiPriority w:val="99"/>
    <w:unhideWhenUsed/>
    <w:rsid w:val="00C71EA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71EA5"/>
    <w:rPr>
      <w:rFonts w:ascii="Lucida Grande" w:hAnsi="Lucida Grande" w:cs="Lucida Grande"/>
      <w:sz w:val="18"/>
      <w:szCs w:val="18"/>
    </w:rPr>
  </w:style>
  <w:style w:type="paragraph" w:styleId="FootnoteText">
    <w:name w:val="footnote text"/>
    <w:aliases w:val="ACMA Footnote Text,Footnote Text Char1 Char,Footnote Text Char Char Char,Footnote Text Char Char Char Char Char Char Char Char Char Char Char,Footnote Text Char Char Char Char Char Char Char Char,Footnote Text Char2 Char"/>
    <w:basedOn w:val="Normal"/>
    <w:link w:val="FootnoteTextChar"/>
    <w:unhideWhenUsed/>
    <w:rsid w:val="00973631"/>
  </w:style>
  <w:style w:type="character" w:customStyle="1" w:styleId="FootnoteTextChar">
    <w:name w:val="Footnote Text Char"/>
    <w:aliases w:val="ACMA Footnote Text Char,Footnote Text Char1 Char Char,Footnote Text Char Char Char Char,Footnote Text Char Char Char Char Char Char Char Char Char Char Char Char,Footnote Text Char Char Char Char Char Char Char Char Char"/>
    <w:basedOn w:val="DefaultParagraphFont"/>
    <w:link w:val="FootnoteText"/>
    <w:rsid w:val="00973631"/>
  </w:style>
  <w:style w:type="character" w:styleId="FootnoteReference">
    <w:name w:val="footnote reference"/>
    <w:basedOn w:val="DefaultParagraphFont"/>
    <w:unhideWhenUsed/>
    <w:rsid w:val="00973631"/>
    <w:rPr>
      <w:vertAlign w:val="superscript"/>
    </w:rPr>
  </w:style>
  <w:style w:type="paragraph" w:styleId="Header">
    <w:name w:val="header"/>
    <w:basedOn w:val="Normal"/>
    <w:link w:val="HeaderChar"/>
    <w:uiPriority w:val="99"/>
    <w:unhideWhenUsed/>
    <w:rsid w:val="00434E40"/>
    <w:pPr>
      <w:tabs>
        <w:tab w:val="center" w:pos="4320"/>
        <w:tab w:val="right" w:pos="8640"/>
      </w:tabs>
    </w:pPr>
  </w:style>
  <w:style w:type="character" w:customStyle="1" w:styleId="HeaderChar">
    <w:name w:val="Header Char"/>
    <w:basedOn w:val="DefaultParagraphFont"/>
    <w:link w:val="Header"/>
    <w:uiPriority w:val="99"/>
    <w:rsid w:val="00434E40"/>
  </w:style>
  <w:style w:type="paragraph" w:styleId="Footer">
    <w:name w:val="footer"/>
    <w:basedOn w:val="Normal"/>
    <w:link w:val="FooterChar"/>
    <w:uiPriority w:val="99"/>
    <w:unhideWhenUsed/>
    <w:rsid w:val="00434E40"/>
    <w:pPr>
      <w:tabs>
        <w:tab w:val="center" w:pos="4320"/>
        <w:tab w:val="right" w:pos="8640"/>
      </w:tabs>
    </w:pPr>
  </w:style>
  <w:style w:type="character" w:customStyle="1" w:styleId="FooterChar">
    <w:name w:val="Footer Char"/>
    <w:basedOn w:val="DefaultParagraphFont"/>
    <w:link w:val="Footer"/>
    <w:uiPriority w:val="99"/>
    <w:rsid w:val="00434E40"/>
  </w:style>
  <w:style w:type="character" w:styleId="PageNumber">
    <w:name w:val="page number"/>
    <w:basedOn w:val="DefaultParagraphFont"/>
    <w:unhideWhenUsed/>
    <w:qFormat/>
    <w:rsid w:val="00434E40"/>
  </w:style>
  <w:style w:type="table" w:styleId="LightShading-Accent1">
    <w:name w:val="Light Shading Accent 1"/>
    <w:basedOn w:val="TableNormal"/>
    <w:uiPriority w:val="60"/>
    <w:rsid w:val="00434E4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2447"/>
    <w:pPr>
      <w:keepLines/>
      <w:spacing w:before="100" w:beforeAutospacing="1" w:after="100" w:afterAutospacing="1"/>
      <w:outlineLvl w:val="0"/>
    </w:pPr>
    <w:rPr>
      <w:rFonts w:ascii="Arial Unicode MS" w:eastAsia="Arial Unicode MS" w:hAnsi="Arial Unicode MS" w:cs="Arial Unicode MS" w:hint="eastAsia"/>
      <w:color w:val="000000"/>
      <w:sz w:val="20"/>
      <w:lang w:val="en-AU"/>
    </w:rPr>
  </w:style>
  <w:style w:type="table" w:styleId="TableGrid">
    <w:name w:val="Table Grid"/>
    <w:aliases w:val="CV,none"/>
    <w:basedOn w:val="TableNormal"/>
    <w:uiPriority w:val="39"/>
    <w:rsid w:val="00F63D84"/>
    <w:rPr>
      <w:rFonts w:ascii="EYInterstate" w:eastAsia="Times New Roman" w:hAnsi="EYInterstat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edText1">
    <w:name w:val="EY Bulleted Text 1"/>
    <w:basedOn w:val="Normal"/>
    <w:uiPriority w:val="99"/>
    <w:rsid w:val="00F63D84"/>
    <w:pPr>
      <w:numPr>
        <w:numId w:val="1"/>
      </w:numPr>
      <w:spacing w:after="240"/>
      <w:outlineLvl w:val="0"/>
    </w:pPr>
    <w:rPr>
      <w:rFonts w:ascii="EYInterstate Light" w:eastAsia="Times New Roman" w:hAnsi="EYInterstate Light" w:cs="Times New Roman"/>
      <w:kern w:val="12"/>
      <w:sz w:val="20"/>
      <w:lang w:val="en-AU"/>
    </w:rPr>
  </w:style>
  <w:style w:type="paragraph" w:customStyle="1" w:styleId="EYBulletedText2">
    <w:name w:val="EY Bulleted Text 2"/>
    <w:basedOn w:val="Normal"/>
    <w:uiPriority w:val="99"/>
    <w:rsid w:val="00F63D84"/>
    <w:pPr>
      <w:numPr>
        <w:ilvl w:val="1"/>
        <w:numId w:val="1"/>
      </w:numPr>
      <w:spacing w:after="240"/>
      <w:outlineLvl w:val="0"/>
    </w:pPr>
    <w:rPr>
      <w:rFonts w:ascii="EYInterstate Light" w:eastAsia="Times New Roman" w:hAnsi="EYInterstate Light" w:cs="Times New Roman"/>
      <w:kern w:val="12"/>
      <w:sz w:val="20"/>
      <w:lang w:val="en-AU"/>
    </w:rPr>
  </w:style>
  <w:style w:type="paragraph" w:customStyle="1" w:styleId="EYBulletedText3">
    <w:name w:val="EY Bulleted Text 3"/>
    <w:basedOn w:val="EYBulletedText1"/>
    <w:uiPriority w:val="99"/>
    <w:rsid w:val="00F63D84"/>
    <w:pPr>
      <w:numPr>
        <w:ilvl w:val="2"/>
      </w:numPr>
    </w:pPr>
  </w:style>
  <w:style w:type="paragraph" w:customStyle="1" w:styleId="EYBulletedList1">
    <w:name w:val="EY Bulleted List 1"/>
    <w:basedOn w:val="EYBulletedText1"/>
    <w:uiPriority w:val="99"/>
    <w:rsid w:val="00F83EC5"/>
    <w:pPr>
      <w:numPr>
        <w:numId w:val="2"/>
      </w:numPr>
      <w:spacing w:after="0"/>
    </w:pPr>
  </w:style>
  <w:style w:type="paragraph" w:customStyle="1" w:styleId="EYBulletedList2">
    <w:name w:val="EY Bulleted List 2"/>
    <w:basedOn w:val="EYBulletedText2"/>
    <w:uiPriority w:val="99"/>
    <w:rsid w:val="00F83EC5"/>
    <w:pPr>
      <w:numPr>
        <w:numId w:val="2"/>
      </w:numPr>
      <w:spacing w:after="0"/>
    </w:pPr>
  </w:style>
  <w:style w:type="paragraph" w:customStyle="1" w:styleId="EYBulletedList3">
    <w:name w:val="EY Bulleted List 3"/>
    <w:basedOn w:val="EYBulletedText3"/>
    <w:uiPriority w:val="99"/>
    <w:rsid w:val="00F83EC5"/>
    <w:pPr>
      <w:numPr>
        <w:numId w:val="2"/>
      </w:numPr>
      <w:spacing w:after="0"/>
    </w:pPr>
  </w:style>
  <w:style w:type="character" w:styleId="Strong">
    <w:name w:val="Strong"/>
    <w:basedOn w:val="DefaultParagraphFont"/>
    <w:uiPriority w:val="22"/>
    <w:qFormat/>
    <w:rsid w:val="00F83EC5"/>
    <w:rPr>
      <w:b/>
      <w:bCs/>
    </w:rPr>
  </w:style>
  <w:style w:type="paragraph" w:customStyle="1" w:styleId="Bullet">
    <w:name w:val="Bullet"/>
    <w:basedOn w:val="Normal"/>
    <w:link w:val="BulletChar"/>
    <w:uiPriority w:val="99"/>
    <w:qFormat/>
    <w:rsid w:val="00CA7200"/>
    <w:pPr>
      <w:numPr>
        <w:numId w:val="3"/>
      </w:numPr>
      <w:spacing w:before="60" w:after="60"/>
      <w:jc w:val="both"/>
    </w:pPr>
    <w:rPr>
      <w:rFonts w:ascii="Garamond" w:eastAsia="Times New Roman" w:hAnsi="Garamond" w:cs="Times New Roman"/>
      <w:sz w:val="22"/>
      <w:szCs w:val="19"/>
      <w:lang w:val="en-AU"/>
    </w:rPr>
  </w:style>
  <w:style w:type="character" w:customStyle="1" w:styleId="BulletChar">
    <w:name w:val="Bullet Char"/>
    <w:basedOn w:val="DefaultParagraphFont"/>
    <w:link w:val="Bullet"/>
    <w:uiPriority w:val="99"/>
    <w:rsid w:val="00CA7200"/>
    <w:rPr>
      <w:rFonts w:ascii="Garamond" w:eastAsia="Times New Roman" w:hAnsi="Garamond" w:cs="Times New Roman"/>
      <w:sz w:val="22"/>
      <w:szCs w:val="19"/>
      <w:lang w:val="en-AU"/>
    </w:rPr>
  </w:style>
  <w:style w:type="paragraph" w:styleId="BodyText">
    <w:name w:val="Body Text"/>
    <w:basedOn w:val="Normal"/>
    <w:link w:val="BodyTextChar"/>
    <w:uiPriority w:val="99"/>
    <w:rsid w:val="00CA7200"/>
    <w:pPr>
      <w:spacing w:after="240" w:line="240" w:lineRule="exact"/>
    </w:pPr>
    <w:rPr>
      <w:rFonts w:ascii="Times New Roman" w:eastAsia="Times New Roman" w:hAnsi="Times New Roman" w:cs="Times New Roman"/>
      <w:sz w:val="20"/>
      <w:lang w:val="en-AU"/>
    </w:rPr>
  </w:style>
  <w:style w:type="character" w:customStyle="1" w:styleId="BodyTextChar">
    <w:name w:val="Body Text Char"/>
    <w:basedOn w:val="DefaultParagraphFont"/>
    <w:link w:val="BodyText"/>
    <w:uiPriority w:val="99"/>
    <w:rsid w:val="00CA7200"/>
    <w:rPr>
      <w:rFonts w:ascii="Times New Roman" w:eastAsia="Times New Roman" w:hAnsi="Times New Roman" w:cs="Times New Roman"/>
      <w:sz w:val="20"/>
      <w:lang w:val="en-AU"/>
    </w:rPr>
  </w:style>
  <w:style w:type="paragraph" w:customStyle="1" w:styleId="FigureCaption">
    <w:name w:val="Figure Caption"/>
    <w:basedOn w:val="Normal"/>
    <w:next w:val="Normal"/>
    <w:link w:val="FigureCaptionChar"/>
    <w:rsid w:val="006D77B5"/>
    <w:pPr>
      <w:keepNext/>
      <w:spacing w:before="240" w:after="240"/>
      <w:jc w:val="center"/>
    </w:pPr>
    <w:rPr>
      <w:rFonts w:ascii="Garamond" w:eastAsia="Times New Roman" w:hAnsi="Garamond" w:cs="Times New Roman"/>
      <w:b/>
      <w:sz w:val="22"/>
      <w:szCs w:val="20"/>
      <w:lang w:val="en-AU"/>
    </w:rPr>
  </w:style>
  <w:style w:type="character" w:customStyle="1" w:styleId="FigureCaptionChar">
    <w:name w:val="Figure Caption Char"/>
    <w:basedOn w:val="DefaultParagraphFont"/>
    <w:link w:val="FigureCaption"/>
    <w:rsid w:val="006D77B5"/>
    <w:rPr>
      <w:rFonts w:ascii="Garamond" w:eastAsia="Times New Roman" w:hAnsi="Garamond" w:cs="Times New Roman"/>
      <w:b/>
      <w:sz w:val="22"/>
      <w:szCs w:val="20"/>
      <w:lang w:val="en-AU"/>
    </w:rPr>
  </w:style>
  <w:style w:type="character" w:styleId="CommentReference">
    <w:name w:val="annotation reference"/>
    <w:basedOn w:val="DefaultParagraphFont"/>
    <w:uiPriority w:val="99"/>
    <w:semiHidden/>
    <w:unhideWhenUsed/>
    <w:rsid w:val="005D65BB"/>
    <w:rPr>
      <w:sz w:val="18"/>
      <w:szCs w:val="18"/>
    </w:rPr>
  </w:style>
  <w:style w:type="paragraph" w:styleId="CommentText">
    <w:name w:val="annotation text"/>
    <w:basedOn w:val="Normal"/>
    <w:link w:val="CommentTextChar"/>
    <w:uiPriority w:val="99"/>
    <w:unhideWhenUsed/>
    <w:rsid w:val="005D65BB"/>
  </w:style>
  <w:style w:type="character" w:customStyle="1" w:styleId="CommentTextChar">
    <w:name w:val="Comment Text Char"/>
    <w:basedOn w:val="DefaultParagraphFont"/>
    <w:link w:val="CommentText"/>
    <w:uiPriority w:val="99"/>
    <w:semiHidden/>
    <w:rsid w:val="005D65BB"/>
  </w:style>
  <w:style w:type="paragraph" w:styleId="CommentSubject">
    <w:name w:val="annotation subject"/>
    <w:basedOn w:val="CommentText"/>
    <w:next w:val="CommentText"/>
    <w:link w:val="CommentSubjectChar"/>
    <w:uiPriority w:val="99"/>
    <w:semiHidden/>
    <w:unhideWhenUsed/>
    <w:rsid w:val="005D65BB"/>
    <w:rPr>
      <w:b/>
      <w:bCs/>
      <w:sz w:val="20"/>
      <w:szCs w:val="20"/>
    </w:rPr>
  </w:style>
  <w:style w:type="character" w:customStyle="1" w:styleId="CommentSubjectChar">
    <w:name w:val="Comment Subject Char"/>
    <w:basedOn w:val="CommentTextChar"/>
    <w:link w:val="CommentSubject"/>
    <w:uiPriority w:val="99"/>
    <w:semiHidden/>
    <w:rsid w:val="005D65BB"/>
    <w:rPr>
      <w:b/>
      <w:bCs/>
      <w:sz w:val="20"/>
      <w:szCs w:val="20"/>
    </w:rPr>
  </w:style>
  <w:style w:type="paragraph" w:styleId="Subtitle">
    <w:name w:val="Subtitle"/>
    <w:basedOn w:val="Normal"/>
    <w:next w:val="Normal"/>
    <w:link w:val="SubtitleChar"/>
    <w:uiPriority w:val="11"/>
    <w:qFormat/>
    <w:rsid w:val="00506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6B6D"/>
    <w:rPr>
      <w:rFonts w:asciiTheme="majorHAnsi" w:eastAsiaTheme="majorEastAsia" w:hAnsiTheme="majorHAnsi" w:cstheme="majorBidi"/>
      <w:i/>
      <w:iCs/>
      <w:color w:val="4F81BD" w:themeColor="accent1"/>
      <w:spacing w:val="15"/>
    </w:rPr>
  </w:style>
  <w:style w:type="paragraph" w:customStyle="1" w:styleId="Default">
    <w:name w:val="Default"/>
    <w:uiPriority w:val="99"/>
    <w:rsid w:val="00A601D7"/>
    <w:pPr>
      <w:autoSpaceDE w:val="0"/>
      <w:autoSpaceDN w:val="0"/>
      <w:adjustRightInd w:val="0"/>
    </w:pPr>
    <w:rPr>
      <w:rFonts w:ascii="Arial" w:eastAsia="Times New Roman" w:hAnsi="Arial" w:cs="Arial"/>
      <w:color w:val="000000"/>
      <w:lang w:val="en-AU" w:eastAsia="en-AU"/>
    </w:rPr>
  </w:style>
  <w:style w:type="paragraph" w:styleId="Title">
    <w:name w:val="Title"/>
    <w:basedOn w:val="Normal"/>
    <w:link w:val="TitleChar"/>
    <w:uiPriority w:val="10"/>
    <w:qFormat/>
    <w:rsid w:val="002F01A3"/>
    <w:pPr>
      <w:spacing w:after="200" w:line="276" w:lineRule="auto"/>
    </w:pPr>
    <w:rPr>
      <w:rFonts w:ascii="Century Schoolbook" w:eastAsia="Century Schoolbook" w:hAnsi="Century Schoolbook" w:cs="Century Schoolbook"/>
      <w:smallCaps/>
      <w:color w:val="FE8637"/>
      <w:spacing w:val="10"/>
      <w:sz w:val="48"/>
      <w:szCs w:val="48"/>
      <w:lang w:eastAsia="ja-JP"/>
    </w:rPr>
  </w:style>
  <w:style w:type="character" w:customStyle="1" w:styleId="TitleChar">
    <w:name w:val="Title Char"/>
    <w:basedOn w:val="DefaultParagraphFont"/>
    <w:link w:val="Title"/>
    <w:uiPriority w:val="10"/>
    <w:rsid w:val="002F01A3"/>
    <w:rPr>
      <w:rFonts w:ascii="Century Schoolbook" w:eastAsia="Century Schoolbook" w:hAnsi="Century Schoolbook" w:cs="Century Schoolbook"/>
      <w:smallCaps/>
      <w:color w:val="FE8637"/>
      <w:spacing w:val="10"/>
      <w:sz w:val="48"/>
      <w:szCs w:val="48"/>
      <w:lang w:eastAsia="ja-JP"/>
    </w:rPr>
  </w:style>
  <w:style w:type="paragraph" w:customStyle="1" w:styleId="ExecSum">
    <w:name w:val="Exec Sum #"/>
    <w:basedOn w:val="Heading1"/>
    <w:uiPriority w:val="99"/>
    <w:rsid w:val="00B9040D"/>
    <w:pPr>
      <w:pageBreakBefore/>
      <w:numPr>
        <w:numId w:val="4"/>
      </w:numPr>
      <w:shd w:val="clear" w:color="auto" w:fill="365F91"/>
      <w:spacing w:line="1000" w:lineRule="exact"/>
      <w:jc w:val="center"/>
    </w:pPr>
    <w:rPr>
      <w:rFonts w:ascii="Times New Roman" w:eastAsia="Times New Roman" w:hAnsi="Times New Roman"/>
      <w:color w:val="FFFFFF"/>
      <w:kern w:val="32"/>
      <w:sz w:val="96"/>
      <w:szCs w:val="96"/>
      <w:lang w:val="en-AU"/>
    </w:rPr>
  </w:style>
  <w:style w:type="paragraph" w:customStyle="1" w:styleId="ES1">
    <w:name w:val="ES 1"/>
    <w:basedOn w:val="Heading2"/>
    <w:next w:val="Normal"/>
    <w:uiPriority w:val="99"/>
    <w:rsid w:val="00B9040D"/>
    <w:pPr>
      <w:keepLines w:val="0"/>
      <w:spacing w:before="240" w:after="120"/>
      <w:ind w:left="7938"/>
      <w:jc w:val="both"/>
    </w:pPr>
    <w:rPr>
      <w:rFonts w:ascii="Garamond" w:eastAsia="Times New Roman" w:hAnsi="Garamond" w:cs="Arial"/>
      <w:iCs/>
      <w:smallCaps/>
      <w:color w:val="auto"/>
      <w:spacing w:val="20"/>
      <w:szCs w:val="28"/>
      <w:lang w:val="en-AU"/>
    </w:rPr>
  </w:style>
  <w:style w:type="paragraph" w:customStyle="1" w:styleId="ES2">
    <w:name w:val="ES 2"/>
    <w:basedOn w:val="Heading3"/>
    <w:next w:val="Normal"/>
    <w:uiPriority w:val="99"/>
    <w:rsid w:val="00B9040D"/>
    <w:pPr>
      <w:keepLines w:val="0"/>
      <w:spacing w:before="240" w:after="60"/>
      <w:ind w:left="7938"/>
      <w:jc w:val="both"/>
    </w:pPr>
    <w:rPr>
      <w:rFonts w:ascii="Garamond" w:eastAsia="Times New Roman" w:hAnsi="Garamond" w:cs="Arial"/>
      <w:smallCaps/>
      <w:color w:val="auto"/>
      <w:spacing w:val="20"/>
      <w:sz w:val="22"/>
      <w:lang w:val="en-AU"/>
    </w:rPr>
  </w:style>
  <w:style w:type="paragraph" w:customStyle="1" w:styleId="SectionHeader">
    <w:name w:val="Section Header"/>
    <w:basedOn w:val="Normal"/>
    <w:next w:val="Normal"/>
    <w:rsid w:val="00B9040D"/>
    <w:pPr>
      <w:spacing w:before="120" w:after="600"/>
      <w:jc w:val="right"/>
    </w:pPr>
    <w:rPr>
      <w:rFonts w:ascii="Garamond" w:eastAsia="Times New Roman" w:hAnsi="Garamond" w:cs="Times New Roman"/>
      <w:b/>
      <w:smallCaps/>
      <w:color w:val="365F91"/>
      <w:spacing w:val="20"/>
      <w:sz w:val="35"/>
      <w:szCs w:val="44"/>
      <w:lang w:val="en-AU"/>
    </w:rPr>
  </w:style>
  <w:style w:type="paragraph" w:customStyle="1" w:styleId="Pa12">
    <w:name w:val="Pa1+2"/>
    <w:basedOn w:val="Normal"/>
    <w:next w:val="Normal"/>
    <w:uiPriority w:val="99"/>
    <w:rsid w:val="00B9040D"/>
    <w:pPr>
      <w:autoSpaceDE w:val="0"/>
      <w:autoSpaceDN w:val="0"/>
      <w:adjustRightInd w:val="0"/>
      <w:spacing w:line="201" w:lineRule="atLeast"/>
    </w:pPr>
    <w:rPr>
      <w:rFonts w:ascii="DIN-Light" w:eastAsia="Times New Roman" w:hAnsi="DIN-Light" w:cs="Times New Roman"/>
      <w:lang w:val="en-AU" w:eastAsia="en-AU"/>
    </w:rPr>
  </w:style>
  <w:style w:type="paragraph" w:customStyle="1" w:styleId="TableTitle">
    <w:name w:val="Table Title"/>
    <w:basedOn w:val="Normal"/>
    <w:link w:val="TableTitleChar"/>
    <w:qFormat/>
    <w:rsid w:val="00B9040D"/>
    <w:pPr>
      <w:spacing w:before="120" w:after="120"/>
      <w:jc w:val="center"/>
    </w:pPr>
    <w:rPr>
      <w:rFonts w:ascii="Garamond" w:eastAsia="Times New Roman" w:hAnsi="Garamond" w:cs="Times New Roman"/>
      <w:b/>
      <w:sz w:val="16"/>
      <w:lang w:val="en-AU"/>
    </w:rPr>
  </w:style>
  <w:style w:type="character" w:customStyle="1" w:styleId="TableTitleChar">
    <w:name w:val="Table Title Char"/>
    <w:link w:val="TableTitle"/>
    <w:rsid w:val="00B9040D"/>
    <w:rPr>
      <w:rFonts w:ascii="Garamond" w:eastAsia="Times New Roman" w:hAnsi="Garamond" w:cs="Times New Roman"/>
      <w:b/>
      <w:sz w:val="16"/>
      <w:lang w:val="en-AU"/>
    </w:rPr>
  </w:style>
  <w:style w:type="paragraph" w:customStyle="1" w:styleId="TableText">
    <w:name w:val="Table Text"/>
    <w:basedOn w:val="Normal"/>
    <w:link w:val="TableTextChar"/>
    <w:qFormat/>
    <w:rsid w:val="00B9040D"/>
    <w:pPr>
      <w:spacing w:before="60" w:after="60"/>
    </w:pPr>
    <w:rPr>
      <w:rFonts w:ascii="Garamond" w:eastAsia="Times New Roman" w:hAnsi="Garamond" w:cs="Times New Roman"/>
      <w:sz w:val="16"/>
      <w:lang w:val="en-AU"/>
    </w:rPr>
  </w:style>
  <w:style w:type="character" w:customStyle="1" w:styleId="TableTextChar">
    <w:name w:val="Table Text Char"/>
    <w:link w:val="TableText"/>
    <w:rsid w:val="00B9040D"/>
    <w:rPr>
      <w:rFonts w:ascii="Garamond" w:eastAsia="Times New Roman" w:hAnsi="Garamond" w:cs="Times New Roman"/>
      <w:sz w:val="16"/>
      <w:lang w:val="en-AU"/>
    </w:rPr>
  </w:style>
  <w:style w:type="paragraph" w:customStyle="1" w:styleId="TableCaption">
    <w:name w:val="Table Caption"/>
    <w:basedOn w:val="Normal"/>
    <w:next w:val="Normal"/>
    <w:link w:val="TableCaptionChar"/>
    <w:qFormat/>
    <w:rsid w:val="00B9040D"/>
    <w:pPr>
      <w:keepNext/>
      <w:spacing w:before="240" w:after="240"/>
      <w:jc w:val="center"/>
    </w:pPr>
    <w:rPr>
      <w:rFonts w:ascii="Garamond" w:eastAsia="Times New Roman" w:hAnsi="Garamond" w:cs="Times New Roman"/>
      <w:b/>
      <w:sz w:val="22"/>
      <w:szCs w:val="20"/>
      <w:lang w:val="en-AU"/>
    </w:rPr>
  </w:style>
  <w:style w:type="character" w:customStyle="1" w:styleId="TableCaptionChar">
    <w:name w:val="Table Caption Char"/>
    <w:link w:val="TableCaption"/>
    <w:rsid w:val="00B9040D"/>
    <w:rPr>
      <w:rFonts w:ascii="Garamond" w:eastAsia="Times New Roman" w:hAnsi="Garamond" w:cs="Times New Roman"/>
      <w:b/>
      <w:sz w:val="22"/>
      <w:szCs w:val="20"/>
      <w:lang w:val="en-AU"/>
    </w:rPr>
  </w:style>
  <w:style w:type="paragraph" w:customStyle="1" w:styleId="Body">
    <w:name w:val="Body"/>
    <w:uiPriority w:val="99"/>
    <w:rsid w:val="00B9040D"/>
    <w:pPr>
      <w:spacing w:after="300" w:line="336" w:lineRule="auto"/>
    </w:pPr>
    <w:rPr>
      <w:rFonts w:ascii="Helvetica Neue Light" w:eastAsia="ヒラギノ角ゴ Pro W3" w:hAnsi="Helvetica Neue Light" w:cs="Times New Roman"/>
      <w:color w:val="000000"/>
      <w:sz w:val="20"/>
      <w:szCs w:val="20"/>
    </w:rPr>
  </w:style>
  <w:style w:type="paragraph" w:styleId="BodyTextIndent">
    <w:name w:val="Body Text Indent"/>
    <w:basedOn w:val="Normal"/>
    <w:link w:val="BodyTextIndentChar"/>
    <w:uiPriority w:val="99"/>
    <w:unhideWhenUsed/>
    <w:rsid w:val="009B432C"/>
    <w:pPr>
      <w:spacing w:after="120"/>
      <w:ind w:left="283"/>
    </w:pPr>
  </w:style>
  <w:style w:type="character" w:customStyle="1" w:styleId="BodyTextIndentChar">
    <w:name w:val="Body Text Indent Char"/>
    <w:basedOn w:val="DefaultParagraphFont"/>
    <w:link w:val="BodyTextIndent"/>
    <w:uiPriority w:val="99"/>
    <w:rsid w:val="009B432C"/>
  </w:style>
  <w:style w:type="paragraph" w:customStyle="1" w:styleId="Normal10font">
    <w:name w:val="Normal 10 font"/>
    <w:basedOn w:val="Normal"/>
    <w:uiPriority w:val="99"/>
    <w:rsid w:val="009B432C"/>
    <w:rPr>
      <w:rFonts w:ascii="Arial" w:eastAsia="Times New Roman" w:hAnsi="Arial" w:cs="Times New Roman"/>
      <w:sz w:val="20"/>
      <w:szCs w:val="20"/>
      <w:lang w:val="en-AU"/>
    </w:rPr>
  </w:style>
  <w:style w:type="paragraph" w:styleId="BodyTextIndent3">
    <w:name w:val="Body Text Indent 3"/>
    <w:basedOn w:val="Normal"/>
    <w:link w:val="BodyTextIndent3Char"/>
    <w:uiPriority w:val="99"/>
    <w:unhideWhenUsed/>
    <w:rsid w:val="009B1728"/>
    <w:pPr>
      <w:spacing w:after="120"/>
      <w:ind w:left="283"/>
    </w:pPr>
    <w:rPr>
      <w:sz w:val="16"/>
      <w:szCs w:val="16"/>
    </w:rPr>
  </w:style>
  <w:style w:type="character" w:customStyle="1" w:styleId="BodyTextIndent3Char">
    <w:name w:val="Body Text Indent 3 Char"/>
    <w:basedOn w:val="DefaultParagraphFont"/>
    <w:link w:val="BodyTextIndent3"/>
    <w:uiPriority w:val="99"/>
    <w:rsid w:val="009B1728"/>
    <w:rPr>
      <w:sz w:val="16"/>
      <w:szCs w:val="16"/>
    </w:rPr>
  </w:style>
  <w:style w:type="paragraph" w:styleId="TOC3">
    <w:name w:val="toc 3"/>
    <w:basedOn w:val="Normal"/>
    <w:next w:val="Normal"/>
    <w:autoRedefine/>
    <w:uiPriority w:val="39"/>
    <w:unhideWhenUsed/>
    <w:rsid w:val="00785C23"/>
    <w:pPr>
      <w:spacing w:after="100"/>
      <w:ind w:left="480"/>
    </w:pPr>
  </w:style>
  <w:style w:type="paragraph" w:customStyle="1" w:styleId="NumberedList">
    <w:name w:val="Numbered List"/>
    <w:basedOn w:val="Normal"/>
    <w:link w:val="NumberedListChar"/>
    <w:uiPriority w:val="99"/>
    <w:qFormat/>
    <w:rsid w:val="00785C23"/>
    <w:pPr>
      <w:numPr>
        <w:numId w:val="5"/>
      </w:numPr>
      <w:spacing w:before="60" w:after="60"/>
      <w:jc w:val="both"/>
    </w:pPr>
    <w:rPr>
      <w:rFonts w:ascii="Garamond" w:eastAsia="Times New Roman" w:hAnsi="Garamond" w:cs="Times New Roman"/>
      <w:sz w:val="22"/>
      <w:lang w:val="en-AU"/>
    </w:rPr>
  </w:style>
  <w:style w:type="character" w:customStyle="1" w:styleId="NumberedListChar">
    <w:name w:val="Numbered List Char"/>
    <w:link w:val="NumberedList"/>
    <w:uiPriority w:val="99"/>
    <w:rsid w:val="0060347D"/>
    <w:rPr>
      <w:rFonts w:ascii="Garamond" w:eastAsia="Times New Roman" w:hAnsi="Garamond" w:cs="Times New Roman"/>
      <w:sz w:val="22"/>
      <w:lang w:val="en-AU"/>
    </w:rPr>
  </w:style>
  <w:style w:type="paragraph" w:customStyle="1" w:styleId="Contents">
    <w:name w:val="Contents #"/>
    <w:basedOn w:val="ExecSum"/>
    <w:next w:val="Contents0"/>
    <w:uiPriority w:val="99"/>
    <w:rsid w:val="00785C23"/>
    <w:pPr>
      <w:numPr>
        <w:numId w:val="0"/>
      </w:numPr>
      <w:ind w:left="7938"/>
      <w:outlineLvl w:val="9"/>
    </w:pPr>
    <w:rPr>
      <w:rFonts w:ascii="Garamond" w:hAnsi="Garamond"/>
    </w:rPr>
  </w:style>
  <w:style w:type="paragraph" w:customStyle="1" w:styleId="Contents0">
    <w:name w:val="Contents"/>
    <w:basedOn w:val="Normal"/>
    <w:next w:val="Normal"/>
    <w:uiPriority w:val="99"/>
    <w:rsid w:val="00785C23"/>
    <w:pPr>
      <w:spacing w:before="120" w:after="600"/>
      <w:jc w:val="right"/>
    </w:pPr>
    <w:rPr>
      <w:rFonts w:ascii="Garamond" w:eastAsia="Times New Roman" w:hAnsi="Garamond" w:cs="Times New Roman"/>
      <w:b/>
      <w:smallCaps/>
      <w:color w:val="365F91"/>
      <w:spacing w:val="20"/>
      <w:sz w:val="35"/>
      <w:szCs w:val="44"/>
      <w:lang w:val="en-AU"/>
    </w:rPr>
  </w:style>
  <w:style w:type="paragraph" w:styleId="BodyText3">
    <w:name w:val="Body Text 3"/>
    <w:basedOn w:val="Normal"/>
    <w:link w:val="BodyText3Char"/>
    <w:uiPriority w:val="99"/>
    <w:semiHidden/>
    <w:unhideWhenUsed/>
    <w:rsid w:val="00E95CB0"/>
    <w:pPr>
      <w:spacing w:after="120"/>
    </w:pPr>
    <w:rPr>
      <w:sz w:val="16"/>
      <w:szCs w:val="16"/>
    </w:rPr>
  </w:style>
  <w:style w:type="character" w:customStyle="1" w:styleId="BodyText3Char">
    <w:name w:val="Body Text 3 Char"/>
    <w:basedOn w:val="DefaultParagraphFont"/>
    <w:link w:val="BodyText3"/>
    <w:uiPriority w:val="99"/>
    <w:semiHidden/>
    <w:rsid w:val="00E95CB0"/>
    <w:rPr>
      <w:sz w:val="16"/>
      <w:szCs w:val="16"/>
    </w:rPr>
  </w:style>
  <w:style w:type="paragraph" w:customStyle="1" w:styleId="NormalNoSpacing">
    <w:name w:val="Normal No Spacing"/>
    <w:basedOn w:val="Normal"/>
    <w:uiPriority w:val="99"/>
    <w:rsid w:val="00E95CB0"/>
    <w:rPr>
      <w:rFonts w:ascii="Arial" w:eastAsia="Times New Roman" w:hAnsi="Arial" w:cs="Times New Roman"/>
      <w:sz w:val="22"/>
      <w:lang w:val="en-AU"/>
    </w:rPr>
  </w:style>
  <w:style w:type="paragraph" w:customStyle="1" w:styleId="Respondent">
    <w:name w:val="Respondent"/>
    <w:basedOn w:val="BodyText"/>
    <w:uiPriority w:val="99"/>
    <w:rsid w:val="00E95CB0"/>
    <w:pPr>
      <w:pBdr>
        <w:top w:val="single" w:sz="4" w:space="1" w:color="auto"/>
        <w:left w:val="single" w:sz="4" w:space="4" w:color="auto"/>
        <w:bottom w:val="single" w:sz="4" w:space="1" w:color="auto"/>
        <w:right w:val="single" w:sz="4" w:space="4" w:color="auto"/>
      </w:pBdr>
      <w:shd w:val="clear" w:color="auto" w:fill="F3F3F3"/>
      <w:spacing w:before="80" w:after="120" w:line="240" w:lineRule="auto"/>
      <w:ind w:left="902"/>
      <w:jc w:val="both"/>
    </w:pPr>
    <w:rPr>
      <w:rFonts w:ascii="Arial" w:hAnsi="Arial"/>
      <w:sz w:val="24"/>
    </w:rPr>
  </w:style>
  <w:style w:type="paragraph" w:customStyle="1" w:styleId="MELegal1">
    <w:name w:val="ME Legal 1"/>
    <w:aliases w:val="l1"/>
    <w:basedOn w:val="Normal"/>
    <w:next w:val="Normal"/>
    <w:uiPriority w:val="99"/>
    <w:rsid w:val="00D84ADD"/>
    <w:pPr>
      <w:keepNext/>
      <w:numPr>
        <w:numId w:val="6"/>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MELegal2">
    <w:name w:val="ME Legal 2"/>
    <w:aliases w:val="l2"/>
    <w:basedOn w:val="Normal"/>
    <w:next w:val="Normal"/>
    <w:uiPriority w:val="99"/>
    <w:rsid w:val="00D84ADD"/>
    <w:pPr>
      <w:keepNext/>
      <w:numPr>
        <w:ilvl w:val="1"/>
        <w:numId w:val="6"/>
      </w:numPr>
      <w:spacing w:before="60" w:after="60" w:line="280" w:lineRule="atLeast"/>
      <w:outlineLvl w:val="1"/>
    </w:pPr>
    <w:rPr>
      <w:rFonts w:ascii="Arial" w:eastAsia="Times New Roman" w:hAnsi="Arial" w:cs="Angsana New"/>
      <w:b/>
      <w:bCs/>
      <w:w w:val="95"/>
      <w:lang w:val="en-AU" w:eastAsia="zh-CN" w:bidi="th-TH"/>
    </w:rPr>
  </w:style>
  <w:style w:type="paragraph" w:customStyle="1" w:styleId="MELegal3">
    <w:name w:val="ME Legal 3"/>
    <w:aliases w:val="l3"/>
    <w:basedOn w:val="Normal"/>
    <w:uiPriority w:val="99"/>
    <w:rsid w:val="00D84ADD"/>
    <w:pPr>
      <w:numPr>
        <w:ilvl w:val="2"/>
        <w:numId w:val="6"/>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Legal4">
    <w:name w:val="ME Legal 4"/>
    <w:aliases w:val="l4"/>
    <w:basedOn w:val="Normal"/>
    <w:uiPriority w:val="99"/>
    <w:rsid w:val="00D84ADD"/>
    <w:pPr>
      <w:numPr>
        <w:ilvl w:val="3"/>
        <w:numId w:val="6"/>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Legal5">
    <w:name w:val="ME Legal 5"/>
    <w:aliases w:val="l5"/>
    <w:basedOn w:val="Normal"/>
    <w:uiPriority w:val="99"/>
    <w:rsid w:val="00D84ADD"/>
    <w:pPr>
      <w:numPr>
        <w:ilvl w:val="4"/>
        <w:numId w:val="6"/>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MELegal6">
    <w:name w:val="ME Legal 6"/>
    <w:basedOn w:val="Normal"/>
    <w:uiPriority w:val="99"/>
    <w:rsid w:val="00D84ADD"/>
    <w:pPr>
      <w:tabs>
        <w:tab w:val="num" w:pos="3402"/>
      </w:tabs>
      <w:spacing w:after="140" w:line="280" w:lineRule="atLeast"/>
      <w:ind w:left="3402" w:hanging="680"/>
      <w:outlineLvl w:val="5"/>
    </w:pPr>
    <w:rPr>
      <w:rFonts w:ascii="Times New Roman" w:eastAsia="Times New Roman" w:hAnsi="Times New Roman" w:cs="Angsana New"/>
      <w:sz w:val="22"/>
      <w:szCs w:val="22"/>
      <w:lang w:val="en-AU" w:eastAsia="zh-CN" w:bidi="th-TH"/>
    </w:rPr>
  </w:style>
  <w:style w:type="paragraph" w:customStyle="1" w:styleId="ScheduleL1">
    <w:name w:val="Schedule L1"/>
    <w:basedOn w:val="Normal"/>
    <w:next w:val="Normal"/>
    <w:uiPriority w:val="99"/>
    <w:rsid w:val="00D84ADD"/>
    <w:pPr>
      <w:numPr>
        <w:numId w:val="7"/>
      </w:numPr>
      <w:pBdr>
        <w:bottom w:val="single" w:sz="4" w:space="1" w:color="auto"/>
      </w:pBdr>
      <w:spacing w:before="140" w:after="480" w:line="480" w:lineRule="exact"/>
      <w:outlineLvl w:val="0"/>
    </w:pPr>
    <w:rPr>
      <w:rFonts w:ascii="Arial" w:eastAsia="Times New Roman" w:hAnsi="Arial" w:cs="Angsana New"/>
      <w:spacing w:val="-10"/>
      <w:w w:val="95"/>
      <w:sz w:val="48"/>
      <w:szCs w:val="48"/>
      <w:lang w:val="en-AU" w:eastAsia="zh-CN" w:bidi="th-TH"/>
    </w:rPr>
  </w:style>
  <w:style w:type="paragraph" w:customStyle="1" w:styleId="ScheduleL2">
    <w:name w:val="Schedule L2"/>
    <w:basedOn w:val="Normal"/>
    <w:next w:val="Normal"/>
    <w:uiPriority w:val="99"/>
    <w:rsid w:val="00D84ADD"/>
    <w:pPr>
      <w:keepNext/>
      <w:numPr>
        <w:ilvl w:val="1"/>
        <w:numId w:val="7"/>
      </w:numPr>
      <w:spacing w:before="280" w:after="140" w:line="280" w:lineRule="atLeast"/>
      <w:outlineLvl w:val="1"/>
    </w:pPr>
    <w:rPr>
      <w:rFonts w:ascii="Arial" w:eastAsia="Times New Roman" w:hAnsi="Arial" w:cs="Angsana New"/>
      <w:spacing w:val="-10"/>
      <w:w w:val="95"/>
      <w:sz w:val="32"/>
      <w:szCs w:val="32"/>
      <w:lang w:val="en-AU" w:eastAsia="zh-CN" w:bidi="th-TH"/>
    </w:rPr>
  </w:style>
  <w:style w:type="paragraph" w:customStyle="1" w:styleId="ScheduleL3">
    <w:name w:val="Schedule L3"/>
    <w:basedOn w:val="Normal"/>
    <w:next w:val="Normal"/>
    <w:uiPriority w:val="99"/>
    <w:rsid w:val="00D84ADD"/>
    <w:pPr>
      <w:keepNext/>
      <w:numPr>
        <w:ilvl w:val="2"/>
        <w:numId w:val="7"/>
      </w:numPr>
      <w:tabs>
        <w:tab w:val="clear" w:pos="680"/>
      </w:tabs>
      <w:spacing w:before="60" w:after="60" w:line="280" w:lineRule="atLeast"/>
      <w:outlineLvl w:val="2"/>
    </w:pPr>
    <w:rPr>
      <w:rFonts w:ascii="Arial" w:eastAsia="Times New Roman" w:hAnsi="Arial" w:cs="Angsana New"/>
      <w:b/>
      <w:bCs/>
      <w:w w:val="95"/>
      <w:lang w:val="en-AU" w:eastAsia="zh-CN" w:bidi="th-TH"/>
    </w:rPr>
  </w:style>
  <w:style w:type="paragraph" w:customStyle="1" w:styleId="ScheduleL4">
    <w:name w:val="Schedule L4"/>
    <w:basedOn w:val="Normal"/>
    <w:uiPriority w:val="99"/>
    <w:rsid w:val="00D84ADD"/>
    <w:pPr>
      <w:numPr>
        <w:ilvl w:val="3"/>
        <w:numId w:val="7"/>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ScheduleL5">
    <w:name w:val="Schedule L5"/>
    <w:basedOn w:val="Normal"/>
    <w:uiPriority w:val="99"/>
    <w:rsid w:val="00D84ADD"/>
    <w:pPr>
      <w:numPr>
        <w:ilvl w:val="4"/>
        <w:numId w:val="7"/>
      </w:numPr>
      <w:tabs>
        <w:tab w:val="clear" w:pos="2041"/>
      </w:tabs>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ScheduleL6">
    <w:name w:val="Schedule L6"/>
    <w:basedOn w:val="Normal"/>
    <w:uiPriority w:val="99"/>
    <w:rsid w:val="00D84ADD"/>
    <w:pPr>
      <w:spacing w:after="140" w:line="280" w:lineRule="atLeast"/>
      <w:ind w:left="2722" w:hanging="681"/>
      <w:outlineLvl w:val="5"/>
    </w:pPr>
    <w:rPr>
      <w:rFonts w:ascii="Times New Roman" w:eastAsia="Times New Roman" w:hAnsi="Times New Roman" w:cs="Angsana New"/>
      <w:sz w:val="22"/>
      <w:szCs w:val="22"/>
      <w:lang w:val="en-AU" w:eastAsia="zh-CN" w:bidi="th-TH"/>
    </w:rPr>
  </w:style>
  <w:style w:type="paragraph" w:customStyle="1" w:styleId="MEBasic1">
    <w:name w:val="ME Basic 1"/>
    <w:basedOn w:val="Normal"/>
    <w:link w:val="MEBasic1Char"/>
    <w:uiPriority w:val="99"/>
    <w:rsid w:val="00880A9A"/>
    <w:pPr>
      <w:numPr>
        <w:numId w:val="8"/>
      </w:numPr>
      <w:spacing w:after="140" w:line="280" w:lineRule="atLeast"/>
      <w:outlineLvl w:val="0"/>
    </w:pPr>
    <w:rPr>
      <w:rFonts w:ascii="Times New Roman" w:eastAsia="Times New Roman" w:hAnsi="Times New Roman" w:cs="Angsana New"/>
      <w:sz w:val="22"/>
      <w:szCs w:val="22"/>
      <w:lang w:val="en-AU" w:eastAsia="zh-CN" w:bidi="th-TH"/>
    </w:rPr>
  </w:style>
  <w:style w:type="character" w:customStyle="1" w:styleId="MEBasic1Char">
    <w:name w:val="ME Basic 1 Char"/>
    <w:link w:val="MEBasic1"/>
    <w:uiPriority w:val="99"/>
    <w:rsid w:val="00880A9A"/>
    <w:rPr>
      <w:rFonts w:ascii="Times New Roman" w:eastAsia="Times New Roman" w:hAnsi="Times New Roman" w:cs="Angsana New"/>
      <w:sz w:val="22"/>
      <w:szCs w:val="22"/>
      <w:lang w:val="en-AU" w:eastAsia="zh-CN" w:bidi="th-TH"/>
    </w:rPr>
  </w:style>
  <w:style w:type="paragraph" w:customStyle="1" w:styleId="MEBasic2">
    <w:name w:val="ME Basic 2"/>
    <w:basedOn w:val="Normal"/>
    <w:uiPriority w:val="99"/>
    <w:rsid w:val="00880A9A"/>
    <w:pPr>
      <w:numPr>
        <w:ilvl w:val="1"/>
        <w:numId w:val="8"/>
      </w:numPr>
      <w:spacing w:after="140" w:line="280" w:lineRule="atLeast"/>
      <w:outlineLvl w:val="1"/>
    </w:pPr>
    <w:rPr>
      <w:rFonts w:ascii="Times New Roman" w:eastAsia="Times New Roman" w:hAnsi="Times New Roman" w:cs="Angsana New"/>
      <w:sz w:val="22"/>
      <w:szCs w:val="22"/>
      <w:lang w:val="en-AU" w:eastAsia="zh-CN" w:bidi="th-TH"/>
    </w:rPr>
  </w:style>
  <w:style w:type="paragraph" w:customStyle="1" w:styleId="MEBasic3">
    <w:name w:val="ME Basic 3"/>
    <w:basedOn w:val="Normal"/>
    <w:uiPriority w:val="99"/>
    <w:rsid w:val="00880A9A"/>
    <w:pPr>
      <w:numPr>
        <w:ilvl w:val="2"/>
        <w:numId w:val="8"/>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Basic4">
    <w:name w:val="ME Basic 4"/>
    <w:basedOn w:val="Normal"/>
    <w:uiPriority w:val="99"/>
    <w:rsid w:val="00880A9A"/>
    <w:pPr>
      <w:numPr>
        <w:ilvl w:val="3"/>
        <w:numId w:val="8"/>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Basic5">
    <w:name w:val="ME Basic 5"/>
    <w:basedOn w:val="Normal"/>
    <w:uiPriority w:val="99"/>
    <w:rsid w:val="00880A9A"/>
    <w:pPr>
      <w:numPr>
        <w:ilvl w:val="4"/>
        <w:numId w:val="8"/>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Numbered105cm">
    <w:name w:val="Numbered 1_0.5cm"/>
    <w:basedOn w:val="Normal"/>
    <w:uiPriority w:val="99"/>
    <w:rsid w:val="001D7F4F"/>
    <w:pPr>
      <w:numPr>
        <w:numId w:val="9"/>
      </w:numPr>
      <w:spacing w:before="60" w:after="60"/>
      <w:jc w:val="both"/>
    </w:pPr>
    <w:rPr>
      <w:rFonts w:ascii="Times New Roman" w:eastAsia="Times New Roman" w:hAnsi="Times New Roman" w:cs="Times New Roman"/>
      <w:lang w:val="en-AU"/>
    </w:rPr>
  </w:style>
  <w:style w:type="table" w:customStyle="1" w:styleId="AABlackTable1">
    <w:name w:val="AABlackTable1"/>
    <w:basedOn w:val="TableNormal"/>
    <w:uiPriority w:val="99"/>
    <w:rsid w:val="007D641E"/>
    <w:pPr>
      <w:spacing w:before="110" w:after="110" w:line="264" w:lineRule="auto"/>
    </w:pPr>
    <w:rPr>
      <w:rFonts w:ascii="Verdana" w:eastAsiaTheme="minorHAnsi" w:hAnsi="Verdana"/>
      <w:sz w:val="18"/>
      <w:szCs w:val="20"/>
      <w:lang w:val="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styleId="FollowedHyperlink">
    <w:name w:val="FollowedHyperlink"/>
    <w:basedOn w:val="DefaultParagraphFont"/>
    <w:uiPriority w:val="99"/>
    <w:semiHidden/>
    <w:unhideWhenUsed/>
    <w:rsid w:val="009A367C"/>
    <w:rPr>
      <w:color w:val="800080" w:themeColor="followedHyperlink"/>
      <w:u w:val="single"/>
    </w:rPr>
  </w:style>
  <w:style w:type="paragraph" w:customStyle="1" w:styleId="Level11fo">
    <w:name w:val="Level 1.1fo"/>
    <w:basedOn w:val="Normal"/>
    <w:link w:val="Level11foChar"/>
    <w:rsid w:val="00540814"/>
    <w:pPr>
      <w:spacing w:before="200" w:line="240" w:lineRule="atLeast"/>
      <w:ind w:left="720"/>
    </w:pPr>
    <w:rPr>
      <w:rFonts w:ascii="Arial" w:eastAsia="SimSun" w:hAnsi="Arial" w:cs="Times New Roman"/>
      <w:sz w:val="20"/>
      <w:szCs w:val="20"/>
      <w:lang w:val="en-AU" w:eastAsia="zh-CN"/>
    </w:rPr>
  </w:style>
  <w:style w:type="character" w:customStyle="1" w:styleId="Level11foChar">
    <w:name w:val="Level 1.1fo Char"/>
    <w:link w:val="Level11fo"/>
    <w:rsid w:val="00540814"/>
    <w:rPr>
      <w:rFonts w:ascii="Arial" w:eastAsia="SimSun" w:hAnsi="Arial" w:cs="Times New Roman"/>
      <w:sz w:val="20"/>
      <w:szCs w:val="20"/>
      <w:lang w:val="en-AU" w:eastAsia="zh-CN"/>
    </w:rPr>
  </w:style>
  <w:style w:type="paragraph" w:customStyle="1" w:styleId="Table-body">
    <w:name w:val="Table - body"/>
    <w:basedOn w:val="Normal"/>
    <w:uiPriority w:val="99"/>
    <w:rsid w:val="004F5B73"/>
    <w:pPr>
      <w:overflowPunct w:val="0"/>
      <w:autoSpaceDE w:val="0"/>
      <w:autoSpaceDN w:val="0"/>
      <w:adjustRightInd w:val="0"/>
      <w:spacing w:before="60" w:after="60"/>
      <w:textAlignment w:val="baseline"/>
    </w:pPr>
    <w:rPr>
      <w:rFonts w:ascii="Times New Roman" w:eastAsia="Times New Roman" w:hAnsi="Times New Roman" w:cs="Times New Roman"/>
      <w:sz w:val="22"/>
      <w:szCs w:val="20"/>
      <w:lang w:val="en-AU"/>
    </w:rPr>
  </w:style>
  <w:style w:type="paragraph" w:customStyle="1" w:styleId="ResumeText">
    <w:name w:val="Resume Text"/>
    <w:basedOn w:val="Normal"/>
    <w:link w:val="ResumeTextChar"/>
    <w:rsid w:val="00BF02E6"/>
    <w:pPr>
      <w:overflowPunct w:val="0"/>
      <w:autoSpaceDE w:val="0"/>
      <w:autoSpaceDN w:val="0"/>
      <w:adjustRightInd w:val="0"/>
      <w:spacing w:after="120" w:line="264" w:lineRule="auto"/>
      <w:textAlignment w:val="baseline"/>
    </w:pPr>
    <w:rPr>
      <w:rFonts w:ascii="Times New Roman" w:eastAsia="MS Mincho" w:hAnsi="Times New Roman" w:cs="Arial"/>
      <w:sz w:val="20"/>
      <w:szCs w:val="20"/>
      <w:lang w:val="en-AU"/>
    </w:rPr>
  </w:style>
  <w:style w:type="character" w:customStyle="1" w:styleId="ResumeTextChar">
    <w:name w:val="Resume Text Char"/>
    <w:link w:val="ResumeText"/>
    <w:rsid w:val="00BF02E6"/>
    <w:rPr>
      <w:rFonts w:ascii="Times New Roman" w:eastAsia="MS Mincho" w:hAnsi="Times New Roman" w:cs="Arial"/>
      <w:sz w:val="20"/>
      <w:szCs w:val="20"/>
      <w:lang w:val="en-AU"/>
    </w:rPr>
  </w:style>
  <w:style w:type="paragraph" w:customStyle="1" w:styleId="bullets">
    <w:name w:val="bullets"/>
    <w:basedOn w:val="Normal"/>
    <w:uiPriority w:val="99"/>
    <w:rsid w:val="00BF02E6"/>
    <w:pPr>
      <w:numPr>
        <w:numId w:val="10"/>
      </w:numPr>
      <w:tabs>
        <w:tab w:val="left" w:pos="-720"/>
      </w:tabs>
    </w:pPr>
    <w:rPr>
      <w:rFonts w:ascii="Times New Roman" w:eastAsia="Times New Roman" w:hAnsi="Times New Roman" w:cs="Times New Roman"/>
      <w:sz w:val="22"/>
      <w:lang w:val="en-AU"/>
    </w:rPr>
  </w:style>
  <w:style w:type="paragraph" w:customStyle="1" w:styleId="Heading-3">
    <w:name w:val="Heading - 3"/>
    <w:basedOn w:val="Normal"/>
    <w:uiPriority w:val="99"/>
    <w:rsid w:val="00C35DFB"/>
    <w:pPr>
      <w:keepNext/>
      <w:keepLines/>
      <w:overflowPunct w:val="0"/>
      <w:autoSpaceDE w:val="0"/>
      <w:autoSpaceDN w:val="0"/>
      <w:adjustRightInd w:val="0"/>
      <w:spacing w:before="120" w:after="120"/>
      <w:ind w:left="567"/>
      <w:textAlignment w:val="baseline"/>
    </w:pPr>
    <w:rPr>
      <w:rFonts w:ascii="Times New Roman" w:eastAsia="Times New Roman" w:hAnsi="Times New Roman" w:cs="Times New Roman"/>
      <w:b/>
      <w:sz w:val="28"/>
      <w:szCs w:val="20"/>
      <w:lang w:val="en-AU"/>
    </w:rPr>
  </w:style>
  <w:style w:type="paragraph" w:customStyle="1" w:styleId="2ndLevelBullet">
    <w:name w:val="2nd Level Bullet"/>
    <w:basedOn w:val="Normal"/>
    <w:uiPriority w:val="99"/>
    <w:rsid w:val="004D559A"/>
    <w:pPr>
      <w:numPr>
        <w:numId w:val="11"/>
      </w:numPr>
      <w:spacing w:before="60" w:after="60"/>
      <w:jc w:val="both"/>
    </w:pPr>
    <w:rPr>
      <w:rFonts w:ascii="Century Gothic" w:eastAsia="Times New Roman" w:hAnsi="Century Gothic" w:cs="Times New Roman"/>
      <w:sz w:val="19"/>
      <w:szCs w:val="19"/>
      <w:lang w:val="en-AU"/>
    </w:rPr>
  </w:style>
  <w:style w:type="paragraph" w:customStyle="1" w:styleId="ExecSum0">
    <w:name w:val="Exec Sum"/>
    <w:basedOn w:val="SectionHeader"/>
    <w:next w:val="Normal"/>
    <w:uiPriority w:val="99"/>
    <w:rsid w:val="004D559A"/>
    <w:rPr>
      <w:rFonts w:ascii="Century Gothic" w:hAnsi="Century Gothic"/>
      <w:color w:val="auto"/>
    </w:rPr>
  </w:style>
  <w:style w:type="paragraph" w:customStyle="1" w:styleId="Tables">
    <w:name w:val="Tables"/>
    <w:basedOn w:val="Contents0"/>
    <w:next w:val="Normal"/>
    <w:uiPriority w:val="99"/>
    <w:rsid w:val="004D559A"/>
    <w:rPr>
      <w:rFonts w:ascii="Century Gothic" w:hAnsi="Century Gothic"/>
      <w:color w:val="auto"/>
    </w:rPr>
  </w:style>
  <w:style w:type="paragraph" w:customStyle="1" w:styleId="Tables0">
    <w:name w:val="Tables #"/>
    <w:basedOn w:val="Contents"/>
    <w:uiPriority w:val="99"/>
    <w:rsid w:val="004D559A"/>
    <w:pPr>
      <w:shd w:val="clear" w:color="auto" w:fill="000080"/>
      <w:spacing w:line="240" w:lineRule="auto"/>
    </w:pPr>
    <w:rPr>
      <w:rFonts w:ascii="Times New Roman" w:hAnsi="Times New Roman"/>
    </w:rPr>
  </w:style>
  <w:style w:type="paragraph" w:customStyle="1" w:styleId="Figures">
    <w:name w:val="Figures"/>
    <w:basedOn w:val="Contents0"/>
    <w:next w:val="Normal"/>
    <w:uiPriority w:val="99"/>
    <w:rsid w:val="004D559A"/>
    <w:rPr>
      <w:rFonts w:ascii="Century Gothic" w:hAnsi="Century Gothic"/>
      <w:color w:val="auto"/>
    </w:rPr>
  </w:style>
  <w:style w:type="paragraph" w:customStyle="1" w:styleId="Figures0">
    <w:name w:val="Figures #"/>
    <w:basedOn w:val="Contents"/>
    <w:next w:val="Figures"/>
    <w:uiPriority w:val="99"/>
    <w:rsid w:val="004D559A"/>
    <w:pPr>
      <w:shd w:val="clear" w:color="auto" w:fill="000080"/>
      <w:spacing w:line="240" w:lineRule="auto"/>
    </w:pPr>
    <w:rPr>
      <w:rFonts w:ascii="Times New Roman" w:hAnsi="Times New Roman"/>
    </w:rPr>
  </w:style>
  <w:style w:type="paragraph" w:customStyle="1" w:styleId="AppendixHeader">
    <w:name w:val="Appendix Header"/>
    <w:basedOn w:val="Heading4"/>
    <w:uiPriority w:val="99"/>
    <w:rsid w:val="004D559A"/>
    <w:pPr>
      <w:keepLines w:val="0"/>
      <w:tabs>
        <w:tab w:val="left" w:pos="851"/>
      </w:tabs>
      <w:spacing w:before="240" w:after="60"/>
      <w:jc w:val="both"/>
    </w:pPr>
    <w:rPr>
      <w:rFonts w:ascii="Century Gothic" w:eastAsia="Times New Roman" w:hAnsi="Century Gothic" w:cs="Times New Roman"/>
      <w:i w:val="0"/>
      <w:iCs w:val="0"/>
      <w:smallCaps/>
      <w:color w:val="auto"/>
      <w:spacing w:val="20"/>
      <w:sz w:val="21"/>
      <w:szCs w:val="21"/>
      <w:lang w:val="en-AU"/>
    </w:rPr>
  </w:style>
  <w:style w:type="paragraph" w:customStyle="1" w:styleId="AppendixList">
    <w:name w:val="Appendix List"/>
    <w:basedOn w:val="Normal"/>
    <w:uiPriority w:val="99"/>
    <w:rsid w:val="004D559A"/>
    <w:pPr>
      <w:tabs>
        <w:tab w:val="left" w:pos="1440"/>
      </w:tabs>
      <w:spacing w:before="20" w:after="20"/>
      <w:jc w:val="both"/>
    </w:pPr>
    <w:rPr>
      <w:rFonts w:ascii="Century Gothic" w:eastAsia="Times New Roman" w:hAnsi="Century Gothic" w:cs="Times New Roman"/>
      <w:smallCaps/>
      <w:sz w:val="19"/>
      <w:szCs w:val="20"/>
      <w:lang w:val="en-AU"/>
    </w:rPr>
  </w:style>
  <w:style w:type="paragraph" w:customStyle="1" w:styleId="Rec">
    <w:name w:val="Rec #"/>
    <w:basedOn w:val="ExecSum"/>
    <w:uiPriority w:val="99"/>
    <w:rsid w:val="004D559A"/>
    <w:pPr>
      <w:numPr>
        <w:numId w:val="12"/>
      </w:numPr>
      <w:shd w:val="clear" w:color="auto" w:fill="000080"/>
      <w:spacing w:line="240" w:lineRule="auto"/>
    </w:pPr>
  </w:style>
  <w:style w:type="paragraph" w:customStyle="1" w:styleId="RecHeading">
    <w:name w:val="Rec Heading"/>
    <w:basedOn w:val="ExecSum0"/>
    <w:uiPriority w:val="99"/>
    <w:rsid w:val="004D559A"/>
  </w:style>
  <w:style w:type="paragraph" w:customStyle="1" w:styleId="Rec1">
    <w:name w:val="Rec 1"/>
    <w:basedOn w:val="ES1"/>
    <w:next w:val="Normal"/>
    <w:uiPriority w:val="99"/>
    <w:rsid w:val="004D559A"/>
    <w:pPr>
      <w:tabs>
        <w:tab w:val="num" w:pos="851"/>
      </w:tabs>
      <w:ind w:left="851" w:hanging="851"/>
    </w:pPr>
    <w:rPr>
      <w:rFonts w:ascii="Century Gothic" w:hAnsi="Century Gothic"/>
    </w:rPr>
  </w:style>
  <w:style w:type="paragraph" w:customStyle="1" w:styleId="Rec2">
    <w:name w:val="Rec 2"/>
    <w:basedOn w:val="ES2"/>
    <w:next w:val="Normal"/>
    <w:uiPriority w:val="99"/>
    <w:rsid w:val="004D559A"/>
    <w:rPr>
      <w:rFonts w:ascii="Century Gothic" w:hAnsi="Century Gothic"/>
    </w:rPr>
  </w:style>
  <w:style w:type="paragraph" w:styleId="TOC4">
    <w:name w:val="toc 4"/>
    <w:basedOn w:val="Normal"/>
    <w:next w:val="Normal"/>
    <w:autoRedefine/>
    <w:uiPriority w:val="39"/>
    <w:rsid w:val="004D559A"/>
    <w:pPr>
      <w:tabs>
        <w:tab w:val="right" w:leader="dot" w:pos="9072"/>
      </w:tabs>
      <w:spacing w:before="20" w:after="20"/>
      <w:jc w:val="both"/>
    </w:pPr>
    <w:rPr>
      <w:rFonts w:ascii="Century Gothic" w:eastAsia="Times New Roman" w:hAnsi="Century Gothic" w:cs="Times New Roman"/>
      <w:smallCaps/>
      <w:sz w:val="19"/>
      <w:szCs w:val="19"/>
      <w:lang w:val="en-AU"/>
    </w:rPr>
  </w:style>
  <w:style w:type="paragraph" w:customStyle="1" w:styleId="ClientName">
    <w:name w:val="Client Name"/>
    <w:basedOn w:val="Normal"/>
    <w:uiPriority w:val="99"/>
    <w:qFormat/>
    <w:rsid w:val="004D559A"/>
    <w:pPr>
      <w:framePr w:w="7938" w:h="4253" w:hSpace="284" w:vSpace="284" w:wrap="around" w:vAnchor="page" w:hAnchor="page" w:xAlign="center" w:y="4537"/>
      <w:shd w:val="solid" w:color="FFFFFF" w:fill="FFFFFF"/>
      <w:spacing w:before="240" w:after="360"/>
      <w:jc w:val="center"/>
    </w:pPr>
    <w:rPr>
      <w:rFonts w:ascii="Century Gothic" w:eastAsia="Times New Roman" w:hAnsi="Century Gothic" w:cs="Times New Roman"/>
      <w:b/>
      <w:smallCaps/>
      <w:color w:val="000080"/>
      <w:spacing w:val="20"/>
      <w:sz w:val="52"/>
      <w:szCs w:val="44"/>
      <w:lang w:val="en-AU"/>
    </w:rPr>
  </w:style>
  <w:style w:type="paragraph" w:customStyle="1" w:styleId="ProposalReportTitle">
    <w:name w:val="Proposal/Report Title"/>
    <w:basedOn w:val="Normal"/>
    <w:uiPriority w:val="99"/>
    <w:rsid w:val="004D559A"/>
    <w:pPr>
      <w:framePr w:w="7938" w:h="4253" w:hSpace="284" w:vSpace="284" w:wrap="around" w:vAnchor="page" w:hAnchor="page" w:xAlign="center" w:y="4537"/>
      <w:shd w:val="solid" w:color="FFFFFF" w:fill="FFFFFF"/>
      <w:spacing w:before="120" w:after="360"/>
      <w:jc w:val="center"/>
    </w:pPr>
    <w:rPr>
      <w:rFonts w:ascii="Century Gothic" w:eastAsia="Times New Roman" w:hAnsi="Century Gothic" w:cs="Times New Roman"/>
      <w:b/>
      <w:smallCaps/>
      <w:color w:val="000080"/>
      <w:spacing w:val="20"/>
      <w:sz w:val="40"/>
      <w:szCs w:val="36"/>
      <w:lang w:val="en-AU"/>
    </w:rPr>
  </w:style>
  <w:style w:type="paragraph" w:customStyle="1" w:styleId="CopyType">
    <w:name w:val="Copy Type"/>
    <w:basedOn w:val="Normal"/>
    <w:uiPriority w:val="99"/>
    <w:rsid w:val="004D559A"/>
    <w:pPr>
      <w:framePr w:w="7938" w:h="4253" w:hSpace="284" w:vSpace="284" w:wrap="around" w:vAnchor="page" w:hAnchor="page" w:xAlign="center" w:y="4537"/>
      <w:shd w:val="solid" w:color="FFFFFF" w:fill="FFFFFF"/>
      <w:spacing w:before="120"/>
      <w:jc w:val="center"/>
    </w:pPr>
    <w:rPr>
      <w:rFonts w:ascii="Times New Roman" w:eastAsia="Times New Roman" w:hAnsi="Times New Roman" w:cs="Times New Roman"/>
      <w:b/>
      <w:caps/>
      <w:color w:val="FF0000"/>
      <w:spacing w:val="20"/>
      <w:sz w:val="40"/>
      <w:szCs w:val="40"/>
      <w:lang w:val="en-AU"/>
    </w:rPr>
  </w:style>
  <w:style w:type="paragraph" w:customStyle="1" w:styleId="Author">
    <w:name w:val="Author"/>
    <w:basedOn w:val="ProposalReportTitle"/>
    <w:uiPriority w:val="99"/>
    <w:rsid w:val="004D559A"/>
    <w:pPr>
      <w:framePr w:wrap="around"/>
    </w:pPr>
    <w:rPr>
      <w:b w:val="0"/>
      <w:sz w:val="32"/>
    </w:rPr>
  </w:style>
  <w:style w:type="paragraph" w:customStyle="1" w:styleId="FrontAddress">
    <w:name w:val="Front Address"/>
    <w:basedOn w:val="Normal"/>
    <w:uiPriority w:val="99"/>
    <w:rsid w:val="004D559A"/>
    <w:pPr>
      <w:jc w:val="center"/>
    </w:pPr>
    <w:rPr>
      <w:rFonts w:ascii="Arial Narrow" w:eastAsia="Times New Roman" w:hAnsi="Arial Narrow" w:cs="Times New Roman"/>
      <w:sz w:val="16"/>
      <w:szCs w:val="20"/>
      <w:lang w:val="en-AU"/>
    </w:rPr>
  </w:style>
  <w:style w:type="paragraph" w:customStyle="1" w:styleId="Appendix">
    <w:name w:val="Appendix"/>
    <w:basedOn w:val="ExecSum0"/>
    <w:next w:val="Normal"/>
    <w:uiPriority w:val="99"/>
    <w:rsid w:val="004D559A"/>
  </w:style>
  <w:style w:type="paragraph" w:customStyle="1" w:styleId="Appendix0">
    <w:name w:val="Appendix #"/>
    <w:basedOn w:val="ExecSum"/>
    <w:next w:val="Appendix"/>
    <w:uiPriority w:val="99"/>
    <w:rsid w:val="004D559A"/>
    <w:pPr>
      <w:numPr>
        <w:numId w:val="0"/>
      </w:numPr>
      <w:shd w:val="clear" w:color="auto" w:fill="000080"/>
      <w:spacing w:line="240" w:lineRule="auto"/>
      <w:ind w:left="7938"/>
      <w:outlineLvl w:val="9"/>
    </w:pPr>
  </w:style>
  <w:style w:type="paragraph" w:customStyle="1" w:styleId="Outcome">
    <w:name w:val="Outcome"/>
    <w:basedOn w:val="Normal"/>
    <w:uiPriority w:val="99"/>
    <w:rsid w:val="004D559A"/>
    <w:pPr>
      <w:keepNext/>
      <w:pBdr>
        <w:top w:val="single" w:sz="6" w:space="6" w:color="000000" w:shadow="1"/>
        <w:left w:val="single" w:sz="6" w:space="6" w:color="000000" w:shadow="1"/>
        <w:bottom w:val="single" w:sz="6" w:space="6" w:color="000000" w:shadow="1"/>
        <w:right w:val="single" w:sz="6" w:space="6" w:color="000000" w:shadow="1"/>
      </w:pBdr>
      <w:spacing w:before="60" w:after="60"/>
      <w:ind w:left="851" w:right="851"/>
      <w:jc w:val="both"/>
    </w:pPr>
    <w:rPr>
      <w:rFonts w:ascii="Century Gothic" w:eastAsia="Times New Roman" w:hAnsi="Century Gothic" w:cs="Times New Roman"/>
      <w:b/>
      <w:i/>
      <w:color w:val="000000"/>
      <w:spacing w:val="20"/>
      <w:sz w:val="19"/>
      <w:szCs w:val="20"/>
      <w:lang w:val="en-AU"/>
    </w:rPr>
  </w:style>
  <w:style w:type="paragraph" w:customStyle="1" w:styleId="Outcome-BulletList">
    <w:name w:val="Outcome - Bullet List"/>
    <w:basedOn w:val="Outcome"/>
    <w:uiPriority w:val="99"/>
    <w:rsid w:val="004D559A"/>
    <w:pPr>
      <w:numPr>
        <w:numId w:val="13"/>
      </w:numPr>
      <w:tabs>
        <w:tab w:val="clear" w:pos="1571"/>
        <w:tab w:val="left" w:pos="1276"/>
      </w:tabs>
      <w:spacing w:before="40" w:after="40"/>
      <w:ind w:left="1276" w:hanging="425"/>
    </w:pPr>
  </w:style>
  <w:style w:type="paragraph" w:styleId="Quote">
    <w:name w:val="Quote"/>
    <w:basedOn w:val="Normal"/>
    <w:link w:val="QuoteChar"/>
    <w:uiPriority w:val="99"/>
    <w:qFormat/>
    <w:rsid w:val="004D559A"/>
    <w:pPr>
      <w:spacing w:before="120" w:after="120"/>
      <w:ind w:left="851" w:right="851"/>
      <w:jc w:val="both"/>
    </w:pPr>
    <w:rPr>
      <w:rFonts w:ascii="Times New Roman" w:eastAsia="Times New Roman" w:hAnsi="Times New Roman" w:cs="Times New Roman"/>
      <w:i/>
      <w:sz w:val="19"/>
      <w:lang w:val="en-AU"/>
    </w:rPr>
  </w:style>
  <w:style w:type="character" w:customStyle="1" w:styleId="QuoteChar">
    <w:name w:val="Quote Char"/>
    <w:basedOn w:val="DefaultParagraphFont"/>
    <w:link w:val="Quote"/>
    <w:uiPriority w:val="99"/>
    <w:rsid w:val="004D559A"/>
    <w:rPr>
      <w:rFonts w:ascii="Times New Roman" w:eastAsia="Times New Roman" w:hAnsi="Times New Roman" w:cs="Times New Roman"/>
      <w:i/>
      <w:sz w:val="19"/>
      <w:lang w:val="en-AU"/>
    </w:rPr>
  </w:style>
  <w:style w:type="paragraph" w:customStyle="1" w:styleId="DetailsofTenderer">
    <w:name w:val="Details of Tenderer"/>
    <w:basedOn w:val="Normal"/>
    <w:uiPriority w:val="99"/>
    <w:rsid w:val="004D559A"/>
    <w:pPr>
      <w:spacing w:before="120" w:after="120"/>
      <w:jc w:val="right"/>
    </w:pPr>
    <w:rPr>
      <w:rFonts w:ascii="Century Gothic" w:eastAsia="Times New Roman" w:hAnsi="Century Gothic" w:cs="Times New Roman"/>
      <w:b/>
      <w:smallCaps/>
      <w:sz w:val="36"/>
      <w:szCs w:val="36"/>
      <w:lang w:val="en-AU"/>
    </w:rPr>
  </w:style>
  <w:style w:type="paragraph" w:styleId="Caption">
    <w:name w:val="caption"/>
    <w:basedOn w:val="Normal"/>
    <w:next w:val="Normal"/>
    <w:uiPriority w:val="99"/>
    <w:qFormat/>
    <w:rsid w:val="004D559A"/>
    <w:pPr>
      <w:spacing w:before="120" w:after="120"/>
      <w:jc w:val="both"/>
    </w:pPr>
    <w:rPr>
      <w:rFonts w:ascii="Century Gothic" w:eastAsia="Times New Roman" w:hAnsi="Century Gothic" w:cs="Times New Roman"/>
      <w:b/>
      <w:bCs/>
      <w:sz w:val="20"/>
      <w:szCs w:val="20"/>
      <w:lang w:val="en-AU"/>
    </w:rPr>
  </w:style>
  <w:style w:type="paragraph" w:styleId="ListBullet">
    <w:name w:val="List Bullet"/>
    <w:basedOn w:val="Normal"/>
    <w:autoRedefine/>
    <w:uiPriority w:val="99"/>
    <w:rsid w:val="004D559A"/>
    <w:pPr>
      <w:tabs>
        <w:tab w:val="num" w:pos="360"/>
      </w:tabs>
      <w:spacing w:before="60" w:after="60"/>
      <w:ind w:left="360" w:hanging="360"/>
      <w:jc w:val="both"/>
    </w:pPr>
    <w:rPr>
      <w:rFonts w:ascii="Arial Narrow" w:eastAsia="Times New Roman" w:hAnsi="Arial Narrow" w:cs="Times New Roman"/>
      <w:sz w:val="22"/>
      <w:szCs w:val="20"/>
      <w:lang w:val="en-AU"/>
    </w:rPr>
  </w:style>
  <w:style w:type="character" w:customStyle="1" w:styleId="TableTextChar1">
    <w:name w:val="Table Text Char1"/>
    <w:basedOn w:val="DefaultParagraphFont"/>
    <w:rsid w:val="004D559A"/>
    <w:rPr>
      <w:rFonts w:ascii="Century Gothic" w:hAnsi="Century Gothic"/>
      <w:sz w:val="16"/>
      <w:szCs w:val="24"/>
      <w:lang w:val="en-AU" w:eastAsia="en-US" w:bidi="ar-SA"/>
    </w:rPr>
  </w:style>
  <w:style w:type="paragraph" w:customStyle="1" w:styleId="a">
    <w:name w:val="字元"/>
    <w:basedOn w:val="Normal"/>
    <w:uiPriority w:val="99"/>
    <w:rsid w:val="004D559A"/>
    <w:rPr>
      <w:rFonts w:ascii="Arial" w:eastAsia="PMingLiU" w:hAnsi="Arial" w:cs="Arial"/>
      <w:sz w:val="22"/>
      <w:szCs w:val="22"/>
      <w:lang w:val="en-AU"/>
    </w:rPr>
  </w:style>
  <w:style w:type="character" w:customStyle="1" w:styleId="highlightedsearchterm">
    <w:name w:val="highlightedsearchterm"/>
    <w:basedOn w:val="DefaultParagraphFont"/>
    <w:rsid w:val="004D559A"/>
  </w:style>
  <w:style w:type="character" w:styleId="HTMLCite">
    <w:name w:val="HTML Cite"/>
    <w:basedOn w:val="DefaultParagraphFont"/>
    <w:uiPriority w:val="99"/>
    <w:unhideWhenUsed/>
    <w:rsid w:val="004D559A"/>
    <w:rPr>
      <w:i/>
      <w:iCs/>
    </w:rPr>
  </w:style>
  <w:style w:type="character" w:customStyle="1" w:styleId="link-external">
    <w:name w:val="link-external"/>
    <w:basedOn w:val="DefaultParagraphFont"/>
    <w:rsid w:val="004D559A"/>
  </w:style>
  <w:style w:type="paragraph" w:customStyle="1" w:styleId="Figure">
    <w:name w:val="Figure"/>
    <w:basedOn w:val="BodyText"/>
    <w:uiPriority w:val="99"/>
    <w:rsid w:val="004D559A"/>
    <w:pPr>
      <w:keepNext/>
      <w:widowControl w:val="0"/>
      <w:spacing w:before="120" w:after="120" w:line="240" w:lineRule="atLeast"/>
      <w:jc w:val="center"/>
    </w:pPr>
    <w:rPr>
      <w:color w:val="000000"/>
      <w:sz w:val="26"/>
      <w:szCs w:val="20"/>
    </w:rPr>
  </w:style>
  <w:style w:type="paragraph" w:customStyle="1" w:styleId="CharCharChar">
    <w:name w:val="Char Char Char"/>
    <w:basedOn w:val="Normal"/>
    <w:uiPriority w:val="99"/>
    <w:rsid w:val="004D559A"/>
    <w:rPr>
      <w:rFonts w:ascii="Arial" w:eastAsia="Times New Roman" w:hAnsi="Arial" w:cs="Arial"/>
      <w:sz w:val="22"/>
      <w:szCs w:val="22"/>
      <w:lang w:val="en-AU"/>
    </w:rPr>
  </w:style>
  <w:style w:type="paragraph" w:customStyle="1" w:styleId="Bullet-level2">
    <w:name w:val="Bullet - level 2"/>
    <w:basedOn w:val="Normal"/>
    <w:link w:val="Bullet-level2Char"/>
    <w:rsid w:val="004D559A"/>
    <w:pPr>
      <w:tabs>
        <w:tab w:val="num" w:pos="1702"/>
      </w:tabs>
      <w:spacing w:before="40" w:after="40"/>
      <w:ind w:left="1702" w:hanging="851"/>
      <w:jc w:val="both"/>
    </w:pPr>
    <w:rPr>
      <w:rFonts w:ascii="Century Gothic" w:eastAsia="Times New Roman" w:hAnsi="Century Gothic" w:cs="Times New Roman"/>
      <w:sz w:val="19"/>
      <w:lang w:val="en-AU"/>
    </w:rPr>
  </w:style>
  <w:style w:type="character" w:customStyle="1" w:styleId="Bullet-level2Char">
    <w:name w:val="Bullet - level 2 Char"/>
    <w:basedOn w:val="DefaultParagraphFont"/>
    <w:link w:val="Bullet-level2"/>
    <w:rsid w:val="004D559A"/>
    <w:rPr>
      <w:rFonts w:ascii="Century Gothic" w:eastAsia="Times New Roman" w:hAnsi="Century Gothic" w:cs="Times New Roman"/>
      <w:sz w:val="19"/>
      <w:lang w:val="en-AU"/>
    </w:rPr>
  </w:style>
  <w:style w:type="paragraph" w:styleId="BodyTextIndent2">
    <w:name w:val="Body Text Indent 2"/>
    <w:basedOn w:val="Normal"/>
    <w:link w:val="BodyTextIndent2Char"/>
    <w:uiPriority w:val="99"/>
    <w:semiHidden/>
    <w:unhideWhenUsed/>
    <w:rsid w:val="00DB07B1"/>
    <w:pPr>
      <w:spacing w:after="120" w:line="480" w:lineRule="auto"/>
      <w:ind w:left="283"/>
    </w:pPr>
  </w:style>
  <w:style w:type="character" w:customStyle="1" w:styleId="BodyTextIndent2Char">
    <w:name w:val="Body Text Indent 2 Char"/>
    <w:basedOn w:val="DefaultParagraphFont"/>
    <w:link w:val="BodyTextIndent2"/>
    <w:uiPriority w:val="99"/>
    <w:semiHidden/>
    <w:rsid w:val="00DB07B1"/>
  </w:style>
  <w:style w:type="paragraph" w:customStyle="1" w:styleId="BodyTextIndent2bullet">
    <w:name w:val="Body Text Indent 2 (bullet)"/>
    <w:basedOn w:val="BodyTextIndent2"/>
    <w:uiPriority w:val="99"/>
    <w:rsid w:val="00DB07B1"/>
    <w:pPr>
      <w:tabs>
        <w:tab w:val="left" w:pos="2520"/>
      </w:tabs>
      <w:spacing w:before="80" w:line="240" w:lineRule="auto"/>
      <w:ind w:left="2520" w:hanging="540"/>
      <w:jc w:val="both"/>
    </w:pPr>
    <w:rPr>
      <w:rFonts w:ascii="Arial" w:eastAsia="Times New Roman" w:hAnsi="Arial" w:cs="Times New Roman"/>
      <w:lang w:val="en-AU"/>
    </w:rPr>
  </w:style>
  <w:style w:type="paragraph" w:customStyle="1" w:styleId="BodyTextIndentbullet">
    <w:name w:val="Body Text Indent (bullet)"/>
    <w:basedOn w:val="BodyTextIndent"/>
    <w:uiPriority w:val="99"/>
    <w:rsid w:val="00DB07B1"/>
    <w:pPr>
      <w:tabs>
        <w:tab w:val="left" w:pos="1980"/>
      </w:tabs>
      <w:spacing w:before="80"/>
      <w:ind w:left="1980" w:hanging="540"/>
      <w:jc w:val="both"/>
    </w:pPr>
    <w:rPr>
      <w:rFonts w:ascii="Arial" w:eastAsia="Times New Roman" w:hAnsi="Arial" w:cs="Times New Roman"/>
      <w:lang w:val="en-AU"/>
    </w:rPr>
  </w:style>
  <w:style w:type="paragraph" w:customStyle="1" w:styleId="BodyTextbullet">
    <w:name w:val="Body Text (bullet)"/>
    <w:basedOn w:val="BodyText"/>
    <w:uiPriority w:val="99"/>
    <w:rsid w:val="00DB07B1"/>
    <w:pPr>
      <w:numPr>
        <w:ilvl w:val="1"/>
        <w:numId w:val="14"/>
      </w:numPr>
      <w:spacing w:before="80" w:after="120" w:line="240" w:lineRule="auto"/>
      <w:jc w:val="both"/>
    </w:pPr>
    <w:rPr>
      <w:rFonts w:ascii="Arial" w:hAnsi="Arial"/>
      <w:sz w:val="24"/>
    </w:rPr>
  </w:style>
  <w:style w:type="character" w:customStyle="1" w:styleId="Optional">
    <w:name w:val="Optional"/>
    <w:basedOn w:val="DefaultParagraphFont"/>
    <w:uiPriority w:val="99"/>
    <w:rsid w:val="00DB07B1"/>
    <w:rPr>
      <w:color w:val="0000FF"/>
    </w:rPr>
  </w:style>
  <w:style w:type="character" w:customStyle="1" w:styleId="OptionalBold">
    <w:name w:val="Optional (Bold)"/>
    <w:basedOn w:val="Optional"/>
    <w:uiPriority w:val="99"/>
    <w:rsid w:val="00DB07B1"/>
    <w:rPr>
      <w:b/>
      <w:color w:val="0000FF"/>
    </w:rPr>
  </w:style>
  <w:style w:type="character" w:customStyle="1" w:styleId="Instructionbold">
    <w:name w:val="Instruction (bold)"/>
    <w:basedOn w:val="DefaultParagraphFont"/>
    <w:rsid w:val="00F103B9"/>
    <w:rPr>
      <w:b/>
      <w:i/>
      <w:color w:val="FF0000"/>
    </w:rPr>
  </w:style>
  <w:style w:type="paragraph" w:customStyle="1" w:styleId="NormText">
    <w:name w:val="Norm Text"/>
    <w:basedOn w:val="BodyText"/>
    <w:uiPriority w:val="99"/>
    <w:rsid w:val="00F103B9"/>
    <w:pPr>
      <w:spacing w:before="80" w:after="120" w:line="240" w:lineRule="auto"/>
      <w:jc w:val="both"/>
    </w:pPr>
    <w:rPr>
      <w:rFonts w:ascii="Arial" w:hAnsi="Arial"/>
      <w:sz w:val="24"/>
    </w:rPr>
  </w:style>
  <w:style w:type="paragraph" w:customStyle="1" w:styleId="sch4">
    <w:name w:val="sch4"/>
    <w:basedOn w:val="Normal"/>
    <w:next w:val="Normal"/>
    <w:uiPriority w:val="99"/>
    <w:rsid w:val="00AE162F"/>
    <w:pPr>
      <w:tabs>
        <w:tab w:val="num" w:pos="1440"/>
      </w:tabs>
      <w:spacing w:before="200" w:line="240" w:lineRule="atLeast"/>
      <w:ind w:left="1440" w:hanging="720"/>
    </w:pPr>
    <w:rPr>
      <w:rFonts w:ascii="Arial" w:eastAsia="SimSun" w:hAnsi="Arial" w:cs="Times New Roman"/>
      <w:sz w:val="20"/>
      <w:szCs w:val="20"/>
      <w:lang w:val="en-AU" w:eastAsia="zh-CN"/>
    </w:rPr>
  </w:style>
  <w:style w:type="character" w:customStyle="1" w:styleId="ListParagraphChar">
    <w:name w:val="List Paragraph Char"/>
    <w:link w:val="ListParagraph"/>
    <w:uiPriority w:val="34"/>
    <w:locked/>
    <w:rsid w:val="00926337"/>
  </w:style>
  <w:style w:type="paragraph" w:styleId="BodyTextFirstIndent2">
    <w:name w:val="Body Text First Indent 2"/>
    <w:basedOn w:val="BodyTextIndent2"/>
    <w:link w:val="BodyTextFirstIndent2Char"/>
    <w:uiPriority w:val="99"/>
    <w:semiHidden/>
    <w:rsid w:val="008768D7"/>
    <w:pPr>
      <w:tabs>
        <w:tab w:val="num" w:pos="2880"/>
      </w:tabs>
      <w:spacing w:before="200" w:after="0"/>
      <w:ind w:left="2880" w:hanging="720"/>
    </w:pPr>
    <w:rPr>
      <w:rFonts w:ascii="Arial" w:eastAsia="SimSun" w:hAnsi="Arial" w:cs="Times New Roman"/>
      <w:sz w:val="22"/>
      <w:szCs w:val="20"/>
      <w:lang w:val="en-AU" w:eastAsia="zh-CN"/>
    </w:rPr>
  </w:style>
  <w:style w:type="character" w:customStyle="1" w:styleId="BodyTextFirstIndent2Char">
    <w:name w:val="Body Text First Indent 2 Char"/>
    <w:basedOn w:val="BodyTextIndentChar"/>
    <w:link w:val="BodyTextFirstIndent2"/>
    <w:uiPriority w:val="99"/>
    <w:semiHidden/>
    <w:rsid w:val="008768D7"/>
    <w:rPr>
      <w:rFonts w:ascii="Arial" w:eastAsia="SimSun" w:hAnsi="Arial" w:cs="Times New Roman"/>
      <w:sz w:val="22"/>
      <w:szCs w:val="20"/>
      <w:lang w:val="en-AU" w:eastAsia="zh-CN"/>
    </w:rPr>
  </w:style>
  <w:style w:type="paragraph" w:customStyle="1" w:styleId="sch2">
    <w:name w:val="sch2"/>
    <w:basedOn w:val="Normal"/>
    <w:next w:val="Normal"/>
    <w:uiPriority w:val="99"/>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customStyle="1" w:styleId="sch3">
    <w:name w:val="sch3"/>
    <w:basedOn w:val="Normal"/>
    <w:next w:val="Level11fo"/>
    <w:uiPriority w:val="99"/>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styleId="ListNumber2">
    <w:name w:val="List Number 2"/>
    <w:basedOn w:val="Normal"/>
    <w:uiPriority w:val="99"/>
    <w:rsid w:val="008768D7"/>
    <w:pPr>
      <w:tabs>
        <w:tab w:val="num" w:pos="3600"/>
      </w:tabs>
      <w:spacing w:before="200" w:line="240" w:lineRule="atLeast"/>
      <w:ind w:left="3600" w:hanging="720"/>
    </w:pPr>
    <w:rPr>
      <w:rFonts w:ascii="Arial" w:eastAsia="SimSun" w:hAnsi="Arial" w:cs="Times New Roman"/>
      <w:sz w:val="22"/>
      <w:szCs w:val="20"/>
      <w:lang w:val="en-AU" w:eastAsia="zh-CN"/>
    </w:rPr>
  </w:style>
  <w:style w:type="table" w:styleId="LightList">
    <w:name w:val="Light List"/>
    <w:basedOn w:val="TableNormal"/>
    <w:uiPriority w:val="61"/>
    <w:rsid w:val="006D366B"/>
    <w:pPr>
      <w:spacing w:before="40" w:after="40"/>
    </w:pPr>
    <w:rPr>
      <w:rFonts w:eastAsiaTheme="minorHAns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8064A2" w:themeFill="accent4"/>
      </w:tcPr>
    </w:tblStylePr>
  </w:style>
  <w:style w:type="character" w:styleId="Emphasis">
    <w:name w:val="Emphasis"/>
    <w:uiPriority w:val="20"/>
    <w:qFormat/>
    <w:rsid w:val="009B6A6C"/>
    <w:rPr>
      <w:i/>
      <w:iCs/>
    </w:rPr>
  </w:style>
  <w:style w:type="paragraph" w:customStyle="1" w:styleId="CVTabletext">
    <w:name w:val="CV Table text"/>
    <w:basedOn w:val="Normal"/>
    <w:uiPriority w:val="99"/>
    <w:rsid w:val="009D4FE5"/>
    <w:pPr>
      <w:keepNext/>
      <w:spacing w:before="40" w:after="40"/>
      <w:jc w:val="both"/>
    </w:pPr>
    <w:rPr>
      <w:rFonts w:ascii="Times New Roman" w:eastAsia="Times New Roman" w:hAnsi="Times New Roman" w:cs="Times New Roman"/>
      <w:sz w:val="20"/>
      <w:szCs w:val="20"/>
      <w:lang w:val="en-GB" w:eastAsia="en-AU"/>
    </w:rPr>
  </w:style>
  <w:style w:type="character" w:customStyle="1" w:styleId="BulletPointsChar">
    <w:name w:val="Bullet Points Char"/>
    <w:link w:val="BulletPoints"/>
    <w:uiPriority w:val="99"/>
    <w:locked/>
    <w:rsid w:val="00C902B5"/>
    <w:rPr>
      <w:rFonts w:ascii="Arial" w:hAnsi="Arial" w:cs="Arial"/>
      <w:lang w:val="x-none"/>
    </w:rPr>
  </w:style>
  <w:style w:type="paragraph" w:customStyle="1" w:styleId="BulletPoints">
    <w:name w:val="Bullet Points"/>
    <w:basedOn w:val="Normal"/>
    <w:link w:val="BulletPointsChar"/>
    <w:uiPriority w:val="99"/>
    <w:qFormat/>
    <w:rsid w:val="00C902B5"/>
    <w:pPr>
      <w:numPr>
        <w:numId w:val="15"/>
      </w:numPr>
      <w:tabs>
        <w:tab w:val="left" w:pos="357"/>
      </w:tabs>
      <w:spacing w:after="60"/>
      <w:ind w:left="360"/>
      <w:jc w:val="both"/>
    </w:pPr>
    <w:rPr>
      <w:rFonts w:ascii="Arial" w:hAnsi="Arial" w:cs="Arial"/>
      <w:lang w:val="x-none"/>
    </w:rPr>
  </w:style>
  <w:style w:type="paragraph" w:customStyle="1" w:styleId="BDOProfleBullets">
    <w:name w:val="BDO_Profle Bullets"/>
    <w:basedOn w:val="Normal"/>
    <w:uiPriority w:val="99"/>
    <w:qFormat/>
    <w:rsid w:val="00B82D03"/>
    <w:pPr>
      <w:numPr>
        <w:numId w:val="16"/>
      </w:numPr>
      <w:spacing w:line="240" w:lineRule="atLeast"/>
    </w:pPr>
    <w:rPr>
      <w:rFonts w:ascii="Trebuchet MS" w:eastAsia="Times New Roman" w:hAnsi="Trebuchet MS" w:cs="Times New Roman"/>
      <w:color w:val="786860"/>
      <w:sz w:val="20"/>
      <w:lang w:val="en-AU" w:eastAsia="en-GB"/>
    </w:rPr>
  </w:style>
  <w:style w:type="paragraph" w:customStyle="1" w:styleId="BDOProfileBody">
    <w:name w:val="BDO_Profile Body"/>
    <w:basedOn w:val="Normal"/>
    <w:uiPriority w:val="99"/>
    <w:qFormat/>
    <w:rsid w:val="00B82D03"/>
    <w:pPr>
      <w:spacing w:after="120" w:line="240" w:lineRule="atLeast"/>
    </w:pPr>
    <w:rPr>
      <w:rFonts w:ascii="Trebuchet MS" w:eastAsia="Times New Roman" w:hAnsi="Trebuchet MS" w:cs="Times New Roman"/>
      <w:color w:val="786860"/>
      <w:sz w:val="20"/>
      <w:lang w:val="en-AU" w:eastAsia="en-GB"/>
    </w:rPr>
  </w:style>
  <w:style w:type="paragraph" w:customStyle="1" w:styleId="BDONameTitle">
    <w:name w:val="BDO_Name Title"/>
    <w:basedOn w:val="Normal"/>
    <w:uiPriority w:val="99"/>
    <w:qFormat/>
    <w:rsid w:val="00C36640"/>
    <w:pPr>
      <w:spacing w:line="320" w:lineRule="exact"/>
    </w:pPr>
    <w:rPr>
      <w:rFonts w:ascii="Trebuchet MS" w:eastAsia="Times New Roman" w:hAnsi="Trebuchet MS" w:cs="Times New Roman"/>
      <w:b/>
      <w:color w:val="786860"/>
      <w:sz w:val="28"/>
      <w:lang w:val="en-AU" w:eastAsia="en-GB"/>
    </w:rPr>
  </w:style>
  <w:style w:type="paragraph" w:customStyle="1" w:styleId="Bulleted1">
    <w:name w:val="Bulleted1"/>
    <w:basedOn w:val="Normal"/>
    <w:uiPriority w:val="99"/>
    <w:rsid w:val="00A25973"/>
    <w:pPr>
      <w:numPr>
        <w:numId w:val="17"/>
      </w:numPr>
    </w:pPr>
    <w:rPr>
      <w:rFonts w:ascii="Arial" w:eastAsia="Times New Roman" w:hAnsi="Arial" w:cs="Times New Roman"/>
      <w:sz w:val="20"/>
      <w:lang w:val="en-AU" w:eastAsia="en-AU"/>
    </w:rPr>
  </w:style>
  <w:style w:type="paragraph" w:customStyle="1" w:styleId="NormalIndent1">
    <w:name w:val="Normal Indent 1"/>
    <w:basedOn w:val="Normal"/>
    <w:uiPriority w:val="99"/>
    <w:rsid w:val="00ED4263"/>
    <w:pPr>
      <w:spacing w:after="120"/>
      <w:ind w:left="567"/>
      <w:jc w:val="both"/>
    </w:pPr>
    <w:rPr>
      <w:rFonts w:ascii="Arial" w:eastAsia="Times New Roman" w:hAnsi="Arial" w:cs="Times New Roman"/>
      <w:sz w:val="20"/>
      <w:szCs w:val="20"/>
      <w:lang w:val="en-AU"/>
    </w:rPr>
  </w:style>
  <w:style w:type="character" w:customStyle="1" w:styleId="AmericanTypewriter">
    <w:name w:val="American Typewriter"/>
    <w:rsid w:val="00D14A60"/>
    <w:rPr>
      <w:rFonts w:ascii="American Typewriter" w:eastAsia="ヒラギノ角ゴ Pro W3" w:hAnsi="American Typewriter"/>
      <w:b w:val="0"/>
      <w:i w:val="0"/>
    </w:rPr>
  </w:style>
  <w:style w:type="paragraph" w:customStyle="1" w:styleId="TitleBold">
    <w:name w:val="Title Bold"/>
    <w:basedOn w:val="Normal"/>
    <w:link w:val="TitleBoldChar"/>
    <w:rsid w:val="005943A0"/>
    <w:pPr>
      <w:spacing w:after="60"/>
      <w:jc w:val="both"/>
    </w:pPr>
    <w:rPr>
      <w:rFonts w:ascii="Arial" w:eastAsia="MS Mincho" w:hAnsi="Arial" w:cs="Times New Roman"/>
      <w:b/>
      <w:sz w:val="20"/>
      <w:szCs w:val="20"/>
    </w:rPr>
  </w:style>
  <w:style w:type="character" w:customStyle="1" w:styleId="TitleBoldChar">
    <w:name w:val="Title Bold Char"/>
    <w:basedOn w:val="DefaultParagraphFont"/>
    <w:link w:val="TitleBold"/>
    <w:rsid w:val="005943A0"/>
    <w:rPr>
      <w:rFonts w:ascii="Arial" w:eastAsia="MS Mincho" w:hAnsi="Arial" w:cs="Times New Roman"/>
      <w:b/>
      <w:sz w:val="20"/>
      <w:szCs w:val="20"/>
    </w:rPr>
  </w:style>
  <w:style w:type="paragraph" w:customStyle="1" w:styleId="FreeForm">
    <w:name w:val="Free Form"/>
    <w:uiPriority w:val="99"/>
    <w:rsid w:val="002D42AC"/>
    <w:pPr>
      <w:spacing w:line="336" w:lineRule="auto"/>
    </w:pPr>
    <w:rPr>
      <w:rFonts w:ascii="Helvetica Neue Light" w:eastAsia="ヒラギノ角ゴ Pro W3" w:hAnsi="Helvetica Neue Light" w:cs="Times New Roman"/>
      <w:color w:val="000000"/>
      <w:sz w:val="20"/>
      <w:szCs w:val="20"/>
    </w:rPr>
  </w:style>
  <w:style w:type="paragraph" w:customStyle="1" w:styleId="HeaderFooter">
    <w:name w:val="Header &amp; Footer"/>
    <w:uiPriority w:val="99"/>
    <w:rsid w:val="002D42AC"/>
    <w:pPr>
      <w:tabs>
        <w:tab w:val="right" w:pos="9065"/>
      </w:tabs>
      <w:spacing w:after="240"/>
    </w:pPr>
    <w:rPr>
      <w:rFonts w:ascii="American Typewriter" w:eastAsia="ヒラギノ角ゴ Pro W3" w:hAnsi="American Typewriter" w:cs="Times New Roman"/>
      <w:color w:val="000000"/>
      <w:sz w:val="17"/>
      <w:szCs w:val="20"/>
    </w:rPr>
  </w:style>
  <w:style w:type="paragraph" w:customStyle="1" w:styleId="EYHeading1">
    <w:name w:val="EY Heading 1"/>
    <w:basedOn w:val="Heading1"/>
    <w:next w:val="Normal"/>
    <w:uiPriority w:val="99"/>
    <w:rsid w:val="00AA1588"/>
    <w:pPr>
      <w:pageBreakBefore/>
      <w:numPr>
        <w:numId w:val="18"/>
      </w:numPr>
    </w:pPr>
    <w:rPr>
      <w:rFonts w:ascii="EYInterstate Light" w:eastAsia="Times New Roman" w:hAnsi="EYInterstate Light"/>
      <w:color w:val="7F7E82"/>
      <w:kern w:val="32"/>
      <w:sz w:val="40"/>
      <w:lang w:val="en-AU" w:eastAsia="en-AU"/>
    </w:rPr>
  </w:style>
  <w:style w:type="paragraph" w:customStyle="1" w:styleId="EYHeading2">
    <w:name w:val="EY Heading 2"/>
    <w:basedOn w:val="Heading2"/>
    <w:next w:val="Normal"/>
    <w:uiPriority w:val="99"/>
    <w:rsid w:val="00AA1588"/>
    <w:pPr>
      <w:keepLines w:val="0"/>
      <w:tabs>
        <w:tab w:val="num" w:pos="850"/>
      </w:tabs>
      <w:spacing w:before="120" w:after="120"/>
      <w:ind w:left="850" w:hanging="850"/>
    </w:pPr>
    <w:rPr>
      <w:rFonts w:ascii="EYInterstate Light" w:eastAsia="Times New Roman" w:hAnsi="EYInterstate Light" w:cs="Times New Roman"/>
      <w:iCs/>
      <w:color w:val="auto"/>
      <w:sz w:val="28"/>
      <w:szCs w:val="28"/>
      <w:lang w:val="en-AU" w:eastAsia="en-AU"/>
    </w:rPr>
  </w:style>
  <w:style w:type="paragraph" w:customStyle="1" w:styleId="EYHeading3">
    <w:name w:val="EY Heading 3"/>
    <w:basedOn w:val="Heading3"/>
    <w:next w:val="Normal"/>
    <w:uiPriority w:val="99"/>
    <w:rsid w:val="00AA1588"/>
    <w:pPr>
      <w:keepLines w:val="0"/>
      <w:tabs>
        <w:tab w:val="num" w:pos="850"/>
      </w:tabs>
      <w:spacing w:before="120" w:after="120"/>
      <w:ind w:left="850" w:hanging="850"/>
    </w:pPr>
    <w:rPr>
      <w:rFonts w:ascii="EYInterstate" w:eastAsia="Times New Roman" w:hAnsi="EYInterstate" w:cs="Times New Roman"/>
      <w:b w:val="0"/>
      <w:color w:val="auto"/>
      <w:szCs w:val="26"/>
      <w:lang w:val="en-AU" w:eastAsia="en-AU"/>
    </w:rPr>
  </w:style>
  <w:style w:type="paragraph" w:customStyle="1" w:styleId="EYHeading4">
    <w:name w:val="EY Heading 4"/>
    <w:basedOn w:val="EYHeading3"/>
    <w:next w:val="Normal"/>
    <w:uiPriority w:val="99"/>
    <w:rsid w:val="00AA1588"/>
    <w:pPr>
      <w:numPr>
        <w:ilvl w:val="3"/>
      </w:numPr>
      <w:tabs>
        <w:tab w:val="num" w:pos="850"/>
      </w:tabs>
      <w:ind w:left="850" w:hanging="850"/>
    </w:pPr>
    <w:rPr>
      <w:i/>
      <w:sz w:val="20"/>
    </w:rPr>
  </w:style>
  <w:style w:type="paragraph" w:styleId="TableofFigures">
    <w:name w:val="table of figures"/>
    <w:basedOn w:val="Normal"/>
    <w:next w:val="Normal"/>
    <w:uiPriority w:val="99"/>
    <w:rsid w:val="006523D3"/>
    <w:pPr>
      <w:spacing w:before="120" w:after="120"/>
      <w:ind w:left="400" w:hanging="400"/>
      <w:jc w:val="both"/>
    </w:pPr>
    <w:rPr>
      <w:rFonts w:ascii="Century Gothic" w:eastAsia="Times New Roman" w:hAnsi="Century Gothic" w:cs="Times New Roman"/>
      <w:sz w:val="20"/>
      <w:lang w:val="en-AU"/>
    </w:rPr>
  </w:style>
  <w:style w:type="paragraph" w:customStyle="1" w:styleId="Tabletext0">
    <w:name w:val="Table text"/>
    <w:basedOn w:val="Normal"/>
    <w:uiPriority w:val="99"/>
    <w:qFormat/>
    <w:rsid w:val="00455079"/>
    <w:pPr>
      <w:spacing w:after="40"/>
    </w:pPr>
    <w:rPr>
      <w:rFonts w:ascii="Arial" w:eastAsiaTheme="minorHAnsi" w:hAnsi="Arial" w:cs="Arial"/>
      <w:color w:val="000000"/>
      <w:sz w:val="16"/>
      <w:szCs w:val="16"/>
      <w:lang w:val="en-AU"/>
    </w:rPr>
  </w:style>
  <w:style w:type="paragraph" w:customStyle="1" w:styleId="Tabletextrightalign">
    <w:name w:val="Table text right align"/>
    <w:basedOn w:val="Tabletext0"/>
    <w:uiPriority w:val="99"/>
    <w:qFormat/>
    <w:rsid w:val="00455079"/>
    <w:pPr>
      <w:jc w:val="right"/>
    </w:pPr>
  </w:style>
  <w:style w:type="paragraph" w:customStyle="1" w:styleId="Tablehead">
    <w:name w:val="Table head"/>
    <w:basedOn w:val="Normal"/>
    <w:uiPriority w:val="99"/>
    <w:qFormat/>
    <w:rsid w:val="00455079"/>
    <w:rPr>
      <w:rFonts w:ascii="Arial" w:eastAsiaTheme="minorHAnsi" w:hAnsi="Arial" w:cs="Arial"/>
      <w:b/>
      <w:color w:val="000000"/>
      <w:sz w:val="16"/>
      <w:szCs w:val="16"/>
      <w:lang w:val="en-AU"/>
    </w:rPr>
  </w:style>
  <w:style w:type="paragraph" w:styleId="NoSpacing">
    <w:name w:val="No Spacing"/>
    <w:uiPriority w:val="1"/>
    <w:qFormat/>
    <w:rsid w:val="00455079"/>
    <w:rPr>
      <w:rFonts w:ascii="Arial" w:eastAsiaTheme="minorHAnsi" w:hAnsi="Arial" w:cs="Arial"/>
      <w:sz w:val="22"/>
      <w:szCs w:val="22"/>
      <w:lang w:val="en-AU"/>
    </w:rPr>
  </w:style>
  <w:style w:type="paragraph" w:customStyle="1" w:styleId="EYBodytextwithparaspace">
    <w:name w:val="EY Body text (with para space)"/>
    <w:basedOn w:val="Normal"/>
    <w:uiPriority w:val="99"/>
    <w:rsid w:val="00B46641"/>
    <w:pPr>
      <w:numPr>
        <w:ilvl w:val="4"/>
        <w:numId w:val="19"/>
      </w:numPr>
      <w:outlineLvl w:val="0"/>
    </w:pPr>
    <w:rPr>
      <w:rFonts w:ascii="EYInterstate Light" w:eastAsia="Times New Roman" w:hAnsi="EYInterstate Light" w:cs="Times New Roman"/>
      <w:kern w:val="12"/>
      <w:sz w:val="20"/>
      <w:lang w:val="en-AU" w:eastAsia="en-AU"/>
    </w:rPr>
  </w:style>
  <w:style w:type="numbering" w:customStyle="1" w:styleId="ParaNumberingArial">
    <w:name w:val="ParaNumbering Arial"/>
    <w:basedOn w:val="NoList"/>
    <w:rsid w:val="00B46641"/>
    <w:pPr>
      <w:numPr>
        <w:numId w:val="19"/>
      </w:numPr>
    </w:pPr>
  </w:style>
  <w:style w:type="paragraph" w:customStyle="1" w:styleId="TableParagraph">
    <w:name w:val="Table Paragraph"/>
    <w:basedOn w:val="Normal"/>
    <w:uiPriority w:val="1"/>
    <w:qFormat/>
    <w:rsid w:val="00192BB3"/>
    <w:pPr>
      <w:widowControl w:val="0"/>
    </w:pPr>
    <w:rPr>
      <w:rFonts w:eastAsiaTheme="minorHAnsi"/>
      <w:sz w:val="22"/>
      <w:szCs w:val="22"/>
    </w:rPr>
  </w:style>
  <w:style w:type="paragraph" w:customStyle="1" w:styleId="xl64">
    <w:name w:val="xl64"/>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val="en-AU"/>
    </w:rPr>
  </w:style>
  <w:style w:type="paragraph" w:customStyle="1" w:styleId="xl65">
    <w:name w:val="xl65"/>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val="en-AU"/>
    </w:rPr>
  </w:style>
  <w:style w:type="paragraph" w:customStyle="1" w:styleId="xl66">
    <w:name w:val="xl66"/>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en-AU"/>
    </w:rPr>
  </w:style>
  <w:style w:type="paragraph" w:customStyle="1" w:styleId="xl67">
    <w:name w:val="xl67"/>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sz w:val="20"/>
      <w:szCs w:val="20"/>
      <w:lang w:val="en-AU"/>
    </w:rPr>
  </w:style>
  <w:style w:type="paragraph" w:customStyle="1" w:styleId="xl68">
    <w:name w:val="xl68"/>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b/>
      <w:bCs/>
      <w:sz w:val="20"/>
      <w:szCs w:val="20"/>
      <w:lang w:val="en-AU"/>
    </w:rPr>
  </w:style>
  <w:style w:type="paragraph" w:customStyle="1" w:styleId="xl69">
    <w:name w:val="xl69"/>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b/>
      <w:bCs/>
      <w:sz w:val="20"/>
      <w:szCs w:val="20"/>
      <w:lang w:val="en-AU"/>
    </w:rPr>
  </w:style>
  <w:style w:type="paragraph" w:customStyle="1" w:styleId="xl70">
    <w:name w:val="xl70"/>
    <w:basedOn w:val="Normal"/>
    <w:uiPriority w:val="99"/>
    <w:rsid w:val="0063419F"/>
    <w:pPr>
      <w:pBdr>
        <w:top w:val="single" w:sz="4" w:space="0" w:color="auto"/>
        <w:left w:val="single" w:sz="4" w:space="0" w:color="auto"/>
        <w:bottom w:val="single" w:sz="4" w:space="0" w:color="auto"/>
      </w:pBdr>
      <w:spacing w:before="100" w:beforeAutospacing="1" w:after="100" w:afterAutospacing="1"/>
    </w:pPr>
    <w:rPr>
      <w:rFonts w:ascii="Times" w:hAnsi="Times"/>
      <w:sz w:val="20"/>
      <w:szCs w:val="20"/>
      <w:lang w:val="en-AU"/>
    </w:rPr>
  </w:style>
  <w:style w:type="paragraph" w:customStyle="1" w:styleId="xl71">
    <w:name w:val="xl71"/>
    <w:basedOn w:val="Normal"/>
    <w:uiPriority w:val="99"/>
    <w:rsid w:val="006341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en-AU"/>
    </w:rPr>
  </w:style>
  <w:style w:type="character" w:customStyle="1" w:styleId="body1">
    <w:name w:val="body1"/>
    <w:basedOn w:val="DefaultParagraphFont"/>
    <w:uiPriority w:val="99"/>
    <w:rsid w:val="00982185"/>
    <w:rPr>
      <w:rFonts w:ascii="Verdana" w:hAnsi="Verdana" w:cs="Times New Roman"/>
      <w:color w:val="000099"/>
      <w:sz w:val="20"/>
      <w:szCs w:val="20"/>
    </w:rPr>
  </w:style>
  <w:style w:type="character" w:styleId="SubtleEmphasis">
    <w:name w:val="Subtle Emphasis"/>
    <w:basedOn w:val="DefaultParagraphFont"/>
    <w:uiPriority w:val="19"/>
    <w:qFormat/>
    <w:rsid w:val="002612A1"/>
    <w:rPr>
      <w:i/>
      <w:iCs/>
      <w:color w:val="808080" w:themeColor="text1" w:themeTint="7F"/>
    </w:rPr>
  </w:style>
  <w:style w:type="paragraph" w:styleId="Revision">
    <w:name w:val="Revision"/>
    <w:hidden/>
    <w:uiPriority w:val="99"/>
    <w:semiHidden/>
    <w:rsid w:val="00B269DB"/>
  </w:style>
  <w:style w:type="character" w:customStyle="1" w:styleId="Heading1Char1">
    <w:name w:val="Heading 1 Char1"/>
    <w:aliases w:val="h1 Char1,H1 Char1,h1 chapter heading Char1,A MAJOR/BOLD Char1,Section Heading Char1,Para1 Char1,1m Char1,Level 1 Head Char1,Heading 1.1 Char1"/>
    <w:basedOn w:val="DefaultParagraphFont"/>
    <w:rsid w:val="006C44B6"/>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h2 Char2,h2 main heading Char2,B Sub/Bold Char2,Activity Char2,A.B.C. Char2,Level I for #'s Char1,hoofd 2 Char1,Heading2-bio Char1,Career Exp. Char1,Heading 2 main heading Char2,H2 Char2,Heading 2 main heading Char Char1,h2 Char Char"/>
    <w:basedOn w:val="DefaultParagraphFont"/>
    <w:uiPriority w:val="9"/>
    <w:semiHidden/>
    <w:rsid w:val="006C44B6"/>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Activity head Char1,h3 Char1,Mi Char1,H3 Char1,h3 sub heading Char1,C Sub-Sub/Italic Char1,Level 1 - 2 Char1,Level 1 - 1 Char1,Normal Numbered Char1,VS3 Char1,Para3 Char1,Head 3 Char1,Head 31 Char1,Head 32 Char1,C Sub-Sub/Italic1 Char1"/>
    <w:basedOn w:val="DefaultParagraphFont"/>
    <w:uiPriority w:val="9"/>
    <w:semiHidden/>
    <w:rsid w:val="006C44B6"/>
    <w:rPr>
      <w:rFonts w:asciiTheme="majorHAnsi" w:eastAsiaTheme="majorEastAsia" w:hAnsiTheme="majorHAnsi" w:cstheme="majorBidi"/>
      <w:b/>
      <w:bCs/>
      <w:color w:val="4F81BD" w:themeColor="accent1"/>
      <w:sz w:val="24"/>
      <w:szCs w:val="24"/>
      <w:lang w:val="en-US"/>
    </w:rPr>
  </w:style>
  <w:style w:type="character" w:customStyle="1" w:styleId="Heading4Char2">
    <w:name w:val="Heading 4 Char2"/>
    <w:aliases w:val="Heading 4 Char Char Char2,Heading 4 Char Char Char Char Char2,h4 sub sub heading Char1,h4 Char1,Te Char1,D Sub-Sub/Plain Char1,heading 4 Char1,Heading 4 Char Char Char Char Char Char1,heading 4 Char Char Char Char1,Heading 4 Char1 Char1"/>
    <w:basedOn w:val="DefaultParagraphFont"/>
    <w:uiPriority w:val="9"/>
    <w:semiHidden/>
    <w:rsid w:val="006C44B6"/>
    <w:rPr>
      <w:rFonts w:asciiTheme="majorHAnsi" w:eastAsiaTheme="majorEastAsia" w:hAnsiTheme="majorHAnsi" w:cstheme="majorBidi"/>
      <w:b/>
      <w:bCs/>
      <w:i/>
      <w:iCs/>
      <w:color w:val="4F81BD" w:themeColor="accent1"/>
      <w:sz w:val="24"/>
      <w:szCs w:val="24"/>
      <w:lang w:val="en-US"/>
    </w:rPr>
  </w:style>
  <w:style w:type="character" w:customStyle="1" w:styleId="FootnoteTextChar1">
    <w:name w:val="Footnote Text Char1"/>
    <w:aliases w:val="ACMA Footnote Text Char1,Footnote Text Char1 Char Char1,Footnote Text Char Char Char Char1,Footnote Text Char Char Char Char Char Char Char Char Char Char Char Char1,Footnote Text Char Char Char Char Char Char Char Char Char1"/>
    <w:basedOn w:val="DefaultParagraphFont"/>
    <w:semiHidden/>
    <w:rsid w:val="006C44B6"/>
    <w:rPr>
      <w:sz w:val="20"/>
      <w:szCs w:val="20"/>
    </w:rPr>
  </w:style>
  <w:style w:type="paragraph" w:styleId="TOCHeading">
    <w:name w:val="TOC Heading"/>
    <w:basedOn w:val="Heading1"/>
    <w:next w:val="Normal"/>
    <w:uiPriority w:val="39"/>
    <w:semiHidden/>
    <w:unhideWhenUsed/>
    <w:qFormat/>
    <w:rsid w:val="006C44B6"/>
    <w:pPr>
      <w:spacing w:line="276" w:lineRule="auto"/>
      <w:outlineLvl w:val="9"/>
    </w:pPr>
    <w:rPr>
      <w:color w:val="365F91" w:themeColor="accent1" w:themeShade="BF"/>
      <w:sz w:val="28"/>
      <w:szCs w:val="28"/>
      <w:lang w:eastAsia="ja-JP"/>
    </w:rPr>
  </w:style>
  <w:style w:type="character" w:styleId="IntenseReference">
    <w:name w:val="Intense Reference"/>
    <w:basedOn w:val="DefaultParagraphFont"/>
    <w:uiPriority w:val="32"/>
    <w:qFormat/>
    <w:rsid w:val="00371D16"/>
    <w:rPr>
      <w:b/>
      <w:bCs/>
      <w:i/>
      <w:smallCaps/>
      <w:color w:val="C0504D"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316">
      <w:bodyDiv w:val="1"/>
      <w:marLeft w:val="0"/>
      <w:marRight w:val="0"/>
      <w:marTop w:val="0"/>
      <w:marBottom w:val="0"/>
      <w:divBdr>
        <w:top w:val="none" w:sz="0" w:space="0" w:color="auto"/>
        <w:left w:val="none" w:sz="0" w:space="0" w:color="auto"/>
        <w:bottom w:val="none" w:sz="0" w:space="0" w:color="auto"/>
        <w:right w:val="none" w:sz="0" w:space="0" w:color="auto"/>
      </w:divBdr>
    </w:div>
    <w:div w:id="112797718">
      <w:bodyDiv w:val="1"/>
      <w:marLeft w:val="0"/>
      <w:marRight w:val="0"/>
      <w:marTop w:val="0"/>
      <w:marBottom w:val="0"/>
      <w:divBdr>
        <w:top w:val="none" w:sz="0" w:space="0" w:color="auto"/>
        <w:left w:val="none" w:sz="0" w:space="0" w:color="auto"/>
        <w:bottom w:val="none" w:sz="0" w:space="0" w:color="auto"/>
        <w:right w:val="none" w:sz="0" w:space="0" w:color="auto"/>
      </w:divBdr>
    </w:div>
    <w:div w:id="125854097">
      <w:bodyDiv w:val="1"/>
      <w:marLeft w:val="120"/>
      <w:marRight w:val="120"/>
      <w:marTop w:val="0"/>
      <w:marBottom w:val="0"/>
      <w:divBdr>
        <w:top w:val="none" w:sz="0" w:space="0" w:color="auto"/>
        <w:left w:val="none" w:sz="0" w:space="0" w:color="auto"/>
        <w:bottom w:val="none" w:sz="0" w:space="0" w:color="auto"/>
        <w:right w:val="none" w:sz="0" w:space="0" w:color="auto"/>
      </w:divBdr>
    </w:div>
    <w:div w:id="133523319">
      <w:bodyDiv w:val="1"/>
      <w:marLeft w:val="0"/>
      <w:marRight w:val="0"/>
      <w:marTop w:val="0"/>
      <w:marBottom w:val="0"/>
      <w:divBdr>
        <w:top w:val="none" w:sz="0" w:space="0" w:color="auto"/>
        <w:left w:val="none" w:sz="0" w:space="0" w:color="auto"/>
        <w:bottom w:val="none" w:sz="0" w:space="0" w:color="auto"/>
        <w:right w:val="none" w:sz="0" w:space="0" w:color="auto"/>
      </w:divBdr>
    </w:div>
    <w:div w:id="138226622">
      <w:bodyDiv w:val="1"/>
      <w:marLeft w:val="0"/>
      <w:marRight w:val="0"/>
      <w:marTop w:val="0"/>
      <w:marBottom w:val="0"/>
      <w:divBdr>
        <w:top w:val="none" w:sz="0" w:space="0" w:color="auto"/>
        <w:left w:val="none" w:sz="0" w:space="0" w:color="auto"/>
        <w:bottom w:val="none" w:sz="0" w:space="0" w:color="auto"/>
        <w:right w:val="none" w:sz="0" w:space="0" w:color="auto"/>
      </w:divBdr>
    </w:div>
    <w:div w:id="156725906">
      <w:bodyDiv w:val="1"/>
      <w:marLeft w:val="0"/>
      <w:marRight w:val="0"/>
      <w:marTop w:val="0"/>
      <w:marBottom w:val="0"/>
      <w:divBdr>
        <w:top w:val="none" w:sz="0" w:space="0" w:color="auto"/>
        <w:left w:val="none" w:sz="0" w:space="0" w:color="auto"/>
        <w:bottom w:val="none" w:sz="0" w:space="0" w:color="auto"/>
        <w:right w:val="none" w:sz="0" w:space="0" w:color="auto"/>
      </w:divBdr>
    </w:div>
    <w:div w:id="164174738">
      <w:bodyDiv w:val="1"/>
      <w:marLeft w:val="0"/>
      <w:marRight w:val="0"/>
      <w:marTop w:val="0"/>
      <w:marBottom w:val="0"/>
      <w:divBdr>
        <w:top w:val="none" w:sz="0" w:space="0" w:color="auto"/>
        <w:left w:val="none" w:sz="0" w:space="0" w:color="auto"/>
        <w:bottom w:val="none" w:sz="0" w:space="0" w:color="auto"/>
        <w:right w:val="none" w:sz="0" w:space="0" w:color="auto"/>
      </w:divBdr>
    </w:div>
    <w:div w:id="177816205">
      <w:bodyDiv w:val="1"/>
      <w:marLeft w:val="0"/>
      <w:marRight w:val="0"/>
      <w:marTop w:val="0"/>
      <w:marBottom w:val="0"/>
      <w:divBdr>
        <w:top w:val="none" w:sz="0" w:space="0" w:color="auto"/>
        <w:left w:val="none" w:sz="0" w:space="0" w:color="auto"/>
        <w:bottom w:val="none" w:sz="0" w:space="0" w:color="auto"/>
        <w:right w:val="none" w:sz="0" w:space="0" w:color="auto"/>
      </w:divBdr>
    </w:div>
    <w:div w:id="186603189">
      <w:bodyDiv w:val="1"/>
      <w:marLeft w:val="0"/>
      <w:marRight w:val="0"/>
      <w:marTop w:val="0"/>
      <w:marBottom w:val="0"/>
      <w:divBdr>
        <w:top w:val="none" w:sz="0" w:space="0" w:color="auto"/>
        <w:left w:val="none" w:sz="0" w:space="0" w:color="auto"/>
        <w:bottom w:val="none" w:sz="0" w:space="0" w:color="auto"/>
        <w:right w:val="none" w:sz="0" w:space="0" w:color="auto"/>
      </w:divBdr>
    </w:div>
    <w:div w:id="220291697">
      <w:bodyDiv w:val="1"/>
      <w:marLeft w:val="0"/>
      <w:marRight w:val="0"/>
      <w:marTop w:val="0"/>
      <w:marBottom w:val="0"/>
      <w:divBdr>
        <w:top w:val="none" w:sz="0" w:space="0" w:color="auto"/>
        <w:left w:val="none" w:sz="0" w:space="0" w:color="auto"/>
        <w:bottom w:val="none" w:sz="0" w:space="0" w:color="auto"/>
        <w:right w:val="none" w:sz="0" w:space="0" w:color="auto"/>
      </w:divBdr>
    </w:div>
    <w:div w:id="227695931">
      <w:bodyDiv w:val="1"/>
      <w:marLeft w:val="0"/>
      <w:marRight w:val="0"/>
      <w:marTop w:val="0"/>
      <w:marBottom w:val="0"/>
      <w:divBdr>
        <w:top w:val="none" w:sz="0" w:space="0" w:color="auto"/>
        <w:left w:val="none" w:sz="0" w:space="0" w:color="auto"/>
        <w:bottom w:val="none" w:sz="0" w:space="0" w:color="auto"/>
        <w:right w:val="none" w:sz="0" w:space="0" w:color="auto"/>
      </w:divBdr>
    </w:div>
    <w:div w:id="257519086">
      <w:bodyDiv w:val="1"/>
      <w:marLeft w:val="0"/>
      <w:marRight w:val="0"/>
      <w:marTop w:val="0"/>
      <w:marBottom w:val="0"/>
      <w:divBdr>
        <w:top w:val="none" w:sz="0" w:space="0" w:color="auto"/>
        <w:left w:val="none" w:sz="0" w:space="0" w:color="auto"/>
        <w:bottom w:val="none" w:sz="0" w:space="0" w:color="auto"/>
        <w:right w:val="none" w:sz="0" w:space="0" w:color="auto"/>
      </w:divBdr>
    </w:div>
    <w:div w:id="273171959">
      <w:bodyDiv w:val="1"/>
      <w:marLeft w:val="0"/>
      <w:marRight w:val="0"/>
      <w:marTop w:val="0"/>
      <w:marBottom w:val="0"/>
      <w:divBdr>
        <w:top w:val="none" w:sz="0" w:space="0" w:color="auto"/>
        <w:left w:val="none" w:sz="0" w:space="0" w:color="auto"/>
        <w:bottom w:val="none" w:sz="0" w:space="0" w:color="auto"/>
        <w:right w:val="none" w:sz="0" w:space="0" w:color="auto"/>
      </w:divBdr>
    </w:div>
    <w:div w:id="327556992">
      <w:bodyDiv w:val="1"/>
      <w:marLeft w:val="0"/>
      <w:marRight w:val="0"/>
      <w:marTop w:val="0"/>
      <w:marBottom w:val="0"/>
      <w:divBdr>
        <w:top w:val="none" w:sz="0" w:space="0" w:color="auto"/>
        <w:left w:val="none" w:sz="0" w:space="0" w:color="auto"/>
        <w:bottom w:val="none" w:sz="0" w:space="0" w:color="auto"/>
        <w:right w:val="none" w:sz="0" w:space="0" w:color="auto"/>
      </w:divBdr>
    </w:div>
    <w:div w:id="347605912">
      <w:bodyDiv w:val="1"/>
      <w:marLeft w:val="0"/>
      <w:marRight w:val="0"/>
      <w:marTop w:val="0"/>
      <w:marBottom w:val="0"/>
      <w:divBdr>
        <w:top w:val="none" w:sz="0" w:space="0" w:color="auto"/>
        <w:left w:val="none" w:sz="0" w:space="0" w:color="auto"/>
        <w:bottom w:val="none" w:sz="0" w:space="0" w:color="auto"/>
        <w:right w:val="none" w:sz="0" w:space="0" w:color="auto"/>
      </w:divBdr>
    </w:div>
    <w:div w:id="364446369">
      <w:bodyDiv w:val="1"/>
      <w:marLeft w:val="0"/>
      <w:marRight w:val="0"/>
      <w:marTop w:val="0"/>
      <w:marBottom w:val="0"/>
      <w:divBdr>
        <w:top w:val="none" w:sz="0" w:space="0" w:color="auto"/>
        <w:left w:val="none" w:sz="0" w:space="0" w:color="auto"/>
        <w:bottom w:val="none" w:sz="0" w:space="0" w:color="auto"/>
        <w:right w:val="none" w:sz="0" w:space="0" w:color="auto"/>
      </w:divBdr>
    </w:div>
    <w:div w:id="381447355">
      <w:bodyDiv w:val="1"/>
      <w:marLeft w:val="0"/>
      <w:marRight w:val="0"/>
      <w:marTop w:val="0"/>
      <w:marBottom w:val="0"/>
      <w:divBdr>
        <w:top w:val="none" w:sz="0" w:space="0" w:color="auto"/>
        <w:left w:val="none" w:sz="0" w:space="0" w:color="auto"/>
        <w:bottom w:val="none" w:sz="0" w:space="0" w:color="auto"/>
        <w:right w:val="none" w:sz="0" w:space="0" w:color="auto"/>
      </w:divBdr>
    </w:div>
    <w:div w:id="412049010">
      <w:bodyDiv w:val="1"/>
      <w:marLeft w:val="0"/>
      <w:marRight w:val="0"/>
      <w:marTop w:val="0"/>
      <w:marBottom w:val="0"/>
      <w:divBdr>
        <w:top w:val="none" w:sz="0" w:space="0" w:color="auto"/>
        <w:left w:val="none" w:sz="0" w:space="0" w:color="auto"/>
        <w:bottom w:val="none" w:sz="0" w:space="0" w:color="auto"/>
        <w:right w:val="none" w:sz="0" w:space="0" w:color="auto"/>
      </w:divBdr>
    </w:div>
    <w:div w:id="460804451">
      <w:bodyDiv w:val="1"/>
      <w:marLeft w:val="0"/>
      <w:marRight w:val="0"/>
      <w:marTop w:val="0"/>
      <w:marBottom w:val="0"/>
      <w:divBdr>
        <w:top w:val="none" w:sz="0" w:space="0" w:color="auto"/>
        <w:left w:val="none" w:sz="0" w:space="0" w:color="auto"/>
        <w:bottom w:val="none" w:sz="0" w:space="0" w:color="auto"/>
        <w:right w:val="none" w:sz="0" w:space="0" w:color="auto"/>
      </w:divBdr>
    </w:div>
    <w:div w:id="468940204">
      <w:bodyDiv w:val="1"/>
      <w:marLeft w:val="0"/>
      <w:marRight w:val="0"/>
      <w:marTop w:val="0"/>
      <w:marBottom w:val="0"/>
      <w:divBdr>
        <w:top w:val="none" w:sz="0" w:space="0" w:color="auto"/>
        <w:left w:val="none" w:sz="0" w:space="0" w:color="auto"/>
        <w:bottom w:val="none" w:sz="0" w:space="0" w:color="auto"/>
        <w:right w:val="none" w:sz="0" w:space="0" w:color="auto"/>
      </w:divBdr>
    </w:div>
    <w:div w:id="500242291">
      <w:bodyDiv w:val="1"/>
      <w:marLeft w:val="0"/>
      <w:marRight w:val="0"/>
      <w:marTop w:val="0"/>
      <w:marBottom w:val="0"/>
      <w:divBdr>
        <w:top w:val="none" w:sz="0" w:space="0" w:color="auto"/>
        <w:left w:val="none" w:sz="0" w:space="0" w:color="auto"/>
        <w:bottom w:val="none" w:sz="0" w:space="0" w:color="auto"/>
        <w:right w:val="none" w:sz="0" w:space="0" w:color="auto"/>
      </w:divBdr>
    </w:div>
    <w:div w:id="510291547">
      <w:bodyDiv w:val="1"/>
      <w:marLeft w:val="0"/>
      <w:marRight w:val="0"/>
      <w:marTop w:val="0"/>
      <w:marBottom w:val="0"/>
      <w:divBdr>
        <w:top w:val="none" w:sz="0" w:space="0" w:color="auto"/>
        <w:left w:val="none" w:sz="0" w:space="0" w:color="auto"/>
        <w:bottom w:val="none" w:sz="0" w:space="0" w:color="auto"/>
        <w:right w:val="none" w:sz="0" w:space="0" w:color="auto"/>
      </w:divBdr>
    </w:div>
    <w:div w:id="522285654">
      <w:bodyDiv w:val="1"/>
      <w:marLeft w:val="0"/>
      <w:marRight w:val="0"/>
      <w:marTop w:val="0"/>
      <w:marBottom w:val="0"/>
      <w:divBdr>
        <w:top w:val="none" w:sz="0" w:space="0" w:color="auto"/>
        <w:left w:val="none" w:sz="0" w:space="0" w:color="auto"/>
        <w:bottom w:val="none" w:sz="0" w:space="0" w:color="auto"/>
        <w:right w:val="none" w:sz="0" w:space="0" w:color="auto"/>
      </w:divBdr>
    </w:div>
    <w:div w:id="522288613">
      <w:bodyDiv w:val="1"/>
      <w:marLeft w:val="0"/>
      <w:marRight w:val="0"/>
      <w:marTop w:val="0"/>
      <w:marBottom w:val="0"/>
      <w:divBdr>
        <w:top w:val="none" w:sz="0" w:space="0" w:color="auto"/>
        <w:left w:val="none" w:sz="0" w:space="0" w:color="auto"/>
        <w:bottom w:val="none" w:sz="0" w:space="0" w:color="auto"/>
        <w:right w:val="none" w:sz="0" w:space="0" w:color="auto"/>
      </w:divBdr>
    </w:div>
    <w:div w:id="541019087">
      <w:bodyDiv w:val="1"/>
      <w:marLeft w:val="0"/>
      <w:marRight w:val="0"/>
      <w:marTop w:val="0"/>
      <w:marBottom w:val="0"/>
      <w:divBdr>
        <w:top w:val="none" w:sz="0" w:space="0" w:color="auto"/>
        <w:left w:val="none" w:sz="0" w:space="0" w:color="auto"/>
        <w:bottom w:val="none" w:sz="0" w:space="0" w:color="auto"/>
        <w:right w:val="none" w:sz="0" w:space="0" w:color="auto"/>
      </w:divBdr>
    </w:div>
    <w:div w:id="542451207">
      <w:bodyDiv w:val="1"/>
      <w:marLeft w:val="120"/>
      <w:marRight w:val="120"/>
      <w:marTop w:val="0"/>
      <w:marBottom w:val="0"/>
      <w:divBdr>
        <w:top w:val="none" w:sz="0" w:space="0" w:color="auto"/>
        <w:left w:val="none" w:sz="0" w:space="0" w:color="auto"/>
        <w:bottom w:val="none" w:sz="0" w:space="0" w:color="auto"/>
        <w:right w:val="none" w:sz="0" w:space="0" w:color="auto"/>
      </w:divBdr>
    </w:div>
    <w:div w:id="542861445">
      <w:bodyDiv w:val="1"/>
      <w:marLeft w:val="0"/>
      <w:marRight w:val="0"/>
      <w:marTop w:val="0"/>
      <w:marBottom w:val="0"/>
      <w:divBdr>
        <w:top w:val="none" w:sz="0" w:space="0" w:color="auto"/>
        <w:left w:val="none" w:sz="0" w:space="0" w:color="auto"/>
        <w:bottom w:val="none" w:sz="0" w:space="0" w:color="auto"/>
        <w:right w:val="none" w:sz="0" w:space="0" w:color="auto"/>
      </w:divBdr>
    </w:div>
    <w:div w:id="554464039">
      <w:bodyDiv w:val="1"/>
      <w:marLeft w:val="120"/>
      <w:marRight w:val="120"/>
      <w:marTop w:val="0"/>
      <w:marBottom w:val="0"/>
      <w:divBdr>
        <w:top w:val="none" w:sz="0" w:space="0" w:color="auto"/>
        <w:left w:val="none" w:sz="0" w:space="0" w:color="auto"/>
        <w:bottom w:val="none" w:sz="0" w:space="0" w:color="auto"/>
        <w:right w:val="none" w:sz="0" w:space="0" w:color="auto"/>
      </w:divBdr>
    </w:div>
    <w:div w:id="561789090">
      <w:bodyDiv w:val="1"/>
      <w:marLeft w:val="0"/>
      <w:marRight w:val="0"/>
      <w:marTop w:val="0"/>
      <w:marBottom w:val="0"/>
      <w:divBdr>
        <w:top w:val="none" w:sz="0" w:space="0" w:color="auto"/>
        <w:left w:val="none" w:sz="0" w:space="0" w:color="auto"/>
        <w:bottom w:val="none" w:sz="0" w:space="0" w:color="auto"/>
        <w:right w:val="none" w:sz="0" w:space="0" w:color="auto"/>
      </w:divBdr>
    </w:div>
    <w:div w:id="575088176">
      <w:bodyDiv w:val="1"/>
      <w:marLeft w:val="0"/>
      <w:marRight w:val="0"/>
      <w:marTop w:val="0"/>
      <w:marBottom w:val="0"/>
      <w:divBdr>
        <w:top w:val="none" w:sz="0" w:space="0" w:color="auto"/>
        <w:left w:val="none" w:sz="0" w:space="0" w:color="auto"/>
        <w:bottom w:val="none" w:sz="0" w:space="0" w:color="auto"/>
        <w:right w:val="none" w:sz="0" w:space="0" w:color="auto"/>
      </w:divBdr>
    </w:div>
    <w:div w:id="679888591">
      <w:bodyDiv w:val="1"/>
      <w:marLeft w:val="0"/>
      <w:marRight w:val="0"/>
      <w:marTop w:val="0"/>
      <w:marBottom w:val="0"/>
      <w:divBdr>
        <w:top w:val="none" w:sz="0" w:space="0" w:color="auto"/>
        <w:left w:val="none" w:sz="0" w:space="0" w:color="auto"/>
        <w:bottom w:val="none" w:sz="0" w:space="0" w:color="auto"/>
        <w:right w:val="none" w:sz="0" w:space="0" w:color="auto"/>
      </w:divBdr>
    </w:div>
    <w:div w:id="695303585">
      <w:bodyDiv w:val="1"/>
      <w:marLeft w:val="0"/>
      <w:marRight w:val="0"/>
      <w:marTop w:val="0"/>
      <w:marBottom w:val="0"/>
      <w:divBdr>
        <w:top w:val="none" w:sz="0" w:space="0" w:color="auto"/>
        <w:left w:val="none" w:sz="0" w:space="0" w:color="auto"/>
        <w:bottom w:val="none" w:sz="0" w:space="0" w:color="auto"/>
        <w:right w:val="none" w:sz="0" w:space="0" w:color="auto"/>
      </w:divBdr>
    </w:div>
    <w:div w:id="709233461">
      <w:bodyDiv w:val="1"/>
      <w:marLeft w:val="0"/>
      <w:marRight w:val="0"/>
      <w:marTop w:val="0"/>
      <w:marBottom w:val="0"/>
      <w:divBdr>
        <w:top w:val="none" w:sz="0" w:space="0" w:color="auto"/>
        <w:left w:val="none" w:sz="0" w:space="0" w:color="auto"/>
        <w:bottom w:val="none" w:sz="0" w:space="0" w:color="auto"/>
        <w:right w:val="none" w:sz="0" w:space="0" w:color="auto"/>
      </w:divBdr>
    </w:div>
    <w:div w:id="718939242">
      <w:bodyDiv w:val="1"/>
      <w:marLeft w:val="0"/>
      <w:marRight w:val="0"/>
      <w:marTop w:val="0"/>
      <w:marBottom w:val="0"/>
      <w:divBdr>
        <w:top w:val="none" w:sz="0" w:space="0" w:color="auto"/>
        <w:left w:val="none" w:sz="0" w:space="0" w:color="auto"/>
        <w:bottom w:val="none" w:sz="0" w:space="0" w:color="auto"/>
        <w:right w:val="none" w:sz="0" w:space="0" w:color="auto"/>
      </w:divBdr>
    </w:div>
    <w:div w:id="754857591">
      <w:bodyDiv w:val="1"/>
      <w:marLeft w:val="120"/>
      <w:marRight w:val="120"/>
      <w:marTop w:val="0"/>
      <w:marBottom w:val="0"/>
      <w:divBdr>
        <w:top w:val="none" w:sz="0" w:space="0" w:color="auto"/>
        <w:left w:val="none" w:sz="0" w:space="0" w:color="auto"/>
        <w:bottom w:val="none" w:sz="0" w:space="0" w:color="auto"/>
        <w:right w:val="none" w:sz="0" w:space="0" w:color="auto"/>
      </w:divBdr>
    </w:div>
    <w:div w:id="784350318">
      <w:bodyDiv w:val="1"/>
      <w:marLeft w:val="0"/>
      <w:marRight w:val="0"/>
      <w:marTop w:val="0"/>
      <w:marBottom w:val="0"/>
      <w:divBdr>
        <w:top w:val="none" w:sz="0" w:space="0" w:color="auto"/>
        <w:left w:val="none" w:sz="0" w:space="0" w:color="auto"/>
        <w:bottom w:val="none" w:sz="0" w:space="0" w:color="auto"/>
        <w:right w:val="none" w:sz="0" w:space="0" w:color="auto"/>
      </w:divBdr>
    </w:div>
    <w:div w:id="804542411">
      <w:bodyDiv w:val="1"/>
      <w:marLeft w:val="120"/>
      <w:marRight w:val="120"/>
      <w:marTop w:val="0"/>
      <w:marBottom w:val="0"/>
      <w:divBdr>
        <w:top w:val="none" w:sz="0" w:space="0" w:color="auto"/>
        <w:left w:val="none" w:sz="0" w:space="0" w:color="auto"/>
        <w:bottom w:val="none" w:sz="0" w:space="0" w:color="auto"/>
        <w:right w:val="none" w:sz="0" w:space="0" w:color="auto"/>
      </w:divBdr>
    </w:div>
    <w:div w:id="840588131">
      <w:bodyDiv w:val="1"/>
      <w:marLeft w:val="0"/>
      <w:marRight w:val="0"/>
      <w:marTop w:val="0"/>
      <w:marBottom w:val="0"/>
      <w:divBdr>
        <w:top w:val="none" w:sz="0" w:space="0" w:color="auto"/>
        <w:left w:val="none" w:sz="0" w:space="0" w:color="auto"/>
        <w:bottom w:val="none" w:sz="0" w:space="0" w:color="auto"/>
        <w:right w:val="none" w:sz="0" w:space="0" w:color="auto"/>
      </w:divBdr>
    </w:div>
    <w:div w:id="876814727">
      <w:bodyDiv w:val="1"/>
      <w:marLeft w:val="0"/>
      <w:marRight w:val="0"/>
      <w:marTop w:val="0"/>
      <w:marBottom w:val="0"/>
      <w:divBdr>
        <w:top w:val="none" w:sz="0" w:space="0" w:color="auto"/>
        <w:left w:val="none" w:sz="0" w:space="0" w:color="auto"/>
        <w:bottom w:val="none" w:sz="0" w:space="0" w:color="auto"/>
        <w:right w:val="none" w:sz="0" w:space="0" w:color="auto"/>
      </w:divBdr>
    </w:div>
    <w:div w:id="909578435">
      <w:bodyDiv w:val="1"/>
      <w:marLeft w:val="0"/>
      <w:marRight w:val="0"/>
      <w:marTop w:val="0"/>
      <w:marBottom w:val="0"/>
      <w:divBdr>
        <w:top w:val="none" w:sz="0" w:space="0" w:color="auto"/>
        <w:left w:val="none" w:sz="0" w:space="0" w:color="auto"/>
        <w:bottom w:val="none" w:sz="0" w:space="0" w:color="auto"/>
        <w:right w:val="none" w:sz="0" w:space="0" w:color="auto"/>
      </w:divBdr>
    </w:div>
    <w:div w:id="920213078">
      <w:bodyDiv w:val="1"/>
      <w:marLeft w:val="120"/>
      <w:marRight w:val="120"/>
      <w:marTop w:val="0"/>
      <w:marBottom w:val="0"/>
      <w:divBdr>
        <w:top w:val="none" w:sz="0" w:space="0" w:color="auto"/>
        <w:left w:val="none" w:sz="0" w:space="0" w:color="auto"/>
        <w:bottom w:val="none" w:sz="0" w:space="0" w:color="auto"/>
        <w:right w:val="none" w:sz="0" w:space="0" w:color="auto"/>
      </w:divBdr>
    </w:div>
    <w:div w:id="934705104">
      <w:bodyDiv w:val="1"/>
      <w:marLeft w:val="0"/>
      <w:marRight w:val="0"/>
      <w:marTop w:val="0"/>
      <w:marBottom w:val="0"/>
      <w:divBdr>
        <w:top w:val="none" w:sz="0" w:space="0" w:color="auto"/>
        <w:left w:val="none" w:sz="0" w:space="0" w:color="auto"/>
        <w:bottom w:val="none" w:sz="0" w:space="0" w:color="auto"/>
        <w:right w:val="none" w:sz="0" w:space="0" w:color="auto"/>
      </w:divBdr>
    </w:div>
    <w:div w:id="944968603">
      <w:bodyDiv w:val="1"/>
      <w:marLeft w:val="0"/>
      <w:marRight w:val="0"/>
      <w:marTop w:val="0"/>
      <w:marBottom w:val="0"/>
      <w:divBdr>
        <w:top w:val="none" w:sz="0" w:space="0" w:color="auto"/>
        <w:left w:val="none" w:sz="0" w:space="0" w:color="auto"/>
        <w:bottom w:val="none" w:sz="0" w:space="0" w:color="auto"/>
        <w:right w:val="none" w:sz="0" w:space="0" w:color="auto"/>
      </w:divBdr>
    </w:div>
    <w:div w:id="947857427">
      <w:bodyDiv w:val="1"/>
      <w:marLeft w:val="0"/>
      <w:marRight w:val="0"/>
      <w:marTop w:val="0"/>
      <w:marBottom w:val="0"/>
      <w:divBdr>
        <w:top w:val="none" w:sz="0" w:space="0" w:color="auto"/>
        <w:left w:val="none" w:sz="0" w:space="0" w:color="auto"/>
        <w:bottom w:val="none" w:sz="0" w:space="0" w:color="auto"/>
        <w:right w:val="none" w:sz="0" w:space="0" w:color="auto"/>
      </w:divBdr>
    </w:div>
    <w:div w:id="948439793">
      <w:bodyDiv w:val="1"/>
      <w:marLeft w:val="0"/>
      <w:marRight w:val="0"/>
      <w:marTop w:val="0"/>
      <w:marBottom w:val="0"/>
      <w:divBdr>
        <w:top w:val="none" w:sz="0" w:space="0" w:color="auto"/>
        <w:left w:val="none" w:sz="0" w:space="0" w:color="auto"/>
        <w:bottom w:val="none" w:sz="0" w:space="0" w:color="auto"/>
        <w:right w:val="none" w:sz="0" w:space="0" w:color="auto"/>
      </w:divBdr>
    </w:div>
    <w:div w:id="967392270">
      <w:bodyDiv w:val="1"/>
      <w:marLeft w:val="0"/>
      <w:marRight w:val="0"/>
      <w:marTop w:val="0"/>
      <w:marBottom w:val="0"/>
      <w:divBdr>
        <w:top w:val="none" w:sz="0" w:space="0" w:color="auto"/>
        <w:left w:val="none" w:sz="0" w:space="0" w:color="auto"/>
        <w:bottom w:val="none" w:sz="0" w:space="0" w:color="auto"/>
        <w:right w:val="none" w:sz="0" w:space="0" w:color="auto"/>
      </w:divBdr>
    </w:div>
    <w:div w:id="1011032974">
      <w:bodyDiv w:val="1"/>
      <w:marLeft w:val="0"/>
      <w:marRight w:val="0"/>
      <w:marTop w:val="0"/>
      <w:marBottom w:val="0"/>
      <w:divBdr>
        <w:top w:val="none" w:sz="0" w:space="0" w:color="auto"/>
        <w:left w:val="none" w:sz="0" w:space="0" w:color="auto"/>
        <w:bottom w:val="none" w:sz="0" w:space="0" w:color="auto"/>
        <w:right w:val="none" w:sz="0" w:space="0" w:color="auto"/>
      </w:divBdr>
    </w:div>
    <w:div w:id="1028945324">
      <w:bodyDiv w:val="1"/>
      <w:marLeft w:val="0"/>
      <w:marRight w:val="0"/>
      <w:marTop w:val="0"/>
      <w:marBottom w:val="0"/>
      <w:divBdr>
        <w:top w:val="none" w:sz="0" w:space="0" w:color="auto"/>
        <w:left w:val="none" w:sz="0" w:space="0" w:color="auto"/>
        <w:bottom w:val="none" w:sz="0" w:space="0" w:color="auto"/>
        <w:right w:val="none" w:sz="0" w:space="0" w:color="auto"/>
      </w:divBdr>
    </w:div>
    <w:div w:id="1033773880">
      <w:bodyDiv w:val="1"/>
      <w:marLeft w:val="0"/>
      <w:marRight w:val="0"/>
      <w:marTop w:val="0"/>
      <w:marBottom w:val="0"/>
      <w:divBdr>
        <w:top w:val="none" w:sz="0" w:space="0" w:color="auto"/>
        <w:left w:val="none" w:sz="0" w:space="0" w:color="auto"/>
        <w:bottom w:val="none" w:sz="0" w:space="0" w:color="auto"/>
        <w:right w:val="none" w:sz="0" w:space="0" w:color="auto"/>
      </w:divBdr>
    </w:div>
    <w:div w:id="1039936220">
      <w:bodyDiv w:val="1"/>
      <w:marLeft w:val="0"/>
      <w:marRight w:val="0"/>
      <w:marTop w:val="0"/>
      <w:marBottom w:val="0"/>
      <w:divBdr>
        <w:top w:val="none" w:sz="0" w:space="0" w:color="auto"/>
        <w:left w:val="none" w:sz="0" w:space="0" w:color="auto"/>
        <w:bottom w:val="none" w:sz="0" w:space="0" w:color="auto"/>
        <w:right w:val="none" w:sz="0" w:space="0" w:color="auto"/>
      </w:divBdr>
    </w:div>
    <w:div w:id="1045527630">
      <w:bodyDiv w:val="1"/>
      <w:marLeft w:val="120"/>
      <w:marRight w:val="120"/>
      <w:marTop w:val="0"/>
      <w:marBottom w:val="0"/>
      <w:divBdr>
        <w:top w:val="none" w:sz="0" w:space="0" w:color="auto"/>
        <w:left w:val="none" w:sz="0" w:space="0" w:color="auto"/>
        <w:bottom w:val="none" w:sz="0" w:space="0" w:color="auto"/>
        <w:right w:val="none" w:sz="0" w:space="0" w:color="auto"/>
      </w:divBdr>
    </w:div>
    <w:div w:id="1053038248">
      <w:bodyDiv w:val="1"/>
      <w:marLeft w:val="0"/>
      <w:marRight w:val="0"/>
      <w:marTop w:val="0"/>
      <w:marBottom w:val="0"/>
      <w:divBdr>
        <w:top w:val="none" w:sz="0" w:space="0" w:color="auto"/>
        <w:left w:val="none" w:sz="0" w:space="0" w:color="auto"/>
        <w:bottom w:val="none" w:sz="0" w:space="0" w:color="auto"/>
        <w:right w:val="none" w:sz="0" w:space="0" w:color="auto"/>
      </w:divBdr>
    </w:div>
    <w:div w:id="1054885851">
      <w:bodyDiv w:val="1"/>
      <w:marLeft w:val="0"/>
      <w:marRight w:val="0"/>
      <w:marTop w:val="0"/>
      <w:marBottom w:val="0"/>
      <w:divBdr>
        <w:top w:val="none" w:sz="0" w:space="0" w:color="auto"/>
        <w:left w:val="none" w:sz="0" w:space="0" w:color="auto"/>
        <w:bottom w:val="none" w:sz="0" w:space="0" w:color="auto"/>
        <w:right w:val="none" w:sz="0" w:space="0" w:color="auto"/>
      </w:divBdr>
    </w:div>
    <w:div w:id="1100376280">
      <w:bodyDiv w:val="1"/>
      <w:marLeft w:val="0"/>
      <w:marRight w:val="0"/>
      <w:marTop w:val="0"/>
      <w:marBottom w:val="0"/>
      <w:divBdr>
        <w:top w:val="none" w:sz="0" w:space="0" w:color="auto"/>
        <w:left w:val="none" w:sz="0" w:space="0" w:color="auto"/>
        <w:bottom w:val="none" w:sz="0" w:space="0" w:color="auto"/>
        <w:right w:val="none" w:sz="0" w:space="0" w:color="auto"/>
      </w:divBdr>
    </w:div>
    <w:div w:id="1116021213">
      <w:bodyDiv w:val="1"/>
      <w:marLeft w:val="0"/>
      <w:marRight w:val="0"/>
      <w:marTop w:val="0"/>
      <w:marBottom w:val="0"/>
      <w:divBdr>
        <w:top w:val="none" w:sz="0" w:space="0" w:color="auto"/>
        <w:left w:val="none" w:sz="0" w:space="0" w:color="auto"/>
        <w:bottom w:val="none" w:sz="0" w:space="0" w:color="auto"/>
        <w:right w:val="none" w:sz="0" w:space="0" w:color="auto"/>
      </w:divBdr>
    </w:div>
    <w:div w:id="1118141845">
      <w:bodyDiv w:val="1"/>
      <w:marLeft w:val="0"/>
      <w:marRight w:val="0"/>
      <w:marTop w:val="0"/>
      <w:marBottom w:val="0"/>
      <w:divBdr>
        <w:top w:val="none" w:sz="0" w:space="0" w:color="auto"/>
        <w:left w:val="none" w:sz="0" w:space="0" w:color="auto"/>
        <w:bottom w:val="none" w:sz="0" w:space="0" w:color="auto"/>
        <w:right w:val="none" w:sz="0" w:space="0" w:color="auto"/>
      </w:divBdr>
    </w:div>
    <w:div w:id="1125274841">
      <w:bodyDiv w:val="1"/>
      <w:marLeft w:val="0"/>
      <w:marRight w:val="0"/>
      <w:marTop w:val="0"/>
      <w:marBottom w:val="0"/>
      <w:divBdr>
        <w:top w:val="none" w:sz="0" w:space="0" w:color="auto"/>
        <w:left w:val="none" w:sz="0" w:space="0" w:color="auto"/>
        <w:bottom w:val="none" w:sz="0" w:space="0" w:color="auto"/>
        <w:right w:val="none" w:sz="0" w:space="0" w:color="auto"/>
      </w:divBdr>
    </w:div>
    <w:div w:id="1225413731">
      <w:bodyDiv w:val="1"/>
      <w:marLeft w:val="0"/>
      <w:marRight w:val="0"/>
      <w:marTop w:val="0"/>
      <w:marBottom w:val="0"/>
      <w:divBdr>
        <w:top w:val="none" w:sz="0" w:space="0" w:color="auto"/>
        <w:left w:val="none" w:sz="0" w:space="0" w:color="auto"/>
        <w:bottom w:val="none" w:sz="0" w:space="0" w:color="auto"/>
        <w:right w:val="none" w:sz="0" w:space="0" w:color="auto"/>
      </w:divBdr>
    </w:div>
    <w:div w:id="1229993454">
      <w:bodyDiv w:val="1"/>
      <w:marLeft w:val="0"/>
      <w:marRight w:val="0"/>
      <w:marTop w:val="0"/>
      <w:marBottom w:val="0"/>
      <w:divBdr>
        <w:top w:val="none" w:sz="0" w:space="0" w:color="auto"/>
        <w:left w:val="none" w:sz="0" w:space="0" w:color="auto"/>
        <w:bottom w:val="none" w:sz="0" w:space="0" w:color="auto"/>
        <w:right w:val="none" w:sz="0" w:space="0" w:color="auto"/>
      </w:divBdr>
    </w:div>
    <w:div w:id="1274361167">
      <w:bodyDiv w:val="1"/>
      <w:marLeft w:val="0"/>
      <w:marRight w:val="0"/>
      <w:marTop w:val="0"/>
      <w:marBottom w:val="0"/>
      <w:divBdr>
        <w:top w:val="none" w:sz="0" w:space="0" w:color="auto"/>
        <w:left w:val="none" w:sz="0" w:space="0" w:color="auto"/>
        <w:bottom w:val="none" w:sz="0" w:space="0" w:color="auto"/>
        <w:right w:val="none" w:sz="0" w:space="0" w:color="auto"/>
      </w:divBdr>
    </w:div>
    <w:div w:id="1297372231">
      <w:bodyDiv w:val="1"/>
      <w:marLeft w:val="0"/>
      <w:marRight w:val="0"/>
      <w:marTop w:val="0"/>
      <w:marBottom w:val="0"/>
      <w:divBdr>
        <w:top w:val="none" w:sz="0" w:space="0" w:color="auto"/>
        <w:left w:val="none" w:sz="0" w:space="0" w:color="auto"/>
        <w:bottom w:val="none" w:sz="0" w:space="0" w:color="auto"/>
        <w:right w:val="none" w:sz="0" w:space="0" w:color="auto"/>
      </w:divBdr>
    </w:div>
    <w:div w:id="1343162629">
      <w:bodyDiv w:val="1"/>
      <w:marLeft w:val="0"/>
      <w:marRight w:val="0"/>
      <w:marTop w:val="0"/>
      <w:marBottom w:val="0"/>
      <w:divBdr>
        <w:top w:val="none" w:sz="0" w:space="0" w:color="auto"/>
        <w:left w:val="none" w:sz="0" w:space="0" w:color="auto"/>
        <w:bottom w:val="none" w:sz="0" w:space="0" w:color="auto"/>
        <w:right w:val="none" w:sz="0" w:space="0" w:color="auto"/>
      </w:divBdr>
    </w:div>
    <w:div w:id="1391735950">
      <w:bodyDiv w:val="1"/>
      <w:marLeft w:val="120"/>
      <w:marRight w:val="120"/>
      <w:marTop w:val="0"/>
      <w:marBottom w:val="0"/>
      <w:divBdr>
        <w:top w:val="none" w:sz="0" w:space="0" w:color="auto"/>
        <w:left w:val="none" w:sz="0" w:space="0" w:color="auto"/>
        <w:bottom w:val="none" w:sz="0" w:space="0" w:color="auto"/>
        <w:right w:val="none" w:sz="0" w:space="0" w:color="auto"/>
      </w:divBdr>
    </w:div>
    <w:div w:id="1429084228">
      <w:bodyDiv w:val="1"/>
      <w:marLeft w:val="0"/>
      <w:marRight w:val="0"/>
      <w:marTop w:val="0"/>
      <w:marBottom w:val="0"/>
      <w:divBdr>
        <w:top w:val="none" w:sz="0" w:space="0" w:color="auto"/>
        <w:left w:val="none" w:sz="0" w:space="0" w:color="auto"/>
        <w:bottom w:val="none" w:sz="0" w:space="0" w:color="auto"/>
        <w:right w:val="none" w:sz="0" w:space="0" w:color="auto"/>
      </w:divBdr>
    </w:div>
    <w:div w:id="1445031170">
      <w:bodyDiv w:val="1"/>
      <w:marLeft w:val="0"/>
      <w:marRight w:val="0"/>
      <w:marTop w:val="0"/>
      <w:marBottom w:val="0"/>
      <w:divBdr>
        <w:top w:val="none" w:sz="0" w:space="0" w:color="auto"/>
        <w:left w:val="none" w:sz="0" w:space="0" w:color="auto"/>
        <w:bottom w:val="none" w:sz="0" w:space="0" w:color="auto"/>
        <w:right w:val="none" w:sz="0" w:space="0" w:color="auto"/>
      </w:divBdr>
    </w:div>
    <w:div w:id="1457136319">
      <w:bodyDiv w:val="1"/>
      <w:marLeft w:val="0"/>
      <w:marRight w:val="0"/>
      <w:marTop w:val="0"/>
      <w:marBottom w:val="0"/>
      <w:divBdr>
        <w:top w:val="none" w:sz="0" w:space="0" w:color="auto"/>
        <w:left w:val="none" w:sz="0" w:space="0" w:color="auto"/>
        <w:bottom w:val="none" w:sz="0" w:space="0" w:color="auto"/>
        <w:right w:val="none" w:sz="0" w:space="0" w:color="auto"/>
      </w:divBdr>
    </w:div>
    <w:div w:id="1459488574">
      <w:bodyDiv w:val="1"/>
      <w:marLeft w:val="0"/>
      <w:marRight w:val="0"/>
      <w:marTop w:val="0"/>
      <w:marBottom w:val="0"/>
      <w:divBdr>
        <w:top w:val="none" w:sz="0" w:space="0" w:color="auto"/>
        <w:left w:val="none" w:sz="0" w:space="0" w:color="auto"/>
        <w:bottom w:val="none" w:sz="0" w:space="0" w:color="auto"/>
        <w:right w:val="none" w:sz="0" w:space="0" w:color="auto"/>
      </w:divBdr>
    </w:div>
    <w:div w:id="1465539298">
      <w:bodyDiv w:val="1"/>
      <w:marLeft w:val="120"/>
      <w:marRight w:val="120"/>
      <w:marTop w:val="0"/>
      <w:marBottom w:val="0"/>
      <w:divBdr>
        <w:top w:val="none" w:sz="0" w:space="0" w:color="auto"/>
        <w:left w:val="none" w:sz="0" w:space="0" w:color="auto"/>
        <w:bottom w:val="none" w:sz="0" w:space="0" w:color="auto"/>
        <w:right w:val="none" w:sz="0" w:space="0" w:color="auto"/>
      </w:divBdr>
    </w:div>
    <w:div w:id="1485856085">
      <w:bodyDiv w:val="1"/>
      <w:marLeft w:val="120"/>
      <w:marRight w:val="120"/>
      <w:marTop w:val="0"/>
      <w:marBottom w:val="0"/>
      <w:divBdr>
        <w:top w:val="none" w:sz="0" w:space="0" w:color="auto"/>
        <w:left w:val="none" w:sz="0" w:space="0" w:color="auto"/>
        <w:bottom w:val="none" w:sz="0" w:space="0" w:color="auto"/>
        <w:right w:val="none" w:sz="0" w:space="0" w:color="auto"/>
      </w:divBdr>
    </w:div>
    <w:div w:id="1491211683">
      <w:bodyDiv w:val="1"/>
      <w:marLeft w:val="0"/>
      <w:marRight w:val="0"/>
      <w:marTop w:val="0"/>
      <w:marBottom w:val="0"/>
      <w:divBdr>
        <w:top w:val="none" w:sz="0" w:space="0" w:color="auto"/>
        <w:left w:val="none" w:sz="0" w:space="0" w:color="auto"/>
        <w:bottom w:val="none" w:sz="0" w:space="0" w:color="auto"/>
        <w:right w:val="none" w:sz="0" w:space="0" w:color="auto"/>
      </w:divBdr>
    </w:div>
    <w:div w:id="1509977523">
      <w:bodyDiv w:val="1"/>
      <w:marLeft w:val="120"/>
      <w:marRight w:val="120"/>
      <w:marTop w:val="0"/>
      <w:marBottom w:val="0"/>
      <w:divBdr>
        <w:top w:val="none" w:sz="0" w:space="0" w:color="auto"/>
        <w:left w:val="none" w:sz="0" w:space="0" w:color="auto"/>
        <w:bottom w:val="none" w:sz="0" w:space="0" w:color="auto"/>
        <w:right w:val="none" w:sz="0" w:space="0" w:color="auto"/>
      </w:divBdr>
    </w:div>
    <w:div w:id="1525706867">
      <w:bodyDiv w:val="1"/>
      <w:marLeft w:val="120"/>
      <w:marRight w:val="120"/>
      <w:marTop w:val="0"/>
      <w:marBottom w:val="0"/>
      <w:divBdr>
        <w:top w:val="none" w:sz="0" w:space="0" w:color="auto"/>
        <w:left w:val="none" w:sz="0" w:space="0" w:color="auto"/>
        <w:bottom w:val="none" w:sz="0" w:space="0" w:color="auto"/>
        <w:right w:val="none" w:sz="0" w:space="0" w:color="auto"/>
      </w:divBdr>
    </w:div>
    <w:div w:id="1571454043">
      <w:bodyDiv w:val="1"/>
      <w:marLeft w:val="0"/>
      <w:marRight w:val="0"/>
      <w:marTop w:val="0"/>
      <w:marBottom w:val="0"/>
      <w:divBdr>
        <w:top w:val="none" w:sz="0" w:space="0" w:color="auto"/>
        <w:left w:val="none" w:sz="0" w:space="0" w:color="auto"/>
        <w:bottom w:val="none" w:sz="0" w:space="0" w:color="auto"/>
        <w:right w:val="none" w:sz="0" w:space="0" w:color="auto"/>
      </w:divBdr>
    </w:div>
    <w:div w:id="1593539837">
      <w:bodyDiv w:val="1"/>
      <w:marLeft w:val="120"/>
      <w:marRight w:val="120"/>
      <w:marTop w:val="0"/>
      <w:marBottom w:val="0"/>
      <w:divBdr>
        <w:top w:val="none" w:sz="0" w:space="0" w:color="auto"/>
        <w:left w:val="none" w:sz="0" w:space="0" w:color="auto"/>
        <w:bottom w:val="none" w:sz="0" w:space="0" w:color="auto"/>
        <w:right w:val="none" w:sz="0" w:space="0" w:color="auto"/>
      </w:divBdr>
    </w:div>
    <w:div w:id="1619333297">
      <w:bodyDiv w:val="1"/>
      <w:marLeft w:val="0"/>
      <w:marRight w:val="0"/>
      <w:marTop w:val="0"/>
      <w:marBottom w:val="0"/>
      <w:divBdr>
        <w:top w:val="none" w:sz="0" w:space="0" w:color="auto"/>
        <w:left w:val="none" w:sz="0" w:space="0" w:color="auto"/>
        <w:bottom w:val="none" w:sz="0" w:space="0" w:color="auto"/>
        <w:right w:val="none" w:sz="0" w:space="0" w:color="auto"/>
      </w:divBdr>
    </w:div>
    <w:div w:id="1619994800">
      <w:bodyDiv w:val="1"/>
      <w:marLeft w:val="0"/>
      <w:marRight w:val="0"/>
      <w:marTop w:val="0"/>
      <w:marBottom w:val="0"/>
      <w:divBdr>
        <w:top w:val="none" w:sz="0" w:space="0" w:color="auto"/>
        <w:left w:val="none" w:sz="0" w:space="0" w:color="auto"/>
        <w:bottom w:val="none" w:sz="0" w:space="0" w:color="auto"/>
        <w:right w:val="none" w:sz="0" w:space="0" w:color="auto"/>
      </w:divBdr>
    </w:div>
    <w:div w:id="1622881214">
      <w:bodyDiv w:val="1"/>
      <w:marLeft w:val="0"/>
      <w:marRight w:val="0"/>
      <w:marTop w:val="0"/>
      <w:marBottom w:val="0"/>
      <w:divBdr>
        <w:top w:val="none" w:sz="0" w:space="0" w:color="auto"/>
        <w:left w:val="none" w:sz="0" w:space="0" w:color="auto"/>
        <w:bottom w:val="none" w:sz="0" w:space="0" w:color="auto"/>
        <w:right w:val="none" w:sz="0" w:space="0" w:color="auto"/>
      </w:divBdr>
    </w:div>
    <w:div w:id="1640916092">
      <w:bodyDiv w:val="1"/>
      <w:marLeft w:val="0"/>
      <w:marRight w:val="0"/>
      <w:marTop w:val="0"/>
      <w:marBottom w:val="0"/>
      <w:divBdr>
        <w:top w:val="none" w:sz="0" w:space="0" w:color="auto"/>
        <w:left w:val="none" w:sz="0" w:space="0" w:color="auto"/>
        <w:bottom w:val="none" w:sz="0" w:space="0" w:color="auto"/>
        <w:right w:val="none" w:sz="0" w:space="0" w:color="auto"/>
      </w:divBdr>
    </w:div>
    <w:div w:id="1663003311">
      <w:bodyDiv w:val="1"/>
      <w:marLeft w:val="0"/>
      <w:marRight w:val="0"/>
      <w:marTop w:val="0"/>
      <w:marBottom w:val="0"/>
      <w:divBdr>
        <w:top w:val="none" w:sz="0" w:space="0" w:color="auto"/>
        <w:left w:val="none" w:sz="0" w:space="0" w:color="auto"/>
        <w:bottom w:val="none" w:sz="0" w:space="0" w:color="auto"/>
        <w:right w:val="none" w:sz="0" w:space="0" w:color="auto"/>
      </w:divBdr>
    </w:div>
    <w:div w:id="1698040678">
      <w:bodyDiv w:val="1"/>
      <w:marLeft w:val="0"/>
      <w:marRight w:val="0"/>
      <w:marTop w:val="0"/>
      <w:marBottom w:val="0"/>
      <w:divBdr>
        <w:top w:val="none" w:sz="0" w:space="0" w:color="auto"/>
        <w:left w:val="none" w:sz="0" w:space="0" w:color="auto"/>
        <w:bottom w:val="none" w:sz="0" w:space="0" w:color="auto"/>
        <w:right w:val="none" w:sz="0" w:space="0" w:color="auto"/>
      </w:divBdr>
    </w:div>
    <w:div w:id="1718699558">
      <w:bodyDiv w:val="1"/>
      <w:marLeft w:val="0"/>
      <w:marRight w:val="0"/>
      <w:marTop w:val="0"/>
      <w:marBottom w:val="0"/>
      <w:divBdr>
        <w:top w:val="none" w:sz="0" w:space="0" w:color="auto"/>
        <w:left w:val="none" w:sz="0" w:space="0" w:color="auto"/>
        <w:bottom w:val="none" w:sz="0" w:space="0" w:color="auto"/>
        <w:right w:val="none" w:sz="0" w:space="0" w:color="auto"/>
      </w:divBdr>
    </w:div>
    <w:div w:id="1749770933">
      <w:bodyDiv w:val="1"/>
      <w:marLeft w:val="0"/>
      <w:marRight w:val="0"/>
      <w:marTop w:val="0"/>
      <w:marBottom w:val="0"/>
      <w:divBdr>
        <w:top w:val="none" w:sz="0" w:space="0" w:color="auto"/>
        <w:left w:val="none" w:sz="0" w:space="0" w:color="auto"/>
        <w:bottom w:val="none" w:sz="0" w:space="0" w:color="auto"/>
        <w:right w:val="none" w:sz="0" w:space="0" w:color="auto"/>
      </w:divBdr>
    </w:div>
    <w:div w:id="1773238548">
      <w:bodyDiv w:val="1"/>
      <w:marLeft w:val="0"/>
      <w:marRight w:val="0"/>
      <w:marTop w:val="0"/>
      <w:marBottom w:val="0"/>
      <w:divBdr>
        <w:top w:val="none" w:sz="0" w:space="0" w:color="auto"/>
        <w:left w:val="none" w:sz="0" w:space="0" w:color="auto"/>
        <w:bottom w:val="none" w:sz="0" w:space="0" w:color="auto"/>
        <w:right w:val="none" w:sz="0" w:space="0" w:color="auto"/>
      </w:divBdr>
    </w:div>
    <w:div w:id="1838766488">
      <w:bodyDiv w:val="1"/>
      <w:marLeft w:val="120"/>
      <w:marRight w:val="120"/>
      <w:marTop w:val="0"/>
      <w:marBottom w:val="0"/>
      <w:divBdr>
        <w:top w:val="none" w:sz="0" w:space="0" w:color="auto"/>
        <w:left w:val="none" w:sz="0" w:space="0" w:color="auto"/>
        <w:bottom w:val="none" w:sz="0" w:space="0" w:color="auto"/>
        <w:right w:val="none" w:sz="0" w:space="0" w:color="auto"/>
      </w:divBdr>
    </w:div>
    <w:div w:id="1849056153">
      <w:bodyDiv w:val="1"/>
      <w:marLeft w:val="0"/>
      <w:marRight w:val="0"/>
      <w:marTop w:val="0"/>
      <w:marBottom w:val="0"/>
      <w:divBdr>
        <w:top w:val="none" w:sz="0" w:space="0" w:color="auto"/>
        <w:left w:val="none" w:sz="0" w:space="0" w:color="auto"/>
        <w:bottom w:val="none" w:sz="0" w:space="0" w:color="auto"/>
        <w:right w:val="none" w:sz="0" w:space="0" w:color="auto"/>
      </w:divBdr>
    </w:div>
    <w:div w:id="1878228585">
      <w:bodyDiv w:val="1"/>
      <w:marLeft w:val="0"/>
      <w:marRight w:val="0"/>
      <w:marTop w:val="0"/>
      <w:marBottom w:val="0"/>
      <w:divBdr>
        <w:top w:val="none" w:sz="0" w:space="0" w:color="auto"/>
        <w:left w:val="none" w:sz="0" w:space="0" w:color="auto"/>
        <w:bottom w:val="none" w:sz="0" w:space="0" w:color="auto"/>
        <w:right w:val="none" w:sz="0" w:space="0" w:color="auto"/>
      </w:divBdr>
    </w:div>
    <w:div w:id="1904831437">
      <w:bodyDiv w:val="1"/>
      <w:marLeft w:val="0"/>
      <w:marRight w:val="0"/>
      <w:marTop w:val="0"/>
      <w:marBottom w:val="0"/>
      <w:divBdr>
        <w:top w:val="none" w:sz="0" w:space="0" w:color="auto"/>
        <w:left w:val="none" w:sz="0" w:space="0" w:color="auto"/>
        <w:bottom w:val="none" w:sz="0" w:space="0" w:color="auto"/>
        <w:right w:val="none" w:sz="0" w:space="0" w:color="auto"/>
      </w:divBdr>
    </w:div>
    <w:div w:id="1973947391">
      <w:bodyDiv w:val="1"/>
      <w:marLeft w:val="0"/>
      <w:marRight w:val="0"/>
      <w:marTop w:val="0"/>
      <w:marBottom w:val="0"/>
      <w:divBdr>
        <w:top w:val="none" w:sz="0" w:space="0" w:color="auto"/>
        <w:left w:val="none" w:sz="0" w:space="0" w:color="auto"/>
        <w:bottom w:val="none" w:sz="0" w:space="0" w:color="auto"/>
        <w:right w:val="none" w:sz="0" w:space="0" w:color="auto"/>
      </w:divBdr>
    </w:div>
    <w:div w:id="1977564808">
      <w:bodyDiv w:val="1"/>
      <w:marLeft w:val="0"/>
      <w:marRight w:val="0"/>
      <w:marTop w:val="0"/>
      <w:marBottom w:val="0"/>
      <w:divBdr>
        <w:top w:val="none" w:sz="0" w:space="0" w:color="auto"/>
        <w:left w:val="none" w:sz="0" w:space="0" w:color="auto"/>
        <w:bottom w:val="none" w:sz="0" w:space="0" w:color="auto"/>
        <w:right w:val="none" w:sz="0" w:space="0" w:color="auto"/>
      </w:divBdr>
    </w:div>
    <w:div w:id="1991859804">
      <w:bodyDiv w:val="1"/>
      <w:marLeft w:val="0"/>
      <w:marRight w:val="0"/>
      <w:marTop w:val="0"/>
      <w:marBottom w:val="0"/>
      <w:divBdr>
        <w:top w:val="none" w:sz="0" w:space="0" w:color="auto"/>
        <w:left w:val="none" w:sz="0" w:space="0" w:color="auto"/>
        <w:bottom w:val="none" w:sz="0" w:space="0" w:color="auto"/>
        <w:right w:val="none" w:sz="0" w:space="0" w:color="auto"/>
      </w:divBdr>
      <w:divsChild>
        <w:div w:id="1299649740">
          <w:marLeft w:val="0"/>
          <w:marRight w:val="0"/>
          <w:marTop w:val="0"/>
          <w:marBottom w:val="0"/>
          <w:divBdr>
            <w:top w:val="none" w:sz="0" w:space="0" w:color="auto"/>
            <w:left w:val="none" w:sz="0" w:space="0" w:color="auto"/>
            <w:bottom w:val="none" w:sz="0" w:space="0" w:color="auto"/>
            <w:right w:val="none" w:sz="0" w:space="0" w:color="auto"/>
          </w:divBdr>
          <w:divsChild>
            <w:div w:id="1755980034">
              <w:marLeft w:val="0"/>
              <w:marRight w:val="0"/>
              <w:marTop w:val="0"/>
              <w:marBottom w:val="0"/>
              <w:divBdr>
                <w:top w:val="none" w:sz="0" w:space="0" w:color="auto"/>
                <w:left w:val="none" w:sz="0" w:space="0" w:color="auto"/>
                <w:bottom w:val="none" w:sz="0" w:space="0" w:color="auto"/>
                <w:right w:val="none" w:sz="0" w:space="0" w:color="auto"/>
              </w:divBdr>
              <w:divsChild>
                <w:div w:id="20577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15293">
      <w:bodyDiv w:val="1"/>
      <w:marLeft w:val="0"/>
      <w:marRight w:val="0"/>
      <w:marTop w:val="0"/>
      <w:marBottom w:val="0"/>
      <w:divBdr>
        <w:top w:val="none" w:sz="0" w:space="0" w:color="auto"/>
        <w:left w:val="none" w:sz="0" w:space="0" w:color="auto"/>
        <w:bottom w:val="none" w:sz="0" w:space="0" w:color="auto"/>
        <w:right w:val="none" w:sz="0" w:space="0" w:color="auto"/>
      </w:divBdr>
    </w:div>
    <w:div w:id="2022582614">
      <w:bodyDiv w:val="1"/>
      <w:marLeft w:val="120"/>
      <w:marRight w:val="120"/>
      <w:marTop w:val="0"/>
      <w:marBottom w:val="0"/>
      <w:divBdr>
        <w:top w:val="none" w:sz="0" w:space="0" w:color="auto"/>
        <w:left w:val="none" w:sz="0" w:space="0" w:color="auto"/>
        <w:bottom w:val="none" w:sz="0" w:space="0" w:color="auto"/>
        <w:right w:val="none" w:sz="0" w:space="0" w:color="auto"/>
      </w:divBdr>
    </w:div>
    <w:div w:id="2055498081">
      <w:bodyDiv w:val="1"/>
      <w:marLeft w:val="0"/>
      <w:marRight w:val="0"/>
      <w:marTop w:val="0"/>
      <w:marBottom w:val="0"/>
      <w:divBdr>
        <w:top w:val="none" w:sz="0" w:space="0" w:color="auto"/>
        <w:left w:val="none" w:sz="0" w:space="0" w:color="auto"/>
        <w:bottom w:val="none" w:sz="0" w:space="0" w:color="auto"/>
        <w:right w:val="none" w:sz="0" w:space="0" w:color="auto"/>
      </w:divBdr>
    </w:div>
    <w:div w:id="2118599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emf"/><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0/1647509ef7e25faaca2568a900154b63?opendocument" TargetMode="External"/><Relationship Id="rId1" Type="http://schemas.openxmlformats.org/officeDocument/2006/relationships/hyperlink" Target="http://www.abs.gov.au/ausstats/abs@.nsf/latestProducts/3238.0.55.001Media%20Release1June%20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81571-88A7-40C6-9864-FBE873AB2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114</Pages>
  <Words>28629</Words>
  <Characters>163191</Characters>
  <Application>Microsoft Office Word</Application>
  <DocSecurity>0</DocSecurity>
  <Lines>1359</Lines>
  <Paragraphs>382</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Indigenous Patient Costing Report</vt:lpstr>
      <vt:lpstr>Executive Summary</vt:lpstr>
      <vt:lpstr>Project Objectives and Methodology</vt:lpstr>
      <vt:lpstr>    Objectives of the Study</vt:lpstr>
      <vt:lpstr>    Methodology</vt:lpstr>
      <vt:lpstr>    Data Sources</vt:lpstr>
      <vt:lpstr>    Data Quality</vt:lpstr>
      <vt:lpstr>    Participation</vt:lpstr>
      <vt:lpstr>Qualitative Inputs and Considerations</vt:lpstr>
      <vt:lpstr>    Findings of the literature</vt:lpstr>
      <vt:lpstr>    Qualitative Feedback</vt:lpstr>
      <vt:lpstr>Dedicated Cost Centres - Service Provision to Indigenous Patients Only</vt:lpstr>
      <vt:lpstr>    Nature of the Dedicated Cost Centres </vt:lpstr>
      <vt:lpstr>Identifying a Cost Differential – Acute Admitted Services</vt:lpstr>
      <vt:lpstr>    Acute Admitted Dataset</vt:lpstr>
      <vt:lpstr>    Statistical Analyses of the Same-day Datasets</vt:lpstr>
      <vt:lpstr>    Application of the Findings of the Literature and Feedback from Clinicians</vt:lpstr>
      <vt:lpstr>    Analysis at the Major Diagnostic Category level</vt:lpstr>
      <vt:lpstr>    Analysis at the Diagnosis Related Group level</vt:lpstr>
      <vt:lpstr>    Data quality and trimming within the Overnight acute admitted datasets</vt:lpstr>
      <vt:lpstr>    Statistical Analyses of the Overnight acute admitted datasets</vt:lpstr>
      <vt:lpstr>    Analysis at the Major Diagnostic Category level</vt:lpstr>
      <vt:lpstr>    Analysis at the Diagnosis Related Group level</vt:lpstr>
      <vt:lpstr>    Conclusions about the cost differential for acute admitted patients</vt:lpstr>
      <vt:lpstr>Cost Allocations –Acute Admitted Services</vt:lpstr>
      <vt:lpstr>    Impact of Service Utilisation Data</vt:lpstr>
      <vt:lpstr>Identifying a Cost Differential – Subacute Admitted Services</vt:lpstr>
      <vt:lpstr>    Statistical Analyses of the Subacute Datasets</vt:lpstr>
      <vt:lpstr>    SNAP Analysis</vt:lpstr>
      <vt:lpstr>    Product Type Analysis</vt:lpstr>
      <vt:lpstr>    Care Type Analysis</vt:lpstr>
      <vt:lpstr>    Conclusion</vt:lpstr>
      <vt:lpstr>Identifying a Cost Differential – Emergency Department Services</vt:lpstr>
      <vt:lpstr>    Statistical Analyses of the ED Dataset</vt:lpstr>
      <vt:lpstr>    Cost Bucket Profile</vt:lpstr>
      <vt:lpstr>    Conclusion</vt:lpstr>
      <vt:lpstr>    </vt:lpstr>
      <vt:lpstr>Identifying a Cost Differential – Non-Admitted Services</vt:lpstr>
      <vt:lpstr>    Conclusion</vt:lpstr>
      <vt:lpstr>Contributors to Cost Differentials</vt:lpstr>
      <vt:lpstr>    Over-representation of the Indigenous population</vt:lpstr>
      <vt:lpstr>    Correlation and Regression Analyses</vt:lpstr>
      <vt:lpstr>    Overnight acute admitted services</vt:lpstr>
      <vt:lpstr>    Same-day acute admitted services</vt:lpstr>
      <vt:lpstr>    Conclusion</vt:lpstr>
      <vt:lpstr>Conclusion</vt:lpstr>
      <vt:lpstr>    Data Quality Editing</vt:lpstr>
      <vt:lpstr>    Review of Service Utilisation Data</vt:lpstr>
      <vt:lpstr>    Prospective Data Collections</vt:lpstr>
      <vt:lpstr>    Targeted investigations</vt:lpstr>
      <vt:lpstr>    Geographic location of usual residence</vt:lpstr>
      <vt:lpstr>    Unavoidable and legitimate cost variation</vt:lpstr>
      <vt:lpstr>    Conclusion</vt:lpstr>
      <vt:lpstr>Appendix A: Distribution of Same-day Trimmed datasets </vt:lpstr>
      <vt:lpstr>Appendix B: T Statistics for Same-day Services by Major Diagnostic Category</vt:lpstr>
      <vt:lpstr>Appendix C: T Statistics for Same-day Services by Diagnostic Related Group</vt:lpstr>
    </vt:vector>
  </TitlesOfParts>
  <Company>Brewerton &amp; Associates</Company>
  <LinksUpToDate>false</LinksUpToDate>
  <CharactersWithSpaces>191438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Patient Costing Report</dc:title>
  <dc:creator>Rita Brewerton</dc:creator>
  <cp:lastModifiedBy>Pirani Matthew</cp:lastModifiedBy>
  <cp:revision>62</cp:revision>
  <cp:lastPrinted>2015-08-13T01:38:00Z</cp:lastPrinted>
  <dcterms:created xsi:type="dcterms:W3CDTF">2015-08-13T06:23:00Z</dcterms:created>
  <dcterms:modified xsi:type="dcterms:W3CDTF">2015-11-10T05:13:00Z</dcterms:modified>
</cp:coreProperties>
</file>