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86D" w:rsidRPr="001727A4" w:rsidRDefault="00CC586D" w:rsidP="008C2111">
      <w:pPr>
        <w:pStyle w:val="Organisation"/>
      </w:pPr>
      <w:r w:rsidRPr="001727A4">
        <w:t>Independent Hospital Pricing Authority</w:t>
      </w:r>
    </w:p>
    <w:p w:rsidR="00102824" w:rsidRPr="002445A1" w:rsidRDefault="000210D1" w:rsidP="002445A1">
      <w:pPr>
        <w:pStyle w:val="Title"/>
      </w:pPr>
      <w:r>
        <w:t>Impact of New Health Technology Framework</w:t>
      </w:r>
      <w:r w:rsidR="0035219F" w:rsidRPr="002445A1">
        <w:t xml:space="preserve"> </w:t>
      </w:r>
    </w:p>
    <w:p w:rsidR="00BC1032" w:rsidRPr="00976117" w:rsidRDefault="00BC1032" w:rsidP="00BC1032">
      <w:pPr>
        <w:pStyle w:val="Versionanddate"/>
      </w:pPr>
      <w:r>
        <w:t xml:space="preserve">Version </w:t>
      </w:r>
      <w:r w:rsidR="00342CAA">
        <w:t xml:space="preserve">4.2 </w:t>
      </w:r>
      <w:r w:rsidR="007D3B85">
        <w:t>May</w:t>
      </w:r>
      <w:r w:rsidR="00342CAA">
        <w:t xml:space="preserve"> 2018</w:t>
      </w:r>
    </w:p>
    <w:p w:rsidR="0035219F" w:rsidRDefault="00043CF6" w:rsidP="0035219F">
      <w:r w:rsidRPr="001727A4">
        <w:rPr>
          <w:b/>
          <w:noProof/>
          <w:color w:val="008542" w:themeColor="accent2"/>
          <w:sz w:val="16"/>
          <w:szCs w:val="16"/>
        </w:rPr>
        <w:drawing>
          <wp:anchor distT="0" distB="0" distL="114300" distR="114300" simplePos="0" relativeHeight="251674624" behindDoc="1" locked="1" layoutInCell="0" allowOverlap="1" wp14:anchorId="6D6383C4" wp14:editId="1DC2DA62">
            <wp:simplePos x="0" y="0"/>
            <wp:positionH relativeFrom="page">
              <wp:posOffset>0</wp:posOffset>
            </wp:positionH>
            <wp:positionV relativeFrom="page">
              <wp:posOffset>0</wp:posOffset>
            </wp:positionV>
            <wp:extent cx="7592400" cy="10738800"/>
            <wp:effectExtent l="0" t="0" r="8890" b="5715"/>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2400" cy="10738800"/>
                    </a:xfrm>
                    <a:prstGeom prst="rect">
                      <a:avLst/>
                    </a:prstGeom>
                  </pic:spPr>
                </pic:pic>
              </a:graphicData>
            </a:graphic>
            <wp14:sizeRelH relativeFrom="margin">
              <wp14:pctWidth>0</wp14:pctWidth>
            </wp14:sizeRelH>
            <wp14:sizeRelV relativeFrom="margin">
              <wp14:pctHeight>0</wp14:pctHeight>
            </wp14:sizeRelV>
          </wp:anchor>
        </w:drawing>
      </w:r>
      <w:r w:rsidR="0035219F">
        <w:br w:type="page"/>
      </w:r>
    </w:p>
    <w:p w:rsidR="00161EBF" w:rsidRDefault="00161EBF" w:rsidP="008C2111">
      <w:pPr>
        <w:pStyle w:val="Report"/>
      </w:pPr>
    </w:p>
    <w:p w:rsidR="00BC1032" w:rsidRDefault="001E42EF" w:rsidP="008C2111">
      <w:pPr>
        <w:pStyle w:val="Report"/>
      </w:pPr>
      <w:r w:rsidRPr="001E42EF">
        <w:t>Impact of New Health Technology Framework</w:t>
      </w:r>
      <w:r>
        <w:t xml:space="preserve"> </w:t>
      </w:r>
      <w:r w:rsidR="00161EBF">
        <w:t>–</w:t>
      </w:r>
      <w:r w:rsidR="007D3B85">
        <w:t xml:space="preserve"> </w:t>
      </w:r>
      <w:r w:rsidR="008C2111">
        <w:t xml:space="preserve">Version </w:t>
      </w:r>
      <w:r w:rsidR="00074D4E">
        <w:t xml:space="preserve">4.2 </w:t>
      </w:r>
      <w:r w:rsidR="007D3B85">
        <w:t xml:space="preserve">May </w:t>
      </w:r>
      <w:r w:rsidR="00074D4E">
        <w:t>2018</w:t>
      </w:r>
    </w:p>
    <w:p w:rsidR="00BC1032" w:rsidRDefault="00BC1032" w:rsidP="00BC1032"/>
    <w:p w:rsidR="00BC1032" w:rsidRDefault="00BC1032" w:rsidP="00BC1032">
      <w:r>
        <w:t>© Independent Hospital Pricing Authority 201</w:t>
      </w:r>
      <w:r w:rsidR="00925FD2">
        <w:t>8</w:t>
      </w:r>
    </w:p>
    <w:p w:rsidR="00BC1032" w:rsidRDefault="00BC1032" w:rsidP="00BC1032">
      <w:r>
        <w:t xml:space="preserve">This publication is available for your use under a </w:t>
      </w:r>
      <w:hyperlink r:id="rId10" w:history="1">
        <w:r w:rsidRPr="002A4C1B">
          <w:t>Creative Commons BY Attribution 3.0 Australia</w:t>
        </w:r>
      </w:hyperlink>
      <w:r>
        <w:t xml:space="preserve"> licence, with the exception of the Independent Hospital Pricing Authority logo, photographs, images, signatures and where otherwise stated. The full licence terms are available from </w:t>
      </w:r>
      <w:hyperlink r:id="rId11" w:history="1">
        <w:r w:rsidRPr="002A4C1B">
          <w:t>the Creative Commons website</w:t>
        </w:r>
      </w:hyperlink>
      <w:r>
        <w:t>.</w:t>
      </w:r>
    </w:p>
    <w:p w:rsidR="00BC1032" w:rsidRDefault="00BC1032" w:rsidP="00BC1032">
      <w:bookmarkStart w:id="0" w:name="_GoBack"/>
      <w:r w:rsidRPr="006150B7">
        <w:rPr>
          <w:rFonts w:cs="Calibri"/>
          <w:noProof/>
          <w:sz w:val="24"/>
        </w:rPr>
        <w:drawing>
          <wp:inline distT="0" distB="0" distL="0" distR="0" wp14:anchorId="5740B5E5" wp14:editId="688EF94A">
            <wp:extent cx="804087" cy="285750"/>
            <wp:effectExtent l="0" t="0" r="0" b="0"/>
            <wp:docPr id="10" name="Picture 10" descr="Licence Mark" title="Creative Commons BY Attribution 3.0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04087" cy="285750"/>
                    </a:xfrm>
                    <a:prstGeom prst="rect">
                      <a:avLst/>
                    </a:prstGeom>
                    <a:noFill/>
                    <a:ln>
                      <a:noFill/>
                    </a:ln>
                  </pic:spPr>
                </pic:pic>
              </a:graphicData>
            </a:graphic>
          </wp:inline>
        </w:drawing>
      </w:r>
      <w:bookmarkEnd w:id="0"/>
    </w:p>
    <w:p w:rsidR="00BC1032" w:rsidRDefault="00BC1032" w:rsidP="00BC1032">
      <w:r>
        <w:t xml:space="preserve">Use of Independent Hospital Pricing Authority material under a </w:t>
      </w:r>
      <w:hyperlink r:id="rId13" w:history="1">
        <w:r w:rsidRPr="002A4C1B">
          <w:t>Creative Commons BY Attribution 3.0 Australia</w:t>
        </w:r>
      </w:hyperlink>
      <w:r>
        <w:t xml:space="preserve"> licence requires you to attribute the work (but not in any way that suggests that the Independent Hospital Pricing Authority endorses you or your use of the work).</w:t>
      </w:r>
    </w:p>
    <w:p w:rsidR="00BC1032" w:rsidRPr="002A4C1B" w:rsidRDefault="00BC1032" w:rsidP="00BC1032">
      <w:pPr>
        <w:rPr>
          <w:i/>
        </w:rPr>
      </w:pPr>
      <w:proofErr w:type="gramStart"/>
      <w:r w:rsidRPr="002A4C1B">
        <w:rPr>
          <w:i/>
        </w:rPr>
        <w:t>Independent Hospital Pricing Authority material used 'as supplied'.</w:t>
      </w:r>
      <w:proofErr w:type="gramEnd"/>
    </w:p>
    <w:p w:rsidR="00BC1032" w:rsidRDefault="00BC1032" w:rsidP="00BC1032">
      <w:r>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rsidR="00BC1032" w:rsidRPr="00BC1032" w:rsidRDefault="00BC1032" w:rsidP="00BC1032">
      <w:pPr>
        <w:pStyle w:val="NormalIndent"/>
        <w:rPr>
          <w:i/>
        </w:rPr>
      </w:pPr>
      <w:r w:rsidRPr="00BC1032">
        <w:rPr>
          <w:i/>
        </w:rPr>
        <w:t>Source: The Independent Hospital Pricing Authority</w:t>
      </w:r>
      <w:r w:rsidRPr="00BC1032">
        <w:rPr>
          <w:i/>
        </w:rPr>
        <w:br w:type="page"/>
      </w:r>
    </w:p>
    <w:p w:rsidR="001E7F01" w:rsidRPr="001E7F01" w:rsidRDefault="001E7F01" w:rsidP="00161EBF">
      <w:pPr>
        <w:pStyle w:val="TOCHeading"/>
        <w:numPr>
          <w:ilvl w:val="0"/>
          <w:numId w:val="0"/>
        </w:numPr>
        <w:ind w:left="432" w:hanging="432"/>
      </w:pPr>
      <w:r w:rsidRPr="001E7F01">
        <w:lastRenderedPageBreak/>
        <w:t xml:space="preserve">Table of Contents </w:t>
      </w:r>
    </w:p>
    <w:p w:rsidR="007B19E7" w:rsidRDefault="00733EFD">
      <w:pPr>
        <w:pStyle w:val="TOC1"/>
        <w:tabs>
          <w:tab w:val="right" w:leader="dot" w:pos="9435"/>
        </w:tabs>
        <w:rPr>
          <w:rFonts w:asciiTheme="minorHAnsi" w:eastAsiaTheme="minorEastAsia" w:hAnsiTheme="minorHAnsi" w:cstheme="minorBidi"/>
          <w:b w:val="0"/>
          <w:szCs w:val="22"/>
        </w:rPr>
      </w:pPr>
      <w:r>
        <w:fldChar w:fldCharType="begin"/>
      </w:r>
      <w:r>
        <w:instrText xml:space="preserve"> TOC \o "1-2" \h \z \u </w:instrText>
      </w:r>
      <w:r>
        <w:fldChar w:fldCharType="separate"/>
      </w:r>
      <w:hyperlink w:anchor="_Toc508378911" w:history="1">
        <w:r w:rsidR="007B19E7" w:rsidRPr="005C2CD4">
          <w:rPr>
            <w:rStyle w:val="Hyperlink"/>
          </w:rPr>
          <w:t>Acronyms and Abbreviations</w:t>
        </w:r>
        <w:r w:rsidR="007B19E7">
          <w:rPr>
            <w:webHidden/>
          </w:rPr>
          <w:tab/>
        </w:r>
        <w:r w:rsidR="007B19E7">
          <w:rPr>
            <w:webHidden/>
          </w:rPr>
          <w:fldChar w:fldCharType="begin"/>
        </w:r>
        <w:r w:rsidR="007B19E7">
          <w:rPr>
            <w:webHidden/>
          </w:rPr>
          <w:instrText xml:space="preserve"> PAGEREF _Toc508378911 \h </w:instrText>
        </w:r>
        <w:r w:rsidR="007B19E7">
          <w:rPr>
            <w:webHidden/>
          </w:rPr>
        </w:r>
        <w:r w:rsidR="007B19E7">
          <w:rPr>
            <w:webHidden/>
          </w:rPr>
          <w:fldChar w:fldCharType="separate"/>
        </w:r>
        <w:r w:rsidR="007B19E7">
          <w:rPr>
            <w:webHidden/>
          </w:rPr>
          <w:t>4</w:t>
        </w:r>
        <w:r w:rsidR="007B19E7">
          <w:rPr>
            <w:webHidden/>
          </w:rPr>
          <w:fldChar w:fldCharType="end"/>
        </w:r>
      </w:hyperlink>
    </w:p>
    <w:p w:rsidR="007B19E7" w:rsidRDefault="00ED2FCB">
      <w:pPr>
        <w:pStyle w:val="TOC1"/>
        <w:tabs>
          <w:tab w:val="right" w:leader="dot" w:pos="9435"/>
        </w:tabs>
        <w:rPr>
          <w:rFonts w:asciiTheme="minorHAnsi" w:eastAsiaTheme="minorEastAsia" w:hAnsiTheme="minorHAnsi" w:cstheme="minorBidi"/>
          <w:b w:val="0"/>
          <w:szCs w:val="22"/>
        </w:rPr>
      </w:pPr>
      <w:hyperlink w:anchor="_Toc508378912" w:history="1">
        <w:r w:rsidR="007B19E7" w:rsidRPr="005C2CD4">
          <w:rPr>
            <w:rStyle w:val="Hyperlink"/>
            <w:lang w:eastAsia="en-US"/>
          </w:rPr>
          <w:t>Definitions</w:t>
        </w:r>
        <w:r w:rsidR="007B19E7">
          <w:rPr>
            <w:webHidden/>
          </w:rPr>
          <w:tab/>
        </w:r>
        <w:r w:rsidR="007B19E7">
          <w:rPr>
            <w:webHidden/>
          </w:rPr>
          <w:fldChar w:fldCharType="begin"/>
        </w:r>
        <w:r w:rsidR="007B19E7">
          <w:rPr>
            <w:webHidden/>
          </w:rPr>
          <w:instrText xml:space="preserve"> PAGEREF _Toc508378912 \h </w:instrText>
        </w:r>
        <w:r w:rsidR="007B19E7">
          <w:rPr>
            <w:webHidden/>
          </w:rPr>
        </w:r>
        <w:r w:rsidR="007B19E7">
          <w:rPr>
            <w:webHidden/>
          </w:rPr>
          <w:fldChar w:fldCharType="separate"/>
        </w:r>
        <w:r w:rsidR="007B19E7">
          <w:rPr>
            <w:webHidden/>
          </w:rPr>
          <w:t>5</w:t>
        </w:r>
        <w:r w:rsidR="007B19E7">
          <w:rPr>
            <w:webHidden/>
          </w:rPr>
          <w:fldChar w:fldCharType="end"/>
        </w:r>
      </w:hyperlink>
    </w:p>
    <w:p w:rsidR="007B19E7" w:rsidRDefault="00ED2FCB">
      <w:pPr>
        <w:pStyle w:val="TOC1"/>
        <w:tabs>
          <w:tab w:val="left" w:pos="440"/>
          <w:tab w:val="right" w:leader="dot" w:pos="9435"/>
        </w:tabs>
        <w:rPr>
          <w:rFonts w:asciiTheme="minorHAnsi" w:eastAsiaTheme="minorEastAsia" w:hAnsiTheme="minorHAnsi" w:cstheme="minorBidi"/>
          <w:b w:val="0"/>
          <w:szCs w:val="22"/>
        </w:rPr>
      </w:pPr>
      <w:hyperlink w:anchor="_Toc508378913" w:history="1">
        <w:r w:rsidR="007B19E7" w:rsidRPr="005C2CD4">
          <w:rPr>
            <w:rStyle w:val="Hyperlink"/>
            <w:lang w:eastAsia="en-US"/>
          </w:rPr>
          <w:t>1.</w:t>
        </w:r>
        <w:r w:rsidR="007B19E7">
          <w:rPr>
            <w:rFonts w:asciiTheme="minorHAnsi" w:eastAsiaTheme="minorEastAsia" w:hAnsiTheme="minorHAnsi" w:cstheme="minorBidi"/>
            <w:b w:val="0"/>
            <w:szCs w:val="22"/>
          </w:rPr>
          <w:tab/>
        </w:r>
        <w:r w:rsidR="007B19E7" w:rsidRPr="005C2CD4">
          <w:rPr>
            <w:rStyle w:val="Hyperlink"/>
            <w:lang w:eastAsia="en-US"/>
          </w:rPr>
          <w:t>Executive Summary</w:t>
        </w:r>
        <w:r w:rsidR="007B19E7">
          <w:rPr>
            <w:webHidden/>
          </w:rPr>
          <w:tab/>
        </w:r>
        <w:r w:rsidR="007B19E7">
          <w:rPr>
            <w:webHidden/>
          </w:rPr>
          <w:fldChar w:fldCharType="begin"/>
        </w:r>
        <w:r w:rsidR="007B19E7">
          <w:rPr>
            <w:webHidden/>
          </w:rPr>
          <w:instrText xml:space="preserve"> PAGEREF _Toc508378913 \h </w:instrText>
        </w:r>
        <w:r w:rsidR="007B19E7">
          <w:rPr>
            <w:webHidden/>
          </w:rPr>
        </w:r>
        <w:r w:rsidR="007B19E7">
          <w:rPr>
            <w:webHidden/>
          </w:rPr>
          <w:fldChar w:fldCharType="separate"/>
        </w:r>
        <w:r w:rsidR="007B19E7">
          <w:rPr>
            <w:webHidden/>
          </w:rPr>
          <w:t>6</w:t>
        </w:r>
        <w:r w:rsidR="007B19E7">
          <w:rPr>
            <w:webHidden/>
          </w:rPr>
          <w:fldChar w:fldCharType="end"/>
        </w:r>
      </w:hyperlink>
    </w:p>
    <w:p w:rsidR="007B19E7" w:rsidRDefault="00ED2FCB">
      <w:pPr>
        <w:pStyle w:val="TOC2"/>
        <w:tabs>
          <w:tab w:val="left" w:pos="660"/>
          <w:tab w:val="right" w:leader="dot" w:pos="9435"/>
        </w:tabs>
        <w:rPr>
          <w:rFonts w:asciiTheme="minorHAnsi" w:eastAsiaTheme="minorEastAsia" w:hAnsiTheme="minorHAnsi" w:cstheme="minorBidi"/>
          <w:szCs w:val="22"/>
        </w:rPr>
      </w:pPr>
      <w:hyperlink w:anchor="_Toc508378914" w:history="1">
        <w:r w:rsidR="007B19E7" w:rsidRPr="005C2CD4">
          <w:rPr>
            <w:rStyle w:val="Hyperlink"/>
          </w:rPr>
          <w:t>1.1</w:t>
        </w:r>
        <w:r w:rsidR="007B19E7">
          <w:rPr>
            <w:rFonts w:asciiTheme="minorHAnsi" w:eastAsiaTheme="minorEastAsia" w:hAnsiTheme="minorHAnsi" w:cstheme="minorBidi"/>
            <w:szCs w:val="22"/>
          </w:rPr>
          <w:tab/>
        </w:r>
        <w:r w:rsidR="007B19E7" w:rsidRPr="005C2CD4">
          <w:rPr>
            <w:rStyle w:val="Hyperlink"/>
          </w:rPr>
          <w:t>Background</w:t>
        </w:r>
        <w:r w:rsidR="007B19E7">
          <w:rPr>
            <w:webHidden/>
          </w:rPr>
          <w:tab/>
        </w:r>
        <w:r w:rsidR="007B19E7">
          <w:rPr>
            <w:webHidden/>
          </w:rPr>
          <w:fldChar w:fldCharType="begin"/>
        </w:r>
        <w:r w:rsidR="007B19E7">
          <w:rPr>
            <w:webHidden/>
          </w:rPr>
          <w:instrText xml:space="preserve"> PAGEREF _Toc508378914 \h </w:instrText>
        </w:r>
        <w:r w:rsidR="007B19E7">
          <w:rPr>
            <w:webHidden/>
          </w:rPr>
        </w:r>
        <w:r w:rsidR="007B19E7">
          <w:rPr>
            <w:webHidden/>
          </w:rPr>
          <w:fldChar w:fldCharType="separate"/>
        </w:r>
        <w:r w:rsidR="007B19E7">
          <w:rPr>
            <w:webHidden/>
          </w:rPr>
          <w:t>6</w:t>
        </w:r>
        <w:r w:rsidR="007B19E7">
          <w:rPr>
            <w:webHidden/>
          </w:rPr>
          <w:fldChar w:fldCharType="end"/>
        </w:r>
      </w:hyperlink>
    </w:p>
    <w:p w:rsidR="007B19E7" w:rsidRDefault="00ED2FCB">
      <w:pPr>
        <w:pStyle w:val="TOC2"/>
        <w:tabs>
          <w:tab w:val="left" w:pos="660"/>
          <w:tab w:val="right" w:leader="dot" w:pos="9435"/>
        </w:tabs>
        <w:rPr>
          <w:rFonts w:asciiTheme="minorHAnsi" w:eastAsiaTheme="minorEastAsia" w:hAnsiTheme="minorHAnsi" w:cstheme="minorBidi"/>
          <w:szCs w:val="22"/>
        </w:rPr>
      </w:pPr>
      <w:hyperlink w:anchor="_Toc508378915" w:history="1">
        <w:r w:rsidR="007B19E7" w:rsidRPr="005C2CD4">
          <w:rPr>
            <w:rStyle w:val="Hyperlink"/>
          </w:rPr>
          <w:t>1.2</w:t>
        </w:r>
        <w:r w:rsidR="007B19E7">
          <w:rPr>
            <w:rFonts w:asciiTheme="minorHAnsi" w:eastAsiaTheme="minorEastAsia" w:hAnsiTheme="minorHAnsi" w:cstheme="minorBidi"/>
            <w:szCs w:val="22"/>
          </w:rPr>
          <w:tab/>
        </w:r>
        <w:r w:rsidR="007B19E7" w:rsidRPr="005C2CD4">
          <w:rPr>
            <w:rStyle w:val="Hyperlink"/>
          </w:rPr>
          <w:t>Objective</w:t>
        </w:r>
        <w:r w:rsidR="007B19E7">
          <w:rPr>
            <w:webHidden/>
          </w:rPr>
          <w:tab/>
        </w:r>
        <w:r w:rsidR="007B19E7">
          <w:rPr>
            <w:webHidden/>
          </w:rPr>
          <w:fldChar w:fldCharType="begin"/>
        </w:r>
        <w:r w:rsidR="007B19E7">
          <w:rPr>
            <w:webHidden/>
          </w:rPr>
          <w:instrText xml:space="preserve"> PAGEREF _Toc508378915 \h </w:instrText>
        </w:r>
        <w:r w:rsidR="007B19E7">
          <w:rPr>
            <w:webHidden/>
          </w:rPr>
        </w:r>
        <w:r w:rsidR="007B19E7">
          <w:rPr>
            <w:webHidden/>
          </w:rPr>
          <w:fldChar w:fldCharType="separate"/>
        </w:r>
        <w:r w:rsidR="007B19E7">
          <w:rPr>
            <w:webHidden/>
          </w:rPr>
          <w:t>6</w:t>
        </w:r>
        <w:r w:rsidR="007B19E7">
          <w:rPr>
            <w:webHidden/>
          </w:rPr>
          <w:fldChar w:fldCharType="end"/>
        </w:r>
      </w:hyperlink>
    </w:p>
    <w:p w:rsidR="007B19E7" w:rsidRDefault="00ED2FCB">
      <w:pPr>
        <w:pStyle w:val="TOC2"/>
        <w:tabs>
          <w:tab w:val="left" w:pos="660"/>
          <w:tab w:val="right" w:leader="dot" w:pos="9435"/>
        </w:tabs>
        <w:rPr>
          <w:rFonts w:asciiTheme="minorHAnsi" w:eastAsiaTheme="minorEastAsia" w:hAnsiTheme="minorHAnsi" w:cstheme="minorBidi"/>
          <w:szCs w:val="22"/>
        </w:rPr>
      </w:pPr>
      <w:hyperlink w:anchor="_Toc508378916" w:history="1">
        <w:r w:rsidR="007B19E7" w:rsidRPr="005C2CD4">
          <w:rPr>
            <w:rStyle w:val="Hyperlink"/>
            <w:caps/>
          </w:rPr>
          <w:t>1.3</w:t>
        </w:r>
        <w:r w:rsidR="007B19E7">
          <w:rPr>
            <w:rFonts w:asciiTheme="minorHAnsi" w:eastAsiaTheme="minorEastAsia" w:hAnsiTheme="minorHAnsi" w:cstheme="minorBidi"/>
            <w:szCs w:val="22"/>
          </w:rPr>
          <w:tab/>
        </w:r>
        <w:r w:rsidR="007B19E7" w:rsidRPr="005C2CD4">
          <w:rPr>
            <w:rStyle w:val="Hyperlink"/>
          </w:rPr>
          <w:t>Scope</w:t>
        </w:r>
        <w:r w:rsidR="007B19E7">
          <w:rPr>
            <w:webHidden/>
          </w:rPr>
          <w:tab/>
        </w:r>
        <w:r w:rsidR="007B19E7">
          <w:rPr>
            <w:webHidden/>
          </w:rPr>
          <w:fldChar w:fldCharType="begin"/>
        </w:r>
        <w:r w:rsidR="007B19E7">
          <w:rPr>
            <w:webHidden/>
          </w:rPr>
          <w:instrText xml:space="preserve"> PAGEREF _Toc508378916 \h </w:instrText>
        </w:r>
        <w:r w:rsidR="007B19E7">
          <w:rPr>
            <w:webHidden/>
          </w:rPr>
        </w:r>
        <w:r w:rsidR="007B19E7">
          <w:rPr>
            <w:webHidden/>
          </w:rPr>
          <w:fldChar w:fldCharType="separate"/>
        </w:r>
        <w:r w:rsidR="007B19E7">
          <w:rPr>
            <w:webHidden/>
          </w:rPr>
          <w:t>7</w:t>
        </w:r>
        <w:r w:rsidR="007B19E7">
          <w:rPr>
            <w:webHidden/>
          </w:rPr>
          <w:fldChar w:fldCharType="end"/>
        </w:r>
      </w:hyperlink>
    </w:p>
    <w:p w:rsidR="007B19E7" w:rsidRDefault="00ED2FCB">
      <w:pPr>
        <w:pStyle w:val="TOC2"/>
        <w:tabs>
          <w:tab w:val="left" w:pos="660"/>
          <w:tab w:val="right" w:leader="dot" w:pos="9435"/>
        </w:tabs>
        <w:rPr>
          <w:rFonts w:asciiTheme="minorHAnsi" w:eastAsiaTheme="minorEastAsia" w:hAnsiTheme="minorHAnsi" w:cstheme="minorBidi"/>
          <w:szCs w:val="22"/>
        </w:rPr>
      </w:pPr>
      <w:hyperlink w:anchor="_Toc508378917" w:history="1">
        <w:r w:rsidR="007B19E7" w:rsidRPr="005C2CD4">
          <w:rPr>
            <w:rStyle w:val="Hyperlink"/>
            <w:caps/>
          </w:rPr>
          <w:t>1.4</w:t>
        </w:r>
        <w:r w:rsidR="007B19E7">
          <w:rPr>
            <w:rFonts w:asciiTheme="minorHAnsi" w:eastAsiaTheme="minorEastAsia" w:hAnsiTheme="minorHAnsi" w:cstheme="minorBidi"/>
            <w:szCs w:val="22"/>
          </w:rPr>
          <w:tab/>
        </w:r>
        <w:r w:rsidR="007B19E7" w:rsidRPr="005C2CD4">
          <w:rPr>
            <w:rStyle w:val="Hyperlink"/>
          </w:rPr>
          <w:t>Timeframe for review and prioritisation</w:t>
        </w:r>
        <w:r w:rsidR="007B19E7">
          <w:rPr>
            <w:webHidden/>
          </w:rPr>
          <w:tab/>
        </w:r>
        <w:r w:rsidR="007B19E7">
          <w:rPr>
            <w:webHidden/>
          </w:rPr>
          <w:fldChar w:fldCharType="begin"/>
        </w:r>
        <w:r w:rsidR="007B19E7">
          <w:rPr>
            <w:webHidden/>
          </w:rPr>
          <w:instrText xml:space="preserve"> PAGEREF _Toc508378917 \h </w:instrText>
        </w:r>
        <w:r w:rsidR="007B19E7">
          <w:rPr>
            <w:webHidden/>
          </w:rPr>
        </w:r>
        <w:r w:rsidR="007B19E7">
          <w:rPr>
            <w:webHidden/>
          </w:rPr>
          <w:fldChar w:fldCharType="separate"/>
        </w:r>
        <w:r w:rsidR="007B19E7">
          <w:rPr>
            <w:webHidden/>
          </w:rPr>
          <w:t>7</w:t>
        </w:r>
        <w:r w:rsidR="007B19E7">
          <w:rPr>
            <w:webHidden/>
          </w:rPr>
          <w:fldChar w:fldCharType="end"/>
        </w:r>
      </w:hyperlink>
    </w:p>
    <w:p w:rsidR="007B19E7" w:rsidRDefault="00ED2FCB">
      <w:pPr>
        <w:pStyle w:val="TOC2"/>
        <w:tabs>
          <w:tab w:val="left" w:pos="660"/>
          <w:tab w:val="right" w:leader="dot" w:pos="9435"/>
        </w:tabs>
        <w:rPr>
          <w:rFonts w:asciiTheme="minorHAnsi" w:eastAsiaTheme="minorEastAsia" w:hAnsiTheme="minorHAnsi" w:cstheme="minorBidi"/>
          <w:szCs w:val="22"/>
        </w:rPr>
      </w:pPr>
      <w:hyperlink w:anchor="_Toc508378918" w:history="1">
        <w:r w:rsidR="007B19E7" w:rsidRPr="005C2CD4">
          <w:rPr>
            <w:rStyle w:val="Hyperlink"/>
          </w:rPr>
          <w:t>1.5</w:t>
        </w:r>
        <w:r w:rsidR="007B19E7">
          <w:rPr>
            <w:rFonts w:asciiTheme="minorHAnsi" w:eastAsiaTheme="minorEastAsia" w:hAnsiTheme="minorHAnsi" w:cstheme="minorBidi"/>
            <w:szCs w:val="22"/>
          </w:rPr>
          <w:tab/>
        </w:r>
        <w:r w:rsidR="007B19E7" w:rsidRPr="005C2CD4">
          <w:rPr>
            <w:rStyle w:val="Hyperlink"/>
          </w:rPr>
          <w:t>Review</w:t>
        </w:r>
        <w:r w:rsidR="007B19E7">
          <w:rPr>
            <w:webHidden/>
          </w:rPr>
          <w:tab/>
        </w:r>
        <w:r w:rsidR="007B19E7">
          <w:rPr>
            <w:webHidden/>
          </w:rPr>
          <w:fldChar w:fldCharType="begin"/>
        </w:r>
        <w:r w:rsidR="007B19E7">
          <w:rPr>
            <w:webHidden/>
          </w:rPr>
          <w:instrText xml:space="preserve"> PAGEREF _Toc508378918 \h </w:instrText>
        </w:r>
        <w:r w:rsidR="007B19E7">
          <w:rPr>
            <w:webHidden/>
          </w:rPr>
        </w:r>
        <w:r w:rsidR="007B19E7">
          <w:rPr>
            <w:webHidden/>
          </w:rPr>
          <w:fldChar w:fldCharType="separate"/>
        </w:r>
        <w:r w:rsidR="007B19E7">
          <w:rPr>
            <w:webHidden/>
          </w:rPr>
          <w:t>8</w:t>
        </w:r>
        <w:r w:rsidR="007B19E7">
          <w:rPr>
            <w:webHidden/>
          </w:rPr>
          <w:fldChar w:fldCharType="end"/>
        </w:r>
      </w:hyperlink>
    </w:p>
    <w:p w:rsidR="007B19E7" w:rsidRDefault="00ED2FCB">
      <w:pPr>
        <w:pStyle w:val="TOC1"/>
        <w:tabs>
          <w:tab w:val="left" w:pos="440"/>
          <w:tab w:val="right" w:leader="dot" w:pos="9435"/>
        </w:tabs>
        <w:rPr>
          <w:rFonts w:asciiTheme="minorHAnsi" w:eastAsiaTheme="minorEastAsia" w:hAnsiTheme="minorHAnsi" w:cstheme="minorBidi"/>
          <w:b w:val="0"/>
          <w:szCs w:val="22"/>
        </w:rPr>
      </w:pPr>
      <w:hyperlink w:anchor="_Toc508378919" w:history="1">
        <w:r w:rsidR="007B19E7" w:rsidRPr="005C2CD4">
          <w:rPr>
            <w:rStyle w:val="Hyperlink"/>
            <w:lang w:eastAsia="en-US"/>
          </w:rPr>
          <w:t>2.</w:t>
        </w:r>
        <w:r w:rsidR="007B19E7">
          <w:rPr>
            <w:rFonts w:asciiTheme="minorHAnsi" w:eastAsiaTheme="minorEastAsia" w:hAnsiTheme="minorHAnsi" w:cstheme="minorBidi"/>
            <w:b w:val="0"/>
            <w:szCs w:val="22"/>
          </w:rPr>
          <w:tab/>
        </w:r>
        <w:r w:rsidR="007B19E7" w:rsidRPr="005C2CD4">
          <w:rPr>
            <w:rStyle w:val="Hyperlink"/>
            <w:lang w:eastAsia="en-US"/>
          </w:rPr>
          <w:t>Overview</w:t>
        </w:r>
        <w:r w:rsidR="007B19E7">
          <w:rPr>
            <w:webHidden/>
          </w:rPr>
          <w:tab/>
        </w:r>
        <w:r w:rsidR="007B19E7">
          <w:rPr>
            <w:webHidden/>
          </w:rPr>
          <w:fldChar w:fldCharType="begin"/>
        </w:r>
        <w:r w:rsidR="007B19E7">
          <w:rPr>
            <w:webHidden/>
          </w:rPr>
          <w:instrText xml:space="preserve"> PAGEREF _Toc508378919 \h </w:instrText>
        </w:r>
        <w:r w:rsidR="007B19E7">
          <w:rPr>
            <w:webHidden/>
          </w:rPr>
        </w:r>
        <w:r w:rsidR="007B19E7">
          <w:rPr>
            <w:webHidden/>
          </w:rPr>
          <w:fldChar w:fldCharType="separate"/>
        </w:r>
        <w:r w:rsidR="007B19E7">
          <w:rPr>
            <w:webHidden/>
          </w:rPr>
          <w:t>9</w:t>
        </w:r>
        <w:r w:rsidR="007B19E7">
          <w:rPr>
            <w:webHidden/>
          </w:rPr>
          <w:fldChar w:fldCharType="end"/>
        </w:r>
      </w:hyperlink>
    </w:p>
    <w:p w:rsidR="007B19E7" w:rsidRDefault="00ED2FCB">
      <w:pPr>
        <w:pStyle w:val="TOC2"/>
        <w:tabs>
          <w:tab w:val="left" w:pos="660"/>
          <w:tab w:val="right" w:leader="dot" w:pos="9435"/>
        </w:tabs>
        <w:rPr>
          <w:rFonts w:asciiTheme="minorHAnsi" w:eastAsiaTheme="minorEastAsia" w:hAnsiTheme="minorHAnsi" w:cstheme="minorBidi"/>
          <w:szCs w:val="22"/>
        </w:rPr>
      </w:pPr>
      <w:hyperlink w:anchor="_Toc508378920" w:history="1">
        <w:r w:rsidR="007B19E7" w:rsidRPr="005C2CD4">
          <w:rPr>
            <w:rStyle w:val="Hyperlink"/>
          </w:rPr>
          <w:t>2.1</w:t>
        </w:r>
        <w:r w:rsidR="007B19E7">
          <w:rPr>
            <w:rFonts w:asciiTheme="minorHAnsi" w:eastAsiaTheme="minorEastAsia" w:hAnsiTheme="minorHAnsi" w:cstheme="minorBidi"/>
            <w:szCs w:val="22"/>
          </w:rPr>
          <w:tab/>
        </w:r>
        <w:r w:rsidR="007B19E7" w:rsidRPr="005C2CD4">
          <w:rPr>
            <w:rStyle w:val="Hyperlink"/>
          </w:rPr>
          <w:t>Scope and types of new health technologies considered by IHPA</w:t>
        </w:r>
        <w:r w:rsidR="007B19E7">
          <w:rPr>
            <w:webHidden/>
          </w:rPr>
          <w:tab/>
        </w:r>
        <w:r w:rsidR="007B19E7">
          <w:rPr>
            <w:webHidden/>
          </w:rPr>
          <w:fldChar w:fldCharType="begin"/>
        </w:r>
        <w:r w:rsidR="007B19E7">
          <w:rPr>
            <w:webHidden/>
          </w:rPr>
          <w:instrText xml:space="preserve"> PAGEREF _Toc508378920 \h </w:instrText>
        </w:r>
        <w:r w:rsidR="007B19E7">
          <w:rPr>
            <w:webHidden/>
          </w:rPr>
        </w:r>
        <w:r w:rsidR="007B19E7">
          <w:rPr>
            <w:webHidden/>
          </w:rPr>
          <w:fldChar w:fldCharType="separate"/>
        </w:r>
        <w:r w:rsidR="007B19E7">
          <w:rPr>
            <w:webHidden/>
          </w:rPr>
          <w:t>9</w:t>
        </w:r>
        <w:r w:rsidR="007B19E7">
          <w:rPr>
            <w:webHidden/>
          </w:rPr>
          <w:fldChar w:fldCharType="end"/>
        </w:r>
      </w:hyperlink>
    </w:p>
    <w:p w:rsidR="007B19E7" w:rsidRDefault="00ED2FCB">
      <w:pPr>
        <w:pStyle w:val="TOC2"/>
        <w:tabs>
          <w:tab w:val="left" w:pos="660"/>
          <w:tab w:val="right" w:leader="dot" w:pos="9435"/>
        </w:tabs>
        <w:rPr>
          <w:rFonts w:asciiTheme="minorHAnsi" w:eastAsiaTheme="minorEastAsia" w:hAnsiTheme="minorHAnsi" w:cstheme="minorBidi"/>
          <w:szCs w:val="22"/>
        </w:rPr>
      </w:pPr>
      <w:hyperlink w:anchor="_Toc508378921" w:history="1">
        <w:r w:rsidR="007B19E7" w:rsidRPr="005C2CD4">
          <w:rPr>
            <w:rStyle w:val="Hyperlink"/>
          </w:rPr>
          <w:t>2.2</w:t>
        </w:r>
        <w:r w:rsidR="007B19E7">
          <w:rPr>
            <w:rFonts w:asciiTheme="minorHAnsi" w:eastAsiaTheme="minorEastAsia" w:hAnsiTheme="minorHAnsi" w:cstheme="minorBidi"/>
            <w:szCs w:val="22"/>
          </w:rPr>
          <w:tab/>
        </w:r>
        <w:r w:rsidR="007B19E7" w:rsidRPr="005C2CD4">
          <w:rPr>
            <w:rStyle w:val="Hyperlink"/>
          </w:rPr>
          <w:t>Government organisations involved in monitoring the impact of new health technologies in Australia</w:t>
        </w:r>
        <w:r w:rsidR="007B19E7">
          <w:rPr>
            <w:webHidden/>
          </w:rPr>
          <w:tab/>
        </w:r>
        <w:r w:rsidR="007B19E7">
          <w:rPr>
            <w:webHidden/>
          </w:rPr>
          <w:fldChar w:fldCharType="begin"/>
        </w:r>
        <w:r w:rsidR="007B19E7">
          <w:rPr>
            <w:webHidden/>
          </w:rPr>
          <w:instrText xml:space="preserve"> PAGEREF _Toc508378921 \h </w:instrText>
        </w:r>
        <w:r w:rsidR="007B19E7">
          <w:rPr>
            <w:webHidden/>
          </w:rPr>
        </w:r>
        <w:r w:rsidR="007B19E7">
          <w:rPr>
            <w:webHidden/>
          </w:rPr>
          <w:fldChar w:fldCharType="separate"/>
        </w:r>
        <w:r w:rsidR="007B19E7">
          <w:rPr>
            <w:webHidden/>
          </w:rPr>
          <w:t>10</w:t>
        </w:r>
        <w:r w:rsidR="007B19E7">
          <w:rPr>
            <w:webHidden/>
          </w:rPr>
          <w:fldChar w:fldCharType="end"/>
        </w:r>
      </w:hyperlink>
    </w:p>
    <w:p w:rsidR="007B19E7" w:rsidRDefault="00ED2FCB">
      <w:pPr>
        <w:pStyle w:val="TOC1"/>
        <w:tabs>
          <w:tab w:val="left" w:pos="440"/>
          <w:tab w:val="right" w:leader="dot" w:pos="9435"/>
        </w:tabs>
        <w:rPr>
          <w:rFonts w:asciiTheme="minorHAnsi" w:eastAsiaTheme="minorEastAsia" w:hAnsiTheme="minorHAnsi" w:cstheme="minorBidi"/>
          <w:b w:val="0"/>
          <w:szCs w:val="22"/>
        </w:rPr>
      </w:pPr>
      <w:hyperlink w:anchor="_Toc508378922" w:history="1">
        <w:r w:rsidR="007B19E7" w:rsidRPr="005C2CD4">
          <w:rPr>
            <w:rStyle w:val="Hyperlink"/>
            <w:lang w:eastAsia="en-US"/>
          </w:rPr>
          <w:t>3.</w:t>
        </w:r>
        <w:r w:rsidR="007B19E7">
          <w:rPr>
            <w:rFonts w:asciiTheme="minorHAnsi" w:eastAsiaTheme="minorEastAsia" w:hAnsiTheme="minorHAnsi" w:cstheme="minorBidi"/>
            <w:b w:val="0"/>
            <w:szCs w:val="22"/>
          </w:rPr>
          <w:tab/>
        </w:r>
        <w:r w:rsidR="007B19E7" w:rsidRPr="005C2CD4">
          <w:rPr>
            <w:rStyle w:val="Hyperlink"/>
            <w:lang w:eastAsia="en-US"/>
          </w:rPr>
          <w:t>New health technology prioritisation process</w:t>
        </w:r>
        <w:r w:rsidR="007B19E7">
          <w:rPr>
            <w:webHidden/>
          </w:rPr>
          <w:tab/>
        </w:r>
        <w:r w:rsidR="007B19E7">
          <w:rPr>
            <w:webHidden/>
          </w:rPr>
          <w:fldChar w:fldCharType="begin"/>
        </w:r>
        <w:r w:rsidR="007B19E7">
          <w:rPr>
            <w:webHidden/>
          </w:rPr>
          <w:instrText xml:space="preserve"> PAGEREF _Toc508378922 \h </w:instrText>
        </w:r>
        <w:r w:rsidR="007B19E7">
          <w:rPr>
            <w:webHidden/>
          </w:rPr>
        </w:r>
        <w:r w:rsidR="007B19E7">
          <w:rPr>
            <w:webHidden/>
          </w:rPr>
          <w:fldChar w:fldCharType="separate"/>
        </w:r>
        <w:r w:rsidR="007B19E7">
          <w:rPr>
            <w:webHidden/>
          </w:rPr>
          <w:t>12</w:t>
        </w:r>
        <w:r w:rsidR="007B19E7">
          <w:rPr>
            <w:webHidden/>
          </w:rPr>
          <w:fldChar w:fldCharType="end"/>
        </w:r>
      </w:hyperlink>
    </w:p>
    <w:p w:rsidR="007B19E7" w:rsidRDefault="00ED2FCB">
      <w:pPr>
        <w:pStyle w:val="TOC2"/>
        <w:tabs>
          <w:tab w:val="right" w:leader="dot" w:pos="9435"/>
        </w:tabs>
        <w:rPr>
          <w:rFonts w:asciiTheme="minorHAnsi" w:eastAsiaTheme="minorEastAsia" w:hAnsiTheme="minorHAnsi" w:cstheme="minorBidi"/>
          <w:szCs w:val="22"/>
        </w:rPr>
      </w:pPr>
      <w:hyperlink w:anchor="_Toc508378923" w:history="1">
        <w:r w:rsidR="007B19E7" w:rsidRPr="005C2CD4">
          <w:rPr>
            <w:rStyle w:val="Hyperlink"/>
          </w:rPr>
          <w:t>Stage 1: Identify new health technologies</w:t>
        </w:r>
        <w:r w:rsidR="007B19E7">
          <w:rPr>
            <w:webHidden/>
          </w:rPr>
          <w:tab/>
        </w:r>
        <w:r w:rsidR="007B19E7">
          <w:rPr>
            <w:webHidden/>
          </w:rPr>
          <w:fldChar w:fldCharType="begin"/>
        </w:r>
        <w:r w:rsidR="007B19E7">
          <w:rPr>
            <w:webHidden/>
          </w:rPr>
          <w:instrText xml:space="preserve"> PAGEREF _Toc508378923 \h </w:instrText>
        </w:r>
        <w:r w:rsidR="007B19E7">
          <w:rPr>
            <w:webHidden/>
          </w:rPr>
        </w:r>
        <w:r w:rsidR="007B19E7">
          <w:rPr>
            <w:webHidden/>
          </w:rPr>
          <w:fldChar w:fldCharType="separate"/>
        </w:r>
        <w:r w:rsidR="007B19E7">
          <w:rPr>
            <w:webHidden/>
          </w:rPr>
          <w:t>12</w:t>
        </w:r>
        <w:r w:rsidR="007B19E7">
          <w:rPr>
            <w:webHidden/>
          </w:rPr>
          <w:fldChar w:fldCharType="end"/>
        </w:r>
      </w:hyperlink>
    </w:p>
    <w:p w:rsidR="007B19E7" w:rsidRDefault="00ED2FCB">
      <w:pPr>
        <w:pStyle w:val="TOC2"/>
        <w:tabs>
          <w:tab w:val="right" w:leader="dot" w:pos="9435"/>
        </w:tabs>
        <w:rPr>
          <w:rFonts w:asciiTheme="minorHAnsi" w:eastAsiaTheme="minorEastAsia" w:hAnsiTheme="minorHAnsi" w:cstheme="minorBidi"/>
          <w:szCs w:val="22"/>
        </w:rPr>
      </w:pPr>
      <w:hyperlink w:anchor="_Toc508378924" w:history="1">
        <w:r w:rsidR="007B19E7" w:rsidRPr="005C2CD4">
          <w:rPr>
            <w:rStyle w:val="Hyperlink"/>
          </w:rPr>
          <w:t>Stage 2: CAC prioritisation</w:t>
        </w:r>
        <w:r w:rsidR="007B19E7">
          <w:rPr>
            <w:webHidden/>
          </w:rPr>
          <w:tab/>
        </w:r>
        <w:r w:rsidR="007B19E7">
          <w:rPr>
            <w:webHidden/>
          </w:rPr>
          <w:fldChar w:fldCharType="begin"/>
        </w:r>
        <w:r w:rsidR="007B19E7">
          <w:rPr>
            <w:webHidden/>
          </w:rPr>
          <w:instrText xml:space="preserve"> PAGEREF _Toc508378924 \h </w:instrText>
        </w:r>
        <w:r w:rsidR="007B19E7">
          <w:rPr>
            <w:webHidden/>
          </w:rPr>
        </w:r>
        <w:r w:rsidR="007B19E7">
          <w:rPr>
            <w:webHidden/>
          </w:rPr>
          <w:fldChar w:fldCharType="separate"/>
        </w:r>
        <w:r w:rsidR="007B19E7">
          <w:rPr>
            <w:webHidden/>
          </w:rPr>
          <w:t>14</w:t>
        </w:r>
        <w:r w:rsidR="007B19E7">
          <w:rPr>
            <w:webHidden/>
          </w:rPr>
          <w:fldChar w:fldCharType="end"/>
        </w:r>
      </w:hyperlink>
    </w:p>
    <w:p w:rsidR="007B19E7" w:rsidRDefault="00ED2FCB">
      <w:pPr>
        <w:pStyle w:val="TOC2"/>
        <w:tabs>
          <w:tab w:val="right" w:leader="dot" w:pos="9435"/>
        </w:tabs>
        <w:rPr>
          <w:rFonts w:asciiTheme="minorHAnsi" w:eastAsiaTheme="minorEastAsia" w:hAnsiTheme="minorHAnsi" w:cstheme="minorBidi"/>
          <w:szCs w:val="22"/>
        </w:rPr>
      </w:pPr>
      <w:hyperlink w:anchor="_Toc508378925" w:history="1">
        <w:r w:rsidR="007B19E7" w:rsidRPr="005C2CD4">
          <w:rPr>
            <w:rStyle w:val="Hyperlink"/>
            <w:bCs/>
          </w:rPr>
          <w:t>Stage 3: Assessment</w:t>
        </w:r>
        <w:r w:rsidR="007B19E7">
          <w:rPr>
            <w:webHidden/>
          </w:rPr>
          <w:tab/>
        </w:r>
        <w:r w:rsidR="007B19E7">
          <w:rPr>
            <w:webHidden/>
          </w:rPr>
          <w:fldChar w:fldCharType="begin"/>
        </w:r>
        <w:r w:rsidR="007B19E7">
          <w:rPr>
            <w:webHidden/>
          </w:rPr>
          <w:instrText xml:space="preserve"> PAGEREF _Toc508378925 \h </w:instrText>
        </w:r>
        <w:r w:rsidR="007B19E7">
          <w:rPr>
            <w:webHidden/>
          </w:rPr>
        </w:r>
        <w:r w:rsidR="007B19E7">
          <w:rPr>
            <w:webHidden/>
          </w:rPr>
          <w:fldChar w:fldCharType="separate"/>
        </w:r>
        <w:r w:rsidR="007B19E7">
          <w:rPr>
            <w:webHidden/>
          </w:rPr>
          <w:t>14</w:t>
        </w:r>
        <w:r w:rsidR="007B19E7">
          <w:rPr>
            <w:webHidden/>
          </w:rPr>
          <w:fldChar w:fldCharType="end"/>
        </w:r>
      </w:hyperlink>
    </w:p>
    <w:p w:rsidR="007B19E7" w:rsidRDefault="00ED2FCB">
      <w:pPr>
        <w:pStyle w:val="TOC2"/>
        <w:tabs>
          <w:tab w:val="right" w:leader="dot" w:pos="9435"/>
        </w:tabs>
        <w:rPr>
          <w:rFonts w:asciiTheme="minorHAnsi" w:eastAsiaTheme="minorEastAsia" w:hAnsiTheme="minorHAnsi" w:cstheme="minorBidi"/>
          <w:szCs w:val="22"/>
        </w:rPr>
      </w:pPr>
      <w:hyperlink w:anchor="_Toc508378926" w:history="1">
        <w:r w:rsidR="007B19E7" w:rsidRPr="005C2CD4">
          <w:rPr>
            <w:rStyle w:val="Hyperlink"/>
          </w:rPr>
          <w:t>Stage 4: Classification analysis</w:t>
        </w:r>
        <w:r w:rsidR="007B19E7">
          <w:rPr>
            <w:webHidden/>
          </w:rPr>
          <w:tab/>
        </w:r>
        <w:r w:rsidR="007B19E7">
          <w:rPr>
            <w:webHidden/>
          </w:rPr>
          <w:fldChar w:fldCharType="begin"/>
        </w:r>
        <w:r w:rsidR="007B19E7">
          <w:rPr>
            <w:webHidden/>
          </w:rPr>
          <w:instrText xml:space="preserve"> PAGEREF _Toc508378926 \h </w:instrText>
        </w:r>
        <w:r w:rsidR="007B19E7">
          <w:rPr>
            <w:webHidden/>
          </w:rPr>
        </w:r>
        <w:r w:rsidR="007B19E7">
          <w:rPr>
            <w:webHidden/>
          </w:rPr>
          <w:fldChar w:fldCharType="separate"/>
        </w:r>
        <w:r w:rsidR="007B19E7">
          <w:rPr>
            <w:webHidden/>
          </w:rPr>
          <w:t>14</w:t>
        </w:r>
        <w:r w:rsidR="007B19E7">
          <w:rPr>
            <w:webHidden/>
          </w:rPr>
          <w:fldChar w:fldCharType="end"/>
        </w:r>
      </w:hyperlink>
    </w:p>
    <w:p w:rsidR="00342CAA" w:rsidRPr="00342CAA" w:rsidRDefault="00733EFD" w:rsidP="00161EBF">
      <w:pPr>
        <w:pStyle w:val="Heading1"/>
        <w:numPr>
          <w:ilvl w:val="0"/>
          <w:numId w:val="0"/>
        </w:numPr>
      </w:pPr>
      <w:r>
        <w:fldChar w:fldCharType="end"/>
      </w:r>
      <w:r w:rsidR="005E79C8">
        <w:br w:type="page"/>
      </w:r>
      <w:bookmarkStart w:id="1" w:name="_Toc508369804"/>
      <w:bookmarkStart w:id="2" w:name="_Toc508371469"/>
      <w:bookmarkStart w:id="3" w:name="_Toc508371525"/>
      <w:bookmarkStart w:id="4" w:name="_Toc508378911"/>
      <w:r w:rsidR="00342CAA">
        <w:t>Acronyms and Abbreviations</w:t>
      </w:r>
      <w:bookmarkEnd w:id="1"/>
      <w:bookmarkEnd w:id="2"/>
      <w:bookmarkEnd w:id="3"/>
      <w:bookmarkEnd w:id="4"/>
      <w:r w:rsidR="00342CAA">
        <w:t xml:space="preserve"> </w:t>
      </w:r>
    </w:p>
    <w:tbl>
      <w:tblPr>
        <w:tblW w:w="8798" w:type="dxa"/>
        <w:tblLook w:val="01E0" w:firstRow="1" w:lastRow="1" w:firstColumn="1" w:lastColumn="1" w:noHBand="0" w:noVBand="0"/>
        <w:tblDescription w:val="list of acronyms and abbreviations which appear in the Dispute Resolution Framework, version 2.0."/>
      </w:tblPr>
      <w:tblGrid>
        <w:gridCol w:w="1868"/>
        <w:gridCol w:w="6930"/>
      </w:tblGrid>
      <w:tr w:rsidR="003A0492" w:rsidTr="003A0492">
        <w:tc>
          <w:tcPr>
            <w:tcW w:w="1868" w:type="dxa"/>
            <w:hideMark/>
          </w:tcPr>
          <w:p w:rsidR="003A0492" w:rsidRDefault="003A0492">
            <w:pPr>
              <w:adjustRightInd w:val="0"/>
              <w:snapToGrid w:val="0"/>
              <w:spacing w:line="264" w:lineRule="auto"/>
              <w:rPr>
                <w:rFonts w:cs="Arial"/>
                <w:b/>
              </w:rPr>
            </w:pPr>
            <w:r>
              <w:rPr>
                <w:rFonts w:cs="Arial"/>
                <w:b/>
              </w:rPr>
              <w:t>ABF</w:t>
            </w:r>
          </w:p>
        </w:tc>
        <w:tc>
          <w:tcPr>
            <w:tcW w:w="6930" w:type="dxa"/>
            <w:hideMark/>
          </w:tcPr>
          <w:p w:rsidR="003A0492" w:rsidRDefault="003A0492">
            <w:pPr>
              <w:adjustRightInd w:val="0"/>
              <w:snapToGrid w:val="0"/>
              <w:spacing w:line="264" w:lineRule="auto"/>
              <w:rPr>
                <w:rFonts w:cs="Arial"/>
              </w:rPr>
            </w:pPr>
            <w:r>
              <w:rPr>
                <w:rFonts w:cs="Arial"/>
              </w:rPr>
              <w:t>Activity Based Funding</w:t>
            </w:r>
          </w:p>
        </w:tc>
      </w:tr>
      <w:tr w:rsidR="003A0492" w:rsidTr="003A0492">
        <w:tc>
          <w:tcPr>
            <w:tcW w:w="1868" w:type="dxa"/>
            <w:hideMark/>
          </w:tcPr>
          <w:p w:rsidR="003A0492" w:rsidRDefault="003A0492">
            <w:pPr>
              <w:adjustRightInd w:val="0"/>
              <w:snapToGrid w:val="0"/>
              <w:spacing w:line="264" w:lineRule="auto"/>
              <w:rPr>
                <w:rFonts w:cs="Arial"/>
                <w:b/>
              </w:rPr>
            </w:pPr>
            <w:r>
              <w:rPr>
                <w:b/>
              </w:rPr>
              <w:t>AR-DRGs</w:t>
            </w:r>
          </w:p>
        </w:tc>
        <w:tc>
          <w:tcPr>
            <w:tcW w:w="6930" w:type="dxa"/>
            <w:hideMark/>
          </w:tcPr>
          <w:p w:rsidR="003A0492" w:rsidRDefault="003A0492">
            <w:pPr>
              <w:adjustRightInd w:val="0"/>
              <w:snapToGrid w:val="0"/>
              <w:spacing w:line="264" w:lineRule="auto"/>
              <w:rPr>
                <w:rFonts w:cs="Arial"/>
              </w:rPr>
            </w:pPr>
            <w:r>
              <w:t>Australian Refined Diagnosis Related Groups</w:t>
            </w:r>
          </w:p>
        </w:tc>
      </w:tr>
      <w:tr w:rsidR="003A0492" w:rsidTr="003A0492">
        <w:tc>
          <w:tcPr>
            <w:tcW w:w="1868" w:type="dxa"/>
            <w:hideMark/>
          </w:tcPr>
          <w:p w:rsidR="003A0492" w:rsidRDefault="003A0492">
            <w:pPr>
              <w:adjustRightInd w:val="0"/>
              <w:snapToGrid w:val="0"/>
              <w:spacing w:line="264" w:lineRule="auto"/>
              <w:rPr>
                <w:rFonts w:cs="Arial"/>
                <w:b/>
              </w:rPr>
            </w:pPr>
            <w:r>
              <w:rPr>
                <w:b/>
              </w:rPr>
              <w:t>CAC</w:t>
            </w:r>
          </w:p>
        </w:tc>
        <w:tc>
          <w:tcPr>
            <w:tcW w:w="6930" w:type="dxa"/>
            <w:hideMark/>
          </w:tcPr>
          <w:p w:rsidR="003A0492" w:rsidRDefault="003A0492">
            <w:pPr>
              <w:ind w:left="2160" w:hanging="2160"/>
              <w:rPr>
                <w:rFonts w:cs="Arial"/>
              </w:rPr>
            </w:pPr>
            <w:r>
              <w:t>Clinical Advisory Committee</w:t>
            </w:r>
          </w:p>
        </w:tc>
      </w:tr>
      <w:tr w:rsidR="003A0492" w:rsidTr="003A0492">
        <w:tc>
          <w:tcPr>
            <w:tcW w:w="1868" w:type="dxa"/>
            <w:hideMark/>
          </w:tcPr>
          <w:p w:rsidR="003A0492" w:rsidRDefault="003A0492">
            <w:pPr>
              <w:adjustRightInd w:val="0"/>
              <w:snapToGrid w:val="0"/>
              <w:spacing w:line="264" w:lineRule="auto"/>
              <w:rPr>
                <w:rFonts w:cs="Arial"/>
                <w:b/>
              </w:rPr>
            </w:pPr>
            <w:r>
              <w:rPr>
                <w:b/>
              </w:rPr>
              <w:t>CATAG</w:t>
            </w:r>
          </w:p>
        </w:tc>
        <w:tc>
          <w:tcPr>
            <w:tcW w:w="6930" w:type="dxa"/>
            <w:hideMark/>
          </w:tcPr>
          <w:p w:rsidR="003A0492" w:rsidRDefault="003A0492">
            <w:pPr>
              <w:ind w:left="2160" w:hanging="2160"/>
              <w:rPr>
                <w:rFonts w:cs="Arial"/>
              </w:rPr>
            </w:pPr>
            <w:r>
              <w:t>Council of Australian Therapeutic Advisory Groups</w:t>
            </w:r>
          </w:p>
        </w:tc>
      </w:tr>
      <w:tr w:rsidR="003A0492" w:rsidTr="003A0492">
        <w:tc>
          <w:tcPr>
            <w:tcW w:w="1868" w:type="dxa"/>
            <w:hideMark/>
          </w:tcPr>
          <w:p w:rsidR="003A0492" w:rsidRDefault="003A0492">
            <w:pPr>
              <w:adjustRightInd w:val="0"/>
              <w:snapToGrid w:val="0"/>
              <w:spacing w:line="264" w:lineRule="auto"/>
              <w:rPr>
                <w:rFonts w:cs="Arial"/>
                <w:b/>
              </w:rPr>
            </w:pPr>
            <w:r>
              <w:rPr>
                <w:b/>
              </w:rPr>
              <w:t>IHPA</w:t>
            </w:r>
          </w:p>
        </w:tc>
        <w:tc>
          <w:tcPr>
            <w:tcW w:w="6930" w:type="dxa"/>
            <w:hideMark/>
          </w:tcPr>
          <w:p w:rsidR="003A0492" w:rsidRDefault="00161EBF">
            <w:pPr>
              <w:adjustRightInd w:val="0"/>
              <w:snapToGrid w:val="0"/>
              <w:spacing w:line="264" w:lineRule="auto"/>
              <w:rPr>
                <w:rFonts w:cs="Arial"/>
              </w:rPr>
            </w:pPr>
            <w:r>
              <w:t>Independent Hospital Pricing Authority</w:t>
            </w:r>
          </w:p>
        </w:tc>
      </w:tr>
      <w:tr w:rsidR="003A0492" w:rsidTr="003A0492">
        <w:tc>
          <w:tcPr>
            <w:tcW w:w="1868" w:type="dxa"/>
            <w:hideMark/>
          </w:tcPr>
          <w:p w:rsidR="003A0492" w:rsidRDefault="003A0492">
            <w:pPr>
              <w:adjustRightInd w:val="0"/>
              <w:snapToGrid w:val="0"/>
              <w:spacing w:line="264" w:lineRule="auto"/>
              <w:rPr>
                <w:rFonts w:cs="Arial"/>
                <w:b/>
              </w:rPr>
            </w:pPr>
            <w:proofErr w:type="spellStart"/>
            <w:r>
              <w:rPr>
                <w:b/>
              </w:rPr>
              <w:t>HealthPACT</w:t>
            </w:r>
            <w:proofErr w:type="spellEnd"/>
          </w:p>
        </w:tc>
        <w:tc>
          <w:tcPr>
            <w:tcW w:w="6930" w:type="dxa"/>
            <w:hideMark/>
          </w:tcPr>
          <w:p w:rsidR="003A0492" w:rsidRDefault="003A0492">
            <w:pPr>
              <w:adjustRightInd w:val="0"/>
              <w:snapToGrid w:val="0"/>
              <w:spacing w:line="264" w:lineRule="auto"/>
              <w:rPr>
                <w:rFonts w:cs="Arial"/>
              </w:rPr>
            </w:pPr>
            <w:r>
              <w:t>Health Policy Advisory Committee on Technology</w:t>
            </w:r>
          </w:p>
        </w:tc>
      </w:tr>
      <w:tr w:rsidR="003A0492" w:rsidTr="003A0492">
        <w:tc>
          <w:tcPr>
            <w:tcW w:w="1868" w:type="dxa"/>
            <w:hideMark/>
          </w:tcPr>
          <w:p w:rsidR="003A0492" w:rsidRDefault="003A0492">
            <w:pPr>
              <w:adjustRightInd w:val="0"/>
              <w:snapToGrid w:val="0"/>
              <w:spacing w:line="264" w:lineRule="auto"/>
              <w:rPr>
                <w:rFonts w:cs="Arial"/>
                <w:b/>
              </w:rPr>
            </w:pPr>
            <w:r>
              <w:rPr>
                <w:b/>
              </w:rPr>
              <w:t>HTA</w:t>
            </w:r>
          </w:p>
        </w:tc>
        <w:tc>
          <w:tcPr>
            <w:tcW w:w="6930" w:type="dxa"/>
            <w:hideMark/>
          </w:tcPr>
          <w:p w:rsidR="003A0492" w:rsidRDefault="003A0492">
            <w:pPr>
              <w:adjustRightInd w:val="0"/>
              <w:snapToGrid w:val="0"/>
              <w:spacing w:line="264" w:lineRule="auto"/>
              <w:rPr>
                <w:rFonts w:cs="Arial"/>
              </w:rPr>
            </w:pPr>
            <w:r>
              <w:t>Health Technology Assessment</w:t>
            </w:r>
          </w:p>
        </w:tc>
      </w:tr>
      <w:tr w:rsidR="003A0492" w:rsidTr="003A0492">
        <w:tc>
          <w:tcPr>
            <w:tcW w:w="1868" w:type="dxa"/>
            <w:hideMark/>
          </w:tcPr>
          <w:p w:rsidR="003A0492" w:rsidRDefault="003A0492">
            <w:pPr>
              <w:adjustRightInd w:val="0"/>
              <w:snapToGrid w:val="0"/>
              <w:spacing w:line="264" w:lineRule="auto"/>
              <w:rPr>
                <w:rFonts w:cs="Arial"/>
                <w:b/>
              </w:rPr>
            </w:pPr>
            <w:r>
              <w:rPr>
                <w:b/>
              </w:rPr>
              <w:t>MSAC</w:t>
            </w:r>
          </w:p>
        </w:tc>
        <w:tc>
          <w:tcPr>
            <w:tcW w:w="6930" w:type="dxa"/>
            <w:hideMark/>
          </w:tcPr>
          <w:p w:rsidR="003A0492" w:rsidRDefault="003A0492">
            <w:pPr>
              <w:adjustRightInd w:val="0"/>
              <w:snapToGrid w:val="0"/>
              <w:spacing w:line="264" w:lineRule="auto"/>
              <w:rPr>
                <w:rFonts w:cs="Arial"/>
              </w:rPr>
            </w:pPr>
            <w:r>
              <w:t>Medical Services Advisory Committee</w:t>
            </w:r>
          </w:p>
        </w:tc>
      </w:tr>
      <w:tr w:rsidR="003A0492" w:rsidTr="003A0492">
        <w:tc>
          <w:tcPr>
            <w:tcW w:w="1868" w:type="dxa"/>
            <w:hideMark/>
          </w:tcPr>
          <w:p w:rsidR="003A0492" w:rsidRDefault="003A0492">
            <w:pPr>
              <w:adjustRightInd w:val="0"/>
              <w:snapToGrid w:val="0"/>
              <w:spacing w:line="264" w:lineRule="auto"/>
              <w:rPr>
                <w:rFonts w:cs="Arial"/>
                <w:b/>
              </w:rPr>
            </w:pPr>
            <w:r>
              <w:rPr>
                <w:b/>
              </w:rPr>
              <w:t>NEC</w:t>
            </w:r>
          </w:p>
        </w:tc>
        <w:tc>
          <w:tcPr>
            <w:tcW w:w="6930" w:type="dxa"/>
            <w:hideMark/>
          </w:tcPr>
          <w:p w:rsidR="003A0492" w:rsidRDefault="003A0492">
            <w:pPr>
              <w:adjustRightInd w:val="0"/>
              <w:snapToGrid w:val="0"/>
              <w:spacing w:line="264" w:lineRule="auto"/>
              <w:rPr>
                <w:rFonts w:cs="Arial"/>
              </w:rPr>
            </w:pPr>
            <w:r>
              <w:t>National Efficient Cost</w:t>
            </w:r>
          </w:p>
        </w:tc>
      </w:tr>
      <w:tr w:rsidR="003A0492" w:rsidTr="003A0492">
        <w:tc>
          <w:tcPr>
            <w:tcW w:w="1868" w:type="dxa"/>
            <w:hideMark/>
          </w:tcPr>
          <w:p w:rsidR="003A0492" w:rsidRDefault="003A0492">
            <w:pPr>
              <w:adjustRightInd w:val="0"/>
              <w:snapToGrid w:val="0"/>
              <w:spacing w:line="264" w:lineRule="auto"/>
              <w:rPr>
                <w:rFonts w:cs="Arial"/>
                <w:b/>
              </w:rPr>
            </w:pPr>
            <w:r>
              <w:rPr>
                <w:b/>
              </w:rPr>
              <w:t>NEP</w:t>
            </w:r>
          </w:p>
        </w:tc>
        <w:tc>
          <w:tcPr>
            <w:tcW w:w="6930" w:type="dxa"/>
            <w:hideMark/>
          </w:tcPr>
          <w:p w:rsidR="003A0492" w:rsidRDefault="003A0492">
            <w:pPr>
              <w:adjustRightInd w:val="0"/>
              <w:snapToGrid w:val="0"/>
              <w:spacing w:line="264" w:lineRule="auto"/>
              <w:rPr>
                <w:rFonts w:cs="Arial"/>
              </w:rPr>
            </w:pPr>
            <w:r>
              <w:rPr>
                <w:rFonts w:cs="Arial"/>
              </w:rPr>
              <w:t>National Efficient Price</w:t>
            </w:r>
          </w:p>
        </w:tc>
      </w:tr>
      <w:tr w:rsidR="003A0492" w:rsidTr="003A0492">
        <w:tc>
          <w:tcPr>
            <w:tcW w:w="1868" w:type="dxa"/>
            <w:hideMark/>
          </w:tcPr>
          <w:p w:rsidR="003A0492" w:rsidRDefault="003A0492">
            <w:pPr>
              <w:adjustRightInd w:val="0"/>
              <w:snapToGrid w:val="0"/>
              <w:spacing w:line="264" w:lineRule="auto"/>
              <w:rPr>
                <w:b/>
              </w:rPr>
            </w:pPr>
            <w:r>
              <w:rPr>
                <w:b/>
              </w:rPr>
              <w:t>PLAC</w:t>
            </w:r>
          </w:p>
        </w:tc>
        <w:tc>
          <w:tcPr>
            <w:tcW w:w="6930" w:type="dxa"/>
            <w:hideMark/>
          </w:tcPr>
          <w:p w:rsidR="003A0492" w:rsidRDefault="003A0492">
            <w:pPr>
              <w:adjustRightInd w:val="0"/>
              <w:snapToGrid w:val="0"/>
              <w:spacing w:line="264" w:lineRule="auto"/>
            </w:pPr>
            <w:r>
              <w:t>Prostheses List Advisory Committee</w:t>
            </w:r>
          </w:p>
        </w:tc>
      </w:tr>
      <w:tr w:rsidR="003A0492" w:rsidTr="003A0492">
        <w:tc>
          <w:tcPr>
            <w:tcW w:w="1868" w:type="dxa"/>
            <w:hideMark/>
          </w:tcPr>
          <w:p w:rsidR="003A0492" w:rsidRDefault="003A0492">
            <w:pPr>
              <w:adjustRightInd w:val="0"/>
              <w:snapToGrid w:val="0"/>
              <w:spacing w:line="264" w:lineRule="auto"/>
              <w:rPr>
                <w:b/>
              </w:rPr>
            </w:pPr>
            <w:r>
              <w:rPr>
                <w:b/>
              </w:rPr>
              <w:t>TGA</w:t>
            </w:r>
          </w:p>
        </w:tc>
        <w:tc>
          <w:tcPr>
            <w:tcW w:w="6930" w:type="dxa"/>
            <w:hideMark/>
          </w:tcPr>
          <w:p w:rsidR="003A0492" w:rsidRDefault="003A0492">
            <w:pPr>
              <w:adjustRightInd w:val="0"/>
              <w:snapToGrid w:val="0"/>
              <w:spacing w:line="264" w:lineRule="auto"/>
            </w:pPr>
            <w:r>
              <w:t>Therapeutic Goods Administration</w:t>
            </w:r>
          </w:p>
        </w:tc>
      </w:tr>
      <w:tr w:rsidR="003A0492" w:rsidTr="003A0492">
        <w:tc>
          <w:tcPr>
            <w:tcW w:w="1868" w:type="dxa"/>
            <w:hideMark/>
          </w:tcPr>
          <w:p w:rsidR="003A0492" w:rsidRDefault="003A0492">
            <w:pPr>
              <w:adjustRightInd w:val="0"/>
              <w:snapToGrid w:val="0"/>
              <w:spacing w:line="264" w:lineRule="auto"/>
              <w:rPr>
                <w:rFonts w:cs="Arial"/>
                <w:b/>
              </w:rPr>
            </w:pPr>
            <w:r>
              <w:rPr>
                <w:rFonts w:cs="Arial"/>
                <w:b/>
              </w:rPr>
              <w:t>the Act</w:t>
            </w:r>
          </w:p>
        </w:tc>
        <w:tc>
          <w:tcPr>
            <w:tcW w:w="6930" w:type="dxa"/>
            <w:hideMark/>
          </w:tcPr>
          <w:p w:rsidR="003A0492" w:rsidRDefault="003A0492">
            <w:pPr>
              <w:adjustRightInd w:val="0"/>
              <w:snapToGrid w:val="0"/>
              <w:spacing w:line="264" w:lineRule="auto"/>
              <w:rPr>
                <w:rFonts w:cs="Arial"/>
                <w:i/>
              </w:rPr>
            </w:pPr>
            <w:r>
              <w:rPr>
                <w:rFonts w:cs="Arial"/>
                <w:i/>
              </w:rPr>
              <w:t>National Health Reform Agreement Act 2011</w:t>
            </w:r>
          </w:p>
        </w:tc>
      </w:tr>
    </w:tbl>
    <w:p w:rsidR="00342CAA" w:rsidRPr="00342CAA" w:rsidRDefault="005572FD" w:rsidP="00161EBF">
      <w:pPr>
        <w:pStyle w:val="Heading1"/>
        <w:numPr>
          <w:ilvl w:val="0"/>
          <w:numId w:val="0"/>
        </w:numPr>
        <w:ind w:left="432" w:hanging="432"/>
        <w:rPr>
          <w:lang w:eastAsia="en-US"/>
        </w:rPr>
      </w:pPr>
      <w:r>
        <w:rPr>
          <w:lang w:eastAsia="en-US"/>
        </w:rPr>
        <w:br w:type="page"/>
      </w:r>
      <w:bookmarkStart w:id="5" w:name="_Toc508369805"/>
      <w:bookmarkStart w:id="6" w:name="_Toc508371470"/>
      <w:bookmarkStart w:id="7" w:name="_Toc508371526"/>
      <w:bookmarkStart w:id="8" w:name="_Toc508378912"/>
      <w:r w:rsidR="00342CAA" w:rsidRPr="00342CAA">
        <w:rPr>
          <w:lang w:eastAsia="en-US"/>
        </w:rPr>
        <w:t>Definitions</w:t>
      </w:r>
      <w:bookmarkEnd w:id="5"/>
      <w:bookmarkEnd w:id="6"/>
      <w:bookmarkEnd w:id="7"/>
      <w:bookmarkEnd w:id="8"/>
    </w:p>
    <w:tbl>
      <w:tblPr>
        <w:tblW w:w="9464" w:type="dxa"/>
        <w:tblLook w:val="01E0" w:firstRow="1" w:lastRow="1" w:firstColumn="1" w:lastColumn="1" w:noHBand="0" w:noVBand="0"/>
        <w:tblDescription w:val="list of definitions which appear in the Dispute Resolution Framework, version 2.0."/>
      </w:tblPr>
      <w:tblGrid>
        <w:gridCol w:w="1809"/>
        <w:gridCol w:w="7655"/>
      </w:tblGrid>
      <w:tr w:rsidR="00342CAA" w:rsidRPr="00342CAA" w:rsidTr="00342CAA">
        <w:tc>
          <w:tcPr>
            <w:tcW w:w="1809" w:type="dxa"/>
            <w:hideMark/>
          </w:tcPr>
          <w:p w:rsidR="00342CAA" w:rsidRPr="00342CAA" w:rsidRDefault="005572FD" w:rsidP="005572FD">
            <w:pPr>
              <w:spacing w:line="240" w:lineRule="auto"/>
              <w:rPr>
                <w:rFonts w:cs="Arial"/>
                <w:b/>
                <w:szCs w:val="22"/>
                <w:lang w:eastAsia="zh-CN"/>
              </w:rPr>
            </w:pPr>
            <w:r>
              <w:rPr>
                <w:rFonts w:cs="Arial"/>
                <w:b/>
                <w:szCs w:val="22"/>
                <w:lang w:eastAsia="zh-CN"/>
              </w:rPr>
              <w:t>Activity based funding</w:t>
            </w:r>
          </w:p>
        </w:tc>
        <w:tc>
          <w:tcPr>
            <w:tcW w:w="7655" w:type="dxa"/>
            <w:hideMark/>
          </w:tcPr>
          <w:p w:rsidR="00A06513" w:rsidRDefault="00A06513" w:rsidP="00A06513">
            <w:r w:rsidRPr="006C7838">
              <w:t xml:space="preserve">Refers to an activity comprising in-scope public hospital services which will be funded by the </w:t>
            </w:r>
            <w:r>
              <w:t>Australian Government</w:t>
            </w:r>
            <w:r w:rsidRPr="006C7838">
              <w:t xml:space="preserve"> in the manner described at </w:t>
            </w:r>
            <w:r>
              <w:t>C</w:t>
            </w:r>
            <w:r w:rsidRPr="006C7838">
              <w:t>lause A32(c) of the National Health Reform Agreement</w:t>
            </w:r>
            <w:r>
              <w:t xml:space="preserve"> (NHRA)</w:t>
            </w:r>
            <w:r w:rsidRPr="006C7838">
              <w:t xml:space="preserve">. </w:t>
            </w:r>
          </w:p>
          <w:p w:rsidR="00342CAA" w:rsidRPr="00342CAA" w:rsidRDefault="00D04B2A" w:rsidP="00A06513">
            <w:pPr>
              <w:spacing w:line="240" w:lineRule="auto"/>
              <w:rPr>
                <w:rFonts w:cs="Arial"/>
                <w:szCs w:val="22"/>
                <w:lang w:eastAsia="zh-CN"/>
              </w:rPr>
            </w:pPr>
            <w:r w:rsidRPr="00A36C9C">
              <w:t>An activity based funding (ABF) activity may take the form of a separation, presentation or service event.</w:t>
            </w:r>
          </w:p>
        </w:tc>
      </w:tr>
      <w:tr w:rsidR="00342CAA" w:rsidRPr="00342CAA" w:rsidTr="00342CAA">
        <w:tc>
          <w:tcPr>
            <w:tcW w:w="1809" w:type="dxa"/>
            <w:hideMark/>
          </w:tcPr>
          <w:p w:rsidR="00342CAA" w:rsidRPr="00342CAA" w:rsidRDefault="00342CAA" w:rsidP="00342CAA">
            <w:pPr>
              <w:adjustRightInd w:val="0"/>
              <w:snapToGrid w:val="0"/>
              <w:rPr>
                <w:rFonts w:cs="Arial"/>
                <w:b/>
              </w:rPr>
            </w:pPr>
            <w:r w:rsidRPr="00342CAA">
              <w:rPr>
                <w:rFonts w:cs="Arial"/>
                <w:b/>
              </w:rPr>
              <w:t>Clinical Advisory Committee</w:t>
            </w:r>
          </w:p>
        </w:tc>
        <w:tc>
          <w:tcPr>
            <w:tcW w:w="7655" w:type="dxa"/>
            <w:hideMark/>
          </w:tcPr>
          <w:p w:rsidR="00342CAA" w:rsidRPr="00342CAA" w:rsidRDefault="00342CAA" w:rsidP="00342CAA">
            <w:pPr>
              <w:spacing w:after="0" w:line="240" w:lineRule="auto"/>
              <w:rPr>
                <w:rFonts w:cs="Arial"/>
                <w:szCs w:val="22"/>
                <w:lang w:eastAsia="zh-CN"/>
              </w:rPr>
            </w:pPr>
            <w:r w:rsidRPr="00342CAA">
              <w:rPr>
                <w:rFonts w:cs="Arial"/>
                <w:szCs w:val="22"/>
                <w:lang w:eastAsia="zh-CN"/>
              </w:rPr>
              <w:t>The Clinical Advisory Committee (CAC) is established under the National Health Reform Act 2011 to “advise the Pricing Authority in relation to developing and specifying classification systems for health care and other services provided by public hospitals”.</w:t>
            </w:r>
          </w:p>
          <w:p w:rsidR="00342CAA" w:rsidRPr="00342CAA" w:rsidRDefault="00342CAA" w:rsidP="00342CAA">
            <w:pPr>
              <w:spacing w:line="240" w:lineRule="auto"/>
              <w:rPr>
                <w:rFonts w:cs="Arial"/>
                <w:szCs w:val="22"/>
                <w:lang w:eastAsia="zh-CN"/>
              </w:rPr>
            </w:pPr>
            <w:r w:rsidRPr="00342CAA">
              <w:rPr>
                <w:rFonts w:cs="Arial"/>
                <w:szCs w:val="22"/>
                <w:lang w:eastAsia="zh-CN"/>
              </w:rPr>
              <w:t>Hence, IHPA, through its CAC, will monitor the potential impact of new health technology on models of care that have not yet been incorporated in the classification and costing of public hospital services.</w:t>
            </w:r>
          </w:p>
        </w:tc>
      </w:tr>
      <w:tr w:rsidR="00342CAA" w:rsidRPr="00342CAA" w:rsidTr="00342CAA">
        <w:tc>
          <w:tcPr>
            <w:tcW w:w="1809" w:type="dxa"/>
            <w:hideMark/>
          </w:tcPr>
          <w:p w:rsidR="00342CAA" w:rsidRPr="00342CAA" w:rsidRDefault="00342CAA" w:rsidP="00342CAA">
            <w:pPr>
              <w:adjustRightInd w:val="0"/>
              <w:snapToGrid w:val="0"/>
              <w:rPr>
                <w:rFonts w:cs="Arial"/>
                <w:b/>
              </w:rPr>
            </w:pPr>
            <w:r w:rsidRPr="00342CAA">
              <w:rPr>
                <w:rFonts w:cs="Arial"/>
                <w:b/>
              </w:rPr>
              <w:t>Health Technology</w:t>
            </w:r>
          </w:p>
        </w:tc>
        <w:tc>
          <w:tcPr>
            <w:tcW w:w="7655" w:type="dxa"/>
            <w:hideMark/>
          </w:tcPr>
          <w:p w:rsidR="00342CAA" w:rsidRPr="00342CAA" w:rsidRDefault="00342CAA" w:rsidP="00342CAA">
            <w:pPr>
              <w:spacing w:line="240" w:lineRule="auto"/>
              <w:rPr>
                <w:rFonts w:cs="Arial"/>
                <w:szCs w:val="22"/>
                <w:lang w:eastAsia="zh-CN"/>
              </w:rPr>
            </w:pPr>
            <w:r w:rsidRPr="00342CAA">
              <w:rPr>
                <w:rFonts w:cs="Arial"/>
                <w:szCs w:val="22"/>
                <w:lang w:eastAsia="zh-CN"/>
              </w:rPr>
              <w:t>Includes new medicines; diagnostics, devices, equipment and supplies; medical and surgical procedures; support systems; and organisational and managerial systems used in prevention, screening, diagnosis, treatment and rehabilitation.</w:t>
            </w:r>
            <w:r w:rsidRPr="00342CAA">
              <w:rPr>
                <w:rFonts w:cs="Arial"/>
                <w:szCs w:val="22"/>
                <w:vertAlign w:val="superscript"/>
                <w:lang w:eastAsia="zh-CN"/>
              </w:rPr>
              <w:t xml:space="preserve"> </w:t>
            </w:r>
            <w:r w:rsidRPr="00342CAA">
              <w:rPr>
                <w:rFonts w:cs="Arial"/>
                <w:szCs w:val="22"/>
                <w:vertAlign w:val="superscript"/>
                <w:lang w:eastAsia="zh-CN"/>
              </w:rPr>
              <w:footnoteReference w:id="1"/>
            </w:r>
          </w:p>
        </w:tc>
      </w:tr>
      <w:tr w:rsidR="00342CAA" w:rsidRPr="00342CAA" w:rsidTr="00342CAA">
        <w:tc>
          <w:tcPr>
            <w:tcW w:w="1809" w:type="dxa"/>
            <w:hideMark/>
          </w:tcPr>
          <w:p w:rsidR="00342CAA" w:rsidRPr="00342CAA" w:rsidRDefault="00342CAA" w:rsidP="00342CAA">
            <w:pPr>
              <w:adjustRightInd w:val="0"/>
              <w:snapToGrid w:val="0"/>
              <w:rPr>
                <w:rFonts w:cs="Arial"/>
                <w:b/>
              </w:rPr>
            </w:pPr>
            <w:r w:rsidRPr="00342CAA">
              <w:rPr>
                <w:rFonts w:cs="Arial"/>
                <w:b/>
              </w:rPr>
              <w:t>Health Technology Assessment</w:t>
            </w:r>
          </w:p>
        </w:tc>
        <w:tc>
          <w:tcPr>
            <w:tcW w:w="7655" w:type="dxa"/>
            <w:hideMark/>
          </w:tcPr>
          <w:p w:rsidR="00342CAA" w:rsidRPr="00342CAA" w:rsidRDefault="00342CAA" w:rsidP="00342CAA">
            <w:pPr>
              <w:spacing w:before="80" w:line="240" w:lineRule="auto"/>
              <w:jc w:val="both"/>
              <w:rPr>
                <w:rFonts w:cs="Arial"/>
                <w:szCs w:val="22"/>
                <w:lang w:eastAsia="zh-CN"/>
              </w:rPr>
            </w:pPr>
            <w:r w:rsidRPr="00342CAA">
              <w:rPr>
                <w:rFonts w:cs="Arial"/>
                <w:szCs w:val="22"/>
                <w:lang w:eastAsia="zh-CN"/>
              </w:rPr>
              <w:t>Current health technology assessment (HTA) processes usually compare the proposed service with the way in which this patient would otherwise be treated, so that the primary measure of a health outcome is the comparative effectiveness of the service. This is combined with comparative safety to determine net clinical benefit, and then combined with comparative cost to determine incremental cost-effectiveness (or through a cost minimisation approach if the net clinical benefit of the proposed medical service is ‘non inferior’ rather than superior to the comparator).</w:t>
            </w:r>
            <w:r w:rsidRPr="00342CAA">
              <w:rPr>
                <w:rFonts w:cs="Arial"/>
                <w:szCs w:val="22"/>
                <w:vertAlign w:val="superscript"/>
                <w:lang w:eastAsia="zh-CN"/>
              </w:rPr>
              <w:footnoteReference w:id="2"/>
            </w:r>
          </w:p>
        </w:tc>
      </w:tr>
      <w:tr w:rsidR="00342CAA" w:rsidRPr="00342CAA" w:rsidTr="00342CAA">
        <w:tc>
          <w:tcPr>
            <w:tcW w:w="1809" w:type="dxa"/>
            <w:hideMark/>
          </w:tcPr>
          <w:p w:rsidR="00342CAA" w:rsidRPr="00342CAA" w:rsidRDefault="00342CAA" w:rsidP="00342CAA">
            <w:pPr>
              <w:adjustRightInd w:val="0"/>
              <w:snapToGrid w:val="0"/>
              <w:rPr>
                <w:rFonts w:cs="Arial"/>
                <w:b/>
              </w:rPr>
            </w:pPr>
            <w:r w:rsidRPr="00342CAA">
              <w:rPr>
                <w:rFonts w:cs="Arial"/>
                <w:b/>
              </w:rPr>
              <w:t>Pricing Authority</w:t>
            </w:r>
          </w:p>
        </w:tc>
        <w:tc>
          <w:tcPr>
            <w:tcW w:w="7655" w:type="dxa"/>
            <w:hideMark/>
          </w:tcPr>
          <w:p w:rsidR="00342CAA" w:rsidRPr="00342CAA" w:rsidRDefault="00342CAA" w:rsidP="005572FD">
            <w:pPr>
              <w:spacing w:line="240" w:lineRule="auto"/>
              <w:rPr>
                <w:rFonts w:cs="Arial"/>
                <w:szCs w:val="22"/>
                <w:lang w:eastAsia="zh-CN"/>
              </w:rPr>
            </w:pPr>
            <w:r w:rsidRPr="00342CAA">
              <w:rPr>
                <w:rFonts w:cs="Arial"/>
                <w:szCs w:val="22"/>
                <w:lang w:eastAsia="zh-CN"/>
              </w:rPr>
              <w:t xml:space="preserve">The governing body of IHPA established under </w:t>
            </w:r>
            <w:r w:rsidRPr="00342CAA">
              <w:rPr>
                <w:rFonts w:cs="Arial"/>
                <w:i/>
                <w:szCs w:val="22"/>
                <w:lang w:eastAsia="zh-CN"/>
              </w:rPr>
              <w:t>the National Health Reform Act 2011</w:t>
            </w:r>
            <w:r w:rsidR="005572FD">
              <w:rPr>
                <w:rFonts w:cs="Arial"/>
                <w:szCs w:val="22"/>
                <w:lang w:eastAsia="zh-CN"/>
              </w:rPr>
              <w:t xml:space="preserve">. </w:t>
            </w:r>
          </w:p>
        </w:tc>
      </w:tr>
      <w:tr w:rsidR="00342CAA" w:rsidRPr="00342CAA" w:rsidTr="00342CAA">
        <w:tc>
          <w:tcPr>
            <w:tcW w:w="1809" w:type="dxa"/>
            <w:hideMark/>
          </w:tcPr>
          <w:p w:rsidR="00342CAA" w:rsidRPr="00342CAA" w:rsidRDefault="00342CAA" w:rsidP="00342CAA">
            <w:pPr>
              <w:adjustRightInd w:val="0"/>
              <w:snapToGrid w:val="0"/>
              <w:rPr>
                <w:rFonts w:cs="Arial"/>
                <w:b/>
              </w:rPr>
            </w:pPr>
            <w:r w:rsidRPr="00342CAA">
              <w:rPr>
                <w:rFonts w:cs="Arial"/>
                <w:b/>
              </w:rPr>
              <w:t>Pricing Guidelines</w:t>
            </w:r>
          </w:p>
        </w:tc>
        <w:tc>
          <w:tcPr>
            <w:tcW w:w="7655" w:type="dxa"/>
            <w:hideMark/>
          </w:tcPr>
          <w:p w:rsidR="00342CAA" w:rsidRPr="00342CAA" w:rsidRDefault="00342CAA" w:rsidP="00342CAA">
            <w:pPr>
              <w:spacing w:before="80" w:line="240" w:lineRule="auto"/>
              <w:jc w:val="both"/>
              <w:rPr>
                <w:rFonts w:cs="Arial"/>
                <w:szCs w:val="22"/>
                <w:lang w:eastAsia="zh-CN"/>
              </w:rPr>
            </w:pPr>
            <w:r w:rsidRPr="00342CAA">
              <w:rPr>
                <w:rFonts w:cs="Arial"/>
                <w:szCs w:val="22"/>
                <w:lang w:eastAsia="zh-CN"/>
              </w:rPr>
              <w:t>In order to be transparent about how it makes decisions that involve policy choices, IHPA has developed a set of Pricing Guidelines.</w:t>
            </w:r>
          </w:p>
          <w:p w:rsidR="00342CAA" w:rsidRPr="00342CAA" w:rsidRDefault="00342CAA" w:rsidP="00161EBF">
            <w:pPr>
              <w:spacing w:after="0" w:line="240" w:lineRule="auto"/>
              <w:rPr>
                <w:rFonts w:cs="Arial"/>
                <w:szCs w:val="22"/>
                <w:lang w:eastAsia="zh-CN"/>
              </w:rPr>
            </w:pPr>
            <w:r w:rsidRPr="00342CAA">
              <w:rPr>
                <w:rFonts w:cs="Arial"/>
                <w:szCs w:val="22"/>
                <w:lang w:eastAsia="zh-CN"/>
              </w:rPr>
              <w:t xml:space="preserve">These Pricing Guidelines are used to explain the key decisions made by IHPA in the </w:t>
            </w:r>
            <w:r w:rsidRPr="00161EBF">
              <w:rPr>
                <w:rFonts w:cs="Arial"/>
                <w:szCs w:val="22"/>
                <w:lang w:eastAsia="zh-CN"/>
              </w:rPr>
              <w:t>Pricing Framework for Australian Public Hospital Services</w:t>
            </w:r>
            <w:r w:rsidRPr="00342CAA">
              <w:rPr>
                <w:rFonts w:cs="Arial"/>
                <w:szCs w:val="22"/>
                <w:lang w:eastAsia="zh-CN"/>
              </w:rPr>
              <w:t>. The Pricing Guidelines may also be used by governments and other stakeholders to evaluate whether IHPA is undertaking its work in accordance with the explicit policy objectives included in the Pricing</w:t>
            </w:r>
            <w:r w:rsidR="00161EBF">
              <w:rPr>
                <w:rFonts w:cs="Arial"/>
                <w:szCs w:val="22"/>
                <w:lang w:eastAsia="zh-CN"/>
              </w:rPr>
              <w:t xml:space="preserve"> </w:t>
            </w:r>
            <w:r w:rsidRPr="00342CAA">
              <w:rPr>
                <w:rFonts w:cs="Arial"/>
                <w:szCs w:val="22"/>
                <w:lang w:eastAsia="zh-CN"/>
              </w:rPr>
              <w:t>Guidelines.</w:t>
            </w:r>
            <w:r w:rsidRPr="00342CAA">
              <w:rPr>
                <w:rFonts w:cs="Arial"/>
                <w:szCs w:val="22"/>
                <w:vertAlign w:val="superscript"/>
                <w:lang w:eastAsia="zh-CN"/>
              </w:rPr>
              <w:footnoteReference w:id="3"/>
            </w:r>
          </w:p>
        </w:tc>
      </w:tr>
    </w:tbl>
    <w:p w:rsidR="00342CAA" w:rsidRDefault="002A1AA3" w:rsidP="00161EBF">
      <w:pPr>
        <w:pStyle w:val="Heading1"/>
        <w:rPr>
          <w:rStyle w:val="LineNumber"/>
          <w:lang w:eastAsia="en-US"/>
        </w:rPr>
      </w:pPr>
      <w:bookmarkStart w:id="9" w:name="_Toc508369806"/>
      <w:bookmarkStart w:id="10" w:name="_Toc508371471"/>
      <w:bookmarkStart w:id="11" w:name="_Toc508371527"/>
      <w:bookmarkStart w:id="12" w:name="_Toc508378913"/>
      <w:r>
        <w:rPr>
          <w:lang w:eastAsia="en-US"/>
        </w:rPr>
        <w:t>Executive Summary</w:t>
      </w:r>
      <w:bookmarkEnd w:id="9"/>
      <w:bookmarkEnd w:id="10"/>
      <w:bookmarkEnd w:id="11"/>
      <w:bookmarkEnd w:id="12"/>
      <w:r>
        <w:rPr>
          <w:lang w:eastAsia="en-US"/>
        </w:rPr>
        <w:t xml:space="preserve"> </w:t>
      </w:r>
    </w:p>
    <w:p w:rsidR="004B4BC0" w:rsidRDefault="002A1AA3" w:rsidP="006E38AF">
      <w:pPr>
        <w:pStyle w:val="Heading2"/>
      </w:pPr>
      <w:bookmarkStart w:id="13" w:name="_Toc508369807"/>
      <w:bookmarkStart w:id="14" w:name="_Toc508371472"/>
      <w:bookmarkStart w:id="15" w:name="_Toc508371528"/>
      <w:bookmarkStart w:id="16" w:name="_Toc508378914"/>
      <w:r>
        <w:t>Background</w:t>
      </w:r>
      <w:bookmarkEnd w:id="13"/>
      <w:bookmarkEnd w:id="14"/>
      <w:bookmarkEnd w:id="15"/>
      <w:bookmarkEnd w:id="16"/>
    </w:p>
    <w:p w:rsidR="002A1AA3" w:rsidRDefault="002A1AA3" w:rsidP="002A1AA3">
      <w:pPr>
        <w:rPr>
          <w:bCs/>
          <w:lang w:eastAsia="ja-JP"/>
        </w:rPr>
      </w:pPr>
      <w:r>
        <w:rPr>
          <w:bCs/>
          <w:lang w:eastAsia="ja-JP"/>
        </w:rPr>
        <w:t xml:space="preserve">One of the principles adopted by the Independent Hospital Pricing Authority (IHPA) to guide its decision-making is fostering clinical innovation. IHPA’s Pricing Guidelines state that the “pricing of public hospital services should respond in a timely way to introduction of evidence-based, effective new health technology and innovations in models of care that improve patient outcomes”. However, there are several factors that might work against this outcome including: </w:t>
      </w:r>
    </w:p>
    <w:p w:rsidR="002A1AA3" w:rsidRDefault="002A1AA3" w:rsidP="002A1AA3">
      <w:pPr>
        <w:pStyle w:val="ListParagraph"/>
        <w:numPr>
          <w:ilvl w:val="0"/>
          <w:numId w:val="13"/>
        </w:numPr>
        <w:rPr>
          <w:bCs/>
          <w:lang w:eastAsia="ja-JP"/>
        </w:rPr>
      </w:pPr>
      <w:r>
        <w:rPr>
          <w:bCs/>
          <w:lang w:eastAsia="ja-JP"/>
        </w:rPr>
        <w:t xml:space="preserve">The time lag in the National Hospital Cost Data Collection meaning that the National Efficient Price (NEP) and the National Efficient Cost (NEC) will be set based on the technology and model of care that were in operation three years ago. </w:t>
      </w:r>
    </w:p>
    <w:p w:rsidR="002A1AA3" w:rsidRDefault="002A1AA3" w:rsidP="002A1AA3">
      <w:pPr>
        <w:pStyle w:val="ListParagraph"/>
        <w:numPr>
          <w:ilvl w:val="0"/>
          <w:numId w:val="13"/>
        </w:numPr>
        <w:rPr>
          <w:bCs/>
          <w:lang w:eastAsia="ja-JP"/>
        </w:rPr>
      </w:pPr>
      <w:r>
        <w:rPr>
          <w:bCs/>
          <w:lang w:eastAsia="ja-JP"/>
        </w:rPr>
        <w:t>It may take time for new health technology and innovations in care to be adopted more broadly, and for their impact on costs to become routinely captured in national costing data. Similar issues apply to the updating of Activity Based Funding (ABF) classifications such as the Australian Refined Diagnosis Related Groups (AR-DRGs).</w:t>
      </w:r>
    </w:p>
    <w:p w:rsidR="002A1AA3" w:rsidRDefault="002A1AA3" w:rsidP="002A1AA3">
      <w:pPr>
        <w:rPr>
          <w:bCs/>
          <w:lang w:eastAsia="ja-JP"/>
        </w:rPr>
      </w:pPr>
      <w:r>
        <w:rPr>
          <w:bCs/>
          <w:lang w:eastAsia="ja-JP"/>
        </w:rPr>
        <w:t>The NEP partially accounts for the continuous adoption of new health technology and processes. The cost of technology improvements is inherent in the indexation methodology used to project the three year old empirical data to the NEP year. In effect, the indexation rate includes a component reflecting the average increase in cost over the previous five years that was associated with the introduction of new health technology and improvement in quality. This is an average increase to all prices rather than attributing it to the specific hospital services that benefit from the new health technology.</w:t>
      </w:r>
    </w:p>
    <w:p w:rsidR="002A1AA3" w:rsidRDefault="002A1AA3" w:rsidP="002A1AA3">
      <w:pPr>
        <w:rPr>
          <w:bCs/>
          <w:lang w:eastAsia="ja-JP"/>
        </w:rPr>
      </w:pPr>
      <w:r>
        <w:rPr>
          <w:bCs/>
          <w:lang w:eastAsia="ja-JP"/>
        </w:rPr>
        <w:t>IHPA recognises that there are parallel national and state or territory-based processes for the evaluation of new health technology, including ‘rapid review’ type processes where clinical feedback on new health technology and changing models of care feed into updates to ABF models. IHPA also notes that state and territory governments may wish to fund new health technology outside existing ABF arrangements as part of piloting and evaluating the more widespread introduction of new health technology into their public hospitals.</w:t>
      </w:r>
    </w:p>
    <w:p w:rsidR="002A1AA3" w:rsidRDefault="002A1AA3" w:rsidP="002A1AA3">
      <w:pPr>
        <w:rPr>
          <w:bCs/>
          <w:lang w:eastAsia="ja-JP"/>
        </w:rPr>
      </w:pPr>
      <w:r>
        <w:rPr>
          <w:bCs/>
          <w:lang w:eastAsia="ja-JP"/>
        </w:rPr>
        <w:t xml:space="preserve">IHPA expects that these existing technology evaluation and supplementary funding mechanisms will continue. IHPA’s core function is the pricing of public hospital services and it was not established to take on a major technology evaluation role. </w:t>
      </w:r>
    </w:p>
    <w:p w:rsidR="002A1AA3" w:rsidRDefault="002A1AA3" w:rsidP="002A1AA3">
      <w:pPr>
        <w:rPr>
          <w:bCs/>
          <w:lang w:eastAsia="ja-JP"/>
        </w:rPr>
      </w:pPr>
      <w:r>
        <w:rPr>
          <w:bCs/>
          <w:lang w:eastAsia="ja-JP"/>
        </w:rPr>
        <w:t>IHPA’s Clinical Advisory Committee (CAC) has an important ‘watching brief’ on new health technology. The CAC was established under Section 177 of the</w:t>
      </w:r>
      <w:r w:rsidRPr="002A1AA3">
        <w:rPr>
          <w:bCs/>
          <w:i/>
          <w:lang w:eastAsia="ja-JP"/>
        </w:rPr>
        <w:t xml:space="preserve"> National Health Reform Act 2011</w:t>
      </w:r>
      <w:r>
        <w:rPr>
          <w:bCs/>
          <w:lang w:eastAsia="ja-JP"/>
        </w:rPr>
        <w:t xml:space="preserve"> to “advise the Pricing Authority in relation to developing and specifying classification systems for health care and other services provided by public hospitals”. Hence, IHPA has access to clinical expertise and can consider the extent to which classifications are reflective of new health technology and changing models of care.</w:t>
      </w:r>
    </w:p>
    <w:p w:rsidR="0006691C" w:rsidRPr="0069446A" w:rsidRDefault="0006691C" w:rsidP="0069446A">
      <w:pPr>
        <w:pStyle w:val="Heading2"/>
      </w:pPr>
      <w:bookmarkStart w:id="17" w:name="_Toc508369808"/>
      <w:bookmarkStart w:id="18" w:name="_Toc508371473"/>
      <w:bookmarkStart w:id="19" w:name="_Toc508371529"/>
      <w:bookmarkStart w:id="20" w:name="_Toc508378915"/>
      <w:r w:rsidRPr="0069446A">
        <w:t>Objective</w:t>
      </w:r>
      <w:bookmarkEnd w:id="17"/>
      <w:bookmarkEnd w:id="18"/>
      <w:bookmarkEnd w:id="19"/>
      <w:bookmarkEnd w:id="20"/>
    </w:p>
    <w:p w:rsidR="0006691C" w:rsidRDefault="0006691C" w:rsidP="00D34DDD">
      <w:pPr>
        <w:pStyle w:val="NormalArial"/>
        <w:spacing w:before="120" w:after="80"/>
        <w:ind w:left="0"/>
        <w:rPr>
          <w:rFonts w:asciiTheme="minorHAnsi" w:hAnsiTheme="minorHAnsi" w:cstheme="minorHAnsi"/>
        </w:rPr>
      </w:pPr>
      <w:r>
        <w:rPr>
          <w:rFonts w:asciiTheme="minorHAnsi" w:hAnsiTheme="minorHAnsi" w:cstheme="minorHAnsi"/>
        </w:rPr>
        <w:t xml:space="preserve">The objective of the IHPA </w:t>
      </w:r>
      <w:r>
        <w:rPr>
          <w:rFonts w:asciiTheme="minorHAnsi" w:hAnsiTheme="minorHAnsi" w:cstheme="minorHAnsi"/>
          <w:i/>
        </w:rPr>
        <w:t>Impact of New Health Technology Framework</w:t>
      </w:r>
      <w:r>
        <w:rPr>
          <w:rFonts w:asciiTheme="minorHAnsi" w:hAnsiTheme="minorHAnsi" w:cstheme="minorHAnsi"/>
        </w:rPr>
        <w:t xml:space="preserve"> (the Framework) is to outline the process by which IHPA, through the CAC, will monitor and review the impact of new health technologies on the existing classifications in order to accurately account for them in the pricing of public hospital services.</w:t>
      </w:r>
    </w:p>
    <w:p w:rsidR="00161EBF" w:rsidRDefault="00161EBF">
      <w:pPr>
        <w:spacing w:before="0" w:after="0" w:line="240" w:lineRule="auto"/>
        <w:rPr>
          <w:rFonts w:asciiTheme="minorHAnsi" w:hAnsiTheme="minorHAnsi" w:cstheme="minorHAnsi"/>
          <w:szCs w:val="22"/>
          <w:lang w:eastAsia="zh-CN"/>
        </w:rPr>
      </w:pPr>
      <w:r>
        <w:rPr>
          <w:rFonts w:asciiTheme="minorHAnsi" w:hAnsiTheme="minorHAnsi" w:cstheme="minorHAnsi"/>
        </w:rPr>
        <w:br w:type="page"/>
      </w:r>
    </w:p>
    <w:p w:rsidR="0006691C" w:rsidRDefault="0006691C" w:rsidP="0006691C">
      <w:pPr>
        <w:pStyle w:val="NormalArial"/>
        <w:spacing w:before="80" w:after="60"/>
        <w:ind w:left="0"/>
        <w:jc w:val="both"/>
        <w:rPr>
          <w:rFonts w:asciiTheme="minorHAnsi" w:hAnsiTheme="minorHAnsi" w:cstheme="minorHAnsi"/>
        </w:rPr>
      </w:pPr>
      <w:r>
        <w:rPr>
          <w:rFonts w:asciiTheme="minorHAnsi" w:hAnsiTheme="minorHAnsi" w:cstheme="minorHAnsi"/>
        </w:rPr>
        <w:t>In consultation with the CAC, IHPA will:</w:t>
      </w:r>
    </w:p>
    <w:p w:rsidR="0006691C" w:rsidRDefault="0006691C" w:rsidP="00620C52">
      <w:pPr>
        <w:pStyle w:val="ListBullet"/>
        <w:rPr>
          <w:lang w:eastAsia="ja-JP"/>
        </w:rPr>
      </w:pPr>
      <w:r>
        <w:rPr>
          <w:lang w:eastAsia="ja-JP"/>
        </w:rPr>
        <w:t>review monitoring reports on the emergence of new health technologies and submissions received from other stakeholders;</w:t>
      </w:r>
    </w:p>
    <w:p w:rsidR="0006691C" w:rsidRDefault="0006691C" w:rsidP="00620C52">
      <w:pPr>
        <w:pStyle w:val="ListBullet"/>
        <w:rPr>
          <w:lang w:eastAsia="ja-JP"/>
        </w:rPr>
      </w:pPr>
      <w:r>
        <w:rPr>
          <w:lang w:eastAsia="ja-JP"/>
        </w:rPr>
        <w:t>review the impact of new health technologies on the classification systems currently used by IHPA to determine the NEP; and</w:t>
      </w:r>
    </w:p>
    <w:p w:rsidR="0006691C" w:rsidRDefault="0006691C" w:rsidP="00620C52">
      <w:pPr>
        <w:pStyle w:val="ListBullet"/>
        <w:rPr>
          <w:lang w:eastAsia="ja-JP"/>
        </w:rPr>
      </w:pPr>
      <w:proofErr w:type="gramStart"/>
      <w:r>
        <w:rPr>
          <w:lang w:eastAsia="ja-JP"/>
        </w:rPr>
        <w:t>determine</w:t>
      </w:r>
      <w:proofErr w:type="gramEnd"/>
      <w:r>
        <w:rPr>
          <w:lang w:eastAsia="ja-JP"/>
        </w:rPr>
        <w:t xml:space="preserve"> whether and how the classification systems should be adjusted in response.</w:t>
      </w:r>
    </w:p>
    <w:p w:rsidR="0006691C" w:rsidRDefault="0006691C" w:rsidP="0006691C">
      <w:pPr>
        <w:pStyle w:val="Heading2"/>
        <w:rPr>
          <w:caps/>
        </w:rPr>
      </w:pPr>
      <w:bookmarkStart w:id="21" w:name="_Toc449620360"/>
      <w:bookmarkStart w:id="22" w:name="_Toc508369809"/>
      <w:bookmarkStart w:id="23" w:name="_Toc508371474"/>
      <w:bookmarkStart w:id="24" w:name="_Toc508371530"/>
      <w:bookmarkStart w:id="25" w:name="_Toc508378916"/>
      <w:r>
        <w:t>Scope</w:t>
      </w:r>
      <w:bookmarkEnd w:id="21"/>
      <w:bookmarkEnd w:id="22"/>
      <w:bookmarkEnd w:id="23"/>
      <w:bookmarkEnd w:id="24"/>
      <w:bookmarkEnd w:id="25"/>
    </w:p>
    <w:p w:rsidR="0006691C" w:rsidRDefault="0006691C" w:rsidP="00D34DDD">
      <w:r>
        <w:t>The scope of this Framework includes the monitoring and identification of new health technologies used to deliver health services in Australian public hospitals, for the purpose of assessing the need to undertake further classification development work.</w:t>
      </w:r>
    </w:p>
    <w:p w:rsidR="0006691C" w:rsidRDefault="0006691C" w:rsidP="0006691C">
      <w:pPr>
        <w:pStyle w:val="Heading2"/>
        <w:rPr>
          <w:caps/>
        </w:rPr>
      </w:pPr>
      <w:bookmarkStart w:id="26" w:name="_Toc449620361"/>
      <w:bookmarkStart w:id="27" w:name="_Toc508369810"/>
      <w:bookmarkStart w:id="28" w:name="_Toc508371475"/>
      <w:bookmarkStart w:id="29" w:name="_Toc508371531"/>
      <w:bookmarkStart w:id="30" w:name="_Toc508378917"/>
      <w:r>
        <w:t>Timeframe for review and prioritisation</w:t>
      </w:r>
      <w:bookmarkEnd w:id="26"/>
      <w:bookmarkEnd w:id="27"/>
      <w:bookmarkEnd w:id="28"/>
      <w:bookmarkEnd w:id="29"/>
      <w:bookmarkEnd w:id="30"/>
    </w:p>
    <w:p w:rsidR="0006691C" w:rsidRDefault="0006691C" w:rsidP="00D34DDD">
      <w:r>
        <w:t>IHPA, in consultation with the CAC, will monitor and review new health technologies on an annual basis, based on reports received from government advisory bodies and submissions received from other stakeholders. The Pricing Authority will determine whether a new health technology should be referred to the appropriate body as a priority for classification development by 31 May each year.</w:t>
      </w:r>
    </w:p>
    <w:p w:rsidR="0006691C" w:rsidRPr="00CA21CF" w:rsidRDefault="0006691C" w:rsidP="00733EFD">
      <w:pPr>
        <w:pStyle w:val="Heading3"/>
        <w:numPr>
          <w:ilvl w:val="0"/>
          <w:numId w:val="0"/>
        </w:numPr>
        <w:ind w:left="720" w:hanging="720"/>
        <w:rPr>
          <w:rStyle w:val="Strong"/>
          <w:b/>
          <w:bCs w:val="0"/>
        </w:rPr>
      </w:pPr>
      <w:r w:rsidRPr="00CA21CF">
        <w:rPr>
          <w:rStyle w:val="Strong"/>
          <w:b/>
          <w:bCs w:val="0"/>
        </w:rPr>
        <w:t>Subsequent steps</w:t>
      </w:r>
    </w:p>
    <w:p w:rsidR="0006691C" w:rsidRDefault="0006691C" w:rsidP="00D34DDD">
      <w:r>
        <w:t xml:space="preserve">Organisations that provide submissions to IHPA under the Framework should be mindful that accounting for new health technologies within the classification system is a lengthy process. </w:t>
      </w:r>
    </w:p>
    <w:p w:rsidR="0006691C" w:rsidRDefault="0006691C" w:rsidP="00D34DDD">
      <w:r>
        <w:t>There are a series of distinct steps in recognising new health technologies in the classification system.</w:t>
      </w:r>
    </w:p>
    <w:p w:rsidR="0006691C" w:rsidRDefault="0006691C" w:rsidP="00D34DDD">
      <w:r>
        <w:t>The initial step is to introduce diagnosis or procedure codes in the International Statistical Classification of Diseases and Related Health Problems, Tenth Revision, Australian Modification (ICD-10-AM) classification system, which will allow the identification of new technologies in the activity and cost data provided to IHPA.</w:t>
      </w:r>
    </w:p>
    <w:p w:rsidR="0006691C" w:rsidRDefault="0006691C" w:rsidP="00D34DDD">
      <w:r>
        <w:t>Once the ICD-10-AM information is collected in the activity data sets and patient costing systems, IHPA may be able to assess if an adjustment to the pricing process is warranted.</w:t>
      </w:r>
    </w:p>
    <w:p w:rsidR="0006691C" w:rsidRDefault="0006691C" w:rsidP="00D34DDD">
      <w:r>
        <w:t>The activity and cost data is then used in the AR-DRG refinement process to determine if the new technology is sufficiently different from existing approaches to warrant a new DRG.</w:t>
      </w:r>
    </w:p>
    <w:p w:rsidR="0006691C" w:rsidRDefault="0006691C" w:rsidP="00D34DDD">
      <w:r>
        <w:t>IHPA’s high level classification development cycle is set out below (Figure 1) in reference to the hypothetical introduction of a new procedure code for admitted patients.</w:t>
      </w:r>
    </w:p>
    <w:p w:rsidR="00220F01" w:rsidRDefault="00220F01" w:rsidP="000624D8">
      <w:pPr>
        <w:pStyle w:val="TableHeading"/>
      </w:pPr>
      <w:r w:rsidRPr="00CB0D62">
        <w:t>Figure 1: Classification development cycle for AR-DRG</w:t>
      </w:r>
    </w:p>
    <w:p w:rsidR="00CB0D62" w:rsidRDefault="00CB0D62" w:rsidP="00220F01">
      <w:pPr>
        <w:spacing w:after="0"/>
        <w:rPr>
          <w:noProof/>
        </w:rPr>
      </w:pPr>
      <w:r>
        <w:rPr>
          <w:noProof/>
        </w:rPr>
        <w:drawing>
          <wp:inline distT="0" distB="0" distL="0" distR="0" wp14:anchorId="4FFE89B0" wp14:editId="72F4FDCD">
            <wp:extent cx="5997575" cy="2557145"/>
            <wp:effectExtent l="0" t="0" r="3175" b="0"/>
            <wp:docPr id="206" name="Picture 206" descr="Figure 1 sets out the high level classification development cycle, through a process map, with regard to the hypothetical introduction of a new procedure for admitted acute patients.&#10;&#10;1. In 2015, the Pricing Authority refers a prioritised new health technology to the Australian Consortium for Classification Development (ACCD). The ACCD then assigns the technology a procedure code. &#10;&#10;2. In November 2016, the ICD-10-AM and ACHI 10th edition and AR-DRG Version 9 are approved by the Pricing Authority and the new health technology procedure code is introduced into the classification.&#10;&#10;3. In July 2017, ICD-10-AM and ACHI 10th edition is implemented in national data collections and data on the procedure code is collected.&#10;&#10;4. In July 2018, AR-DRG Version 9 is implemented for pricing for NEP18. The new technology procedure codes from 10th edition are introduced into DRGs based on clinical advice, as opposed to cost data. At this point, ICD and/or ACHI adjustments are possible.&#10;&#10;5. In November 2018, new AR-DRGs are developed using activity data (2015-16 to 2016-17) and cost data (2014-15 to 2015-16). Please note that the cost data does not include the new code.&#10;&#10;6. In July 2020, AR-DRG Version 10 is implemented for pricing in NEP20.&#10;&#10;7. In November 2020, new AR-DRGs are developed using activity data (2017-18 to 2018-19) and cost data (2016-17 to 2017-18). Please note that 2017-18 is the first year of cost data including the new code.&#10;&#10;8. In July 2022, AR-DRG Version 11 is implemented for pricing for NEP22. This is the first version of the AR-DRG classification system developed based on cost data captured for the new procedure code.&#10;&#10;All in all, the process takes approximately seven years." title="Figure 1: Classification development cycle for AR-D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1.jpg"/>
                    <pic:cNvPicPr/>
                  </pic:nvPicPr>
                  <pic:blipFill>
                    <a:blip r:embed="rId14">
                      <a:extLst>
                        <a:ext uri="{28A0092B-C50C-407E-A947-70E740481C1C}">
                          <a14:useLocalDpi xmlns:a14="http://schemas.microsoft.com/office/drawing/2010/main" val="0"/>
                        </a:ext>
                      </a:extLst>
                    </a:blip>
                    <a:stretch>
                      <a:fillRect/>
                    </a:stretch>
                  </pic:blipFill>
                  <pic:spPr>
                    <a:xfrm>
                      <a:off x="0" y="0"/>
                      <a:ext cx="5997575" cy="2557145"/>
                    </a:xfrm>
                    <a:prstGeom prst="rect">
                      <a:avLst/>
                    </a:prstGeom>
                  </pic:spPr>
                </pic:pic>
              </a:graphicData>
            </a:graphic>
          </wp:inline>
        </w:drawing>
      </w:r>
    </w:p>
    <w:p w:rsidR="00220F01" w:rsidRPr="00CB0D62" w:rsidRDefault="00220F01" w:rsidP="00CB0D62">
      <w:pPr>
        <w:pStyle w:val="Heading2"/>
      </w:pPr>
      <w:bookmarkStart w:id="31" w:name="_Toc417561507"/>
      <w:bookmarkStart w:id="32" w:name="_Toc449620362"/>
      <w:bookmarkStart w:id="33" w:name="_Toc508369811"/>
      <w:bookmarkStart w:id="34" w:name="_Toc508371476"/>
      <w:bookmarkStart w:id="35" w:name="_Toc508371532"/>
      <w:bookmarkStart w:id="36" w:name="_Toc508378918"/>
      <w:bookmarkEnd w:id="31"/>
      <w:r w:rsidRPr="00CB0D62">
        <w:t>Review</w:t>
      </w:r>
      <w:bookmarkEnd w:id="32"/>
      <w:bookmarkEnd w:id="33"/>
      <w:bookmarkEnd w:id="34"/>
      <w:bookmarkEnd w:id="35"/>
      <w:bookmarkEnd w:id="36"/>
    </w:p>
    <w:p w:rsidR="00620C52" w:rsidRDefault="00220F01" w:rsidP="00D34DDD">
      <w:pPr>
        <w:rPr>
          <w:lang w:eastAsia="zh-CN"/>
        </w:rPr>
      </w:pPr>
      <w:r w:rsidRPr="00220F01">
        <w:rPr>
          <w:lang w:eastAsia="zh-CN"/>
        </w:rPr>
        <w:t xml:space="preserve">The CAC Chair, Pricing Authority </w:t>
      </w:r>
      <w:r w:rsidR="002D56D7">
        <w:rPr>
          <w:lang w:eastAsia="zh-CN"/>
        </w:rPr>
        <w:t xml:space="preserve">(IHPA Board) </w:t>
      </w:r>
      <w:r w:rsidRPr="00220F01">
        <w:rPr>
          <w:lang w:eastAsia="zh-CN"/>
        </w:rPr>
        <w:t>and Chief Executive Officer of IHPA will review this Framework, including associated documenta</w:t>
      </w:r>
      <w:r w:rsidR="00620C52">
        <w:rPr>
          <w:lang w:eastAsia="zh-CN"/>
        </w:rPr>
        <w:t xml:space="preserve">tion, annually or as required. </w:t>
      </w:r>
    </w:p>
    <w:p w:rsidR="002A1AA3" w:rsidRPr="007A2F1D" w:rsidRDefault="00220F01" w:rsidP="00D34DDD">
      <w:pPr>
        <w:rPr>
          <w:rFonts w:asciiTheme="minorHAnsi" w:hAnsiTheme="minorHAnsi" w:cstheme="minorHAnsi"/>
          <w:lang w:eastAsia="zh-CN"/>
        </w:rPr>
      </w:pPr>
      <w:r w:rsidRPr="00220F01">
        <w:rPr>
          <w:lang w:eastAsia="zh-CN"/>
        </w:rPr>
        <w:t>The Framework</w:t>
      </w:r>
      <w:r>
        <w:rPr>
          <w:lang w:eastAsia="zh-CN"/>
        </w:rPr>
        <w:t xml:space="preserve"> was last reviewed in </w:t>
      </w:r>
      <w:r w:rsidR="0097199E">
        <w:rPr>
          <w:lang w:eastAsia="zh-CN"/>
        </w:rPr>
        <w:t>April</w:t>
      </w:r>
      <w:r>
        <w:rPr>
          <w:lang w:eastAsia="zh-CN"/>
        </w:rPr>
        <w:t xml:space="preserve"> </w:t>
      </w:r>
      <w:r w:rsidR="00672C78">
        <w:rPr>
          <w:lang w:eastAsia="zh-CN"/>
        </w:rPr>
        <w:t xml:space="preserve">2018. </w:t>
      </w:r>
      <w:r w:rsidR="0006691C">
        <w:rPr>
          <w:rFonts w:asciiTheme="minorHAnsi" w:hAnsiTheme="minorHAnsi" w:cstheme="minorHAnsi"/>
        </w:rPr>
        <w:br w:type="page"/>
      </w:r>
    </w:p>
    <w:p w:rsidR="00302CFC" w:rsidRPr="00582C3B" w:rsidRDefault="007A2F1D" w:rsidP="000624D8">
      <w:pPr>
        <w:pStyle w:val="Heading1"/>
        <w:rPr>
          <w:lang w:eastAsia="en-US"/>
        </w:rPr>
      </w:pPr>
      <w:bookmarkStart w:id="37" w:name="_Toc508371477"/>
      <w:bookmarkStart w:id="38" w:name="_Toc508371533"/>
      <w:bookmarkStart w:id="39" w:name="_Toc508378919"/>
      <w:r w:rsidRPr="00582C3B">
        <w:rPr>
          <w:lang w:eastAsia="en-US"/>
        </w:rPr>
        <w:t>Overview</w:t>
      </w:r>
      <w:bookmarkStart w:id="40" w:name="_Toc449620364"/>
      <w:bookmarkEnd w:id="37"/>
      <w:bookmarkEnd w:id="38"/>
      <w:bookmarkEnd w:id="39"/>
    </w:p>
    <w:p w:rsidR="007A2F1D" w:rsidRPr="000624D8" w:rsidRDefault="007A2F1D" w:rsidP="000624D8">
      <w:pPr>
        <w:pStyle w:val="Heading2"/>
      </w:pPr>
      <w:bookmarkStart w:id="41" w:name="_Toc508371478"/>
      <w:bookmarkStart w:id="42" w:name="_Toc508371534"/>
      <w:bookmarkStart w:id="43" w:name="_Toc508378920"/>
      <w:r w:rsidRPr="00582C3B">
        <w:t>Scope and types of new health technologies considered by IHPA</w:t>
      </w:r>
      <w:bookmarkEnd w:id="40"/>
      <w:bookmarkEnd w:id="41"/>
      <w:bookmarkEnd w:id="42"/>
      <w:bookmarkEnd w:id="43"/>
    </w:p>
    <w:p w:rsidR="007A2F1D" w:rsidRDefault="007A2F1D" w:rsidP="007A2F1D">
      <w:pPr>
        <w:pStyle w:val="NormalArial"/>
        <w:spacing w:before="120" w:after="120"/>
        <w:ind w:left="0"/>
        <w:jc w:val="both"/>
        <w:rPr>
          <w:rFonts w:asciiTheme="minorHAnsi" w:hAnsiTheme="minorHAnsi" w:cstheme="minorHAnsi"/>
        </w:rPr>
      </w:pPr>
      <w:r>
        <w:rPr>
          <w:rFonts w:asciiTheme="minorHAnsi" w:hAnsiTheme="minorHAnsi" w:cstheme="minorHAnsi"/>
        </w:rPr>
        <w:t>Health technologies include new medicines; diagnostics, devices, equipment and supplies; medical and surgical procedures; support systems; and organisational and managerial systems used in prevention, screening, diagnosis, treatment and rehabilitation.</w:t>
      </w:r>
    </w:p>
    <w:p w:rsidR="007A2F1D" w:rsidRDefault="007A2F1D" w:rsidP="007A2F1D">
      <w:pPr>
        <w:pStyle w:val="NormalArial"/>
        <w:spacing w:before="120" w:after="120"/>
        <w:ind w:left="0"/>
        <w:jc w:val="both"/>
        <w:rPr>
          <w:rFonts w:asciiTheme="minorHAnsi" w:hAnsiTheme="minorHAnsi" w:cstheme="minorHAnsi"/>
        </w:rPr>
      </w:pPr>
      <w:r>
        <w:rPr>
          <w:rFonts w:asciiTheme="minorHAnsi" w:hAnsiTheme="minorHAnsi" w:cstheme="minorHAnsi"/>
        </w:rPr>
        <w:t>As a result of the rapid spread of these technologies and associated service delivery models, changes may take place in the period between the collection of the costing data (e.g. 2012</w:t>
      </w:r>
      <w:r>
        <w:rPr>
          <w:rFonts w:asciiTheme="minorHAnsi" w:hAnsiTheme="minorHAnsi" w:cstheme="minorHAnsi"/>
        </w:rPr>
        <w:noBreakHyphen/>
        <w:t>13) and the period for which IHPA is pricing (e.g. 2015-16). These changes need to be identified and assessed by IHPA and accounted for in the national pricing model if necessary.</w:t>
      </w:r>
    </w:p>
    <w:p w:rsidR="007A2F1D" w:rsidRDefault="007A2F1D" w:rsidP="007A2F1D">
      <w:pPr>
        <w:pStyle w:val="NormalArial"/>
        <w:ind w:left="0"/>
        <w:rPr>
          <w:rFonts w:asciiTheme="minorHAnsi" w:hAnsiTheme="minorHAnsi" w:cstheme="minorHAnsi"/>
        </w:rPr>
      </w:pPr>
      <w:r>
        <w:rPr>
          <w:rFonts w:asciiTheme="minorHAnsi" w:hAnsiTheme="minorHAnsi" w:cstheme="minorHAnsi"/>
        </w:rPr>
        <w:t xml:space="preserve">IHPA has identified three (3) types of new health technologies which are expected to impact to various degrees on public hospital services. Some of these impacts may already be captured in the NEP/NEC by the indexation methodology. </w:t>
      </w:r>
    </w:p>
    <w:p w:rsidR="007A2F1D" w:rsidRDefault="007A2F1D" w:rsidP="007A2F1D">
      <w:pPr>
        <w:pStyle w:val="NormalArial"/>
        <w:spacing w:before="120" w:after="120"/>
        <w:ind w:left="0"/>
        <w:jc w:val="both"/>
        <w:rPr>
          <w:rFonts w:asciiTheme="minorHAnsi" w:hAnsiTheme="minorHAnsi" w:cstheme="minorHAnsi"/>
        </w:rPr>
      </w:pPr>
      <w:r>
        <w:rPr>
          <w:rFonts w:asciiTheme="minorHAnsi" w:hAnsiTheme="minorHAnsi" w:cstheme="minorHAnsi"/>
        </w:rPr>
        <w:t>Figure 2 depicts the three types of health technologies and their likely impacts on public hospital services.</w:t>
      </w:r>
    </w:p>
    <w:p w:rsidR="007A2F1D" w:rsidRPr="00B46273" w:rsidRDefault="007A2F1D" w:rsidP="000624D8">
      <w:pPr>
        <w:pStyle w:val="TableHeading"/>
      </w:pPr>
      <w:r w:rsidRPr="00B46273">
        <w:rPr>
          <w:rStyle w:val="Strong"/>
          <w:b/>
          <w:bCs w:val="0"/>
        </w:rPr>
        <w:t>Figure 2: Types of new health technologies and their expected impacts</w:t>
      </w:r>
    </w:p>
    <w:p w:rsidR="00B135AC" w:rsidRDefault="00227DBA" w:rsidP="00B135AC">
      <w:bookmarkStart w:id="44" w:name="_Toc449620365"/>
      <w:bookmarkStart w:id="45" w:name="_Toc449597582"/>
      <w:bookmarkStart w:id="46" w:name="_Toc417561511"/>
      <w:bookmarkStart w:id="47" w:name="_Toc417556577"/>
      <w:bookmarkStart w:id="48" w:name="_Toc417400959"/>
      <w:bookmarkStart w:id="49" w:name="_Toc417384697"/>
      <w:bookmarkStart w:id="50" w:name="_Toc417384649"/>
      <w:bookmarkStart w:id="51" w:name="_Toc404159072"/>
      <w:r>
        <w:rPr>
          <w:noProof/>
        </w:rPr>
        <w:drawing>
          <wp:inline distT="0" distB="0" distL="0" distR="0" wp14:anchorId="3BB98BA6" wp14:editId="582F219D">
            <wp:extent cx="6242685" cy="3042285"/>
            <wp:effectExtent l="0" t="0" r="0" b="5715"/>
            <wp:docPr id="227" name="Picture 227" descr="Figure 1: Types of new health technologies and their expected impacts&#10;Type 1 – Efficiency: &#10;• Reduced length of stay&#10;• Reduced workforce load&#10;Type 2 – Patient Care:&#10;• Reduced patient’s pain&#10;• Improved patient’s quality of life&#10;Type 3 – New capability:&#10;• New patient target as treatment was not previously available&#10;• Required adjustment to DRG&#10;" title="Figure 2: Types of new health technologies and their expected imp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42685" cy="3042285"/>
                    </a:xfrm>
                    <a:prstGeom prst="rect">
                      <a:avLst/>
                    </a:prstGeom>
                    <a:noFill/>
                  </pic:spPr>
                </pic:pic>
              </a:graphicData>
            </a:graphic>
          </wp:inline>
        </w:drawing>
      </w:r>
    </w:p>
    <w:p w:rsidR="00302CFC" w:rsidRPr="005608C4" w:rsidRDefault="00302CFC" w:rsidP="00733EFD">
      <w:pPr>
        <w:pStyle w:val="Heading3"/>
        <w:numPr>
          <w:ilvl w:val="0"/>
          <w:numId w:val="0"/>
        </w:numPr>
        <w:ind w:left="720" w:hanging="720"/>
      </w:pPr>
      <w:r w:rsidRPr="005608C4">
        <w:t>Type 1 – impacting on the efficiency of hospital service delivery</w:t>
      </w:r>
      <w:bookmarkEnd w:id="44"/>
      <w:bookmarkEnd w:id="45"/>
      <w:bookmarkEnd w:id="46"/>
      <w:bookmarkEnd w:id="47"/>
      <w:bookmarkEnd w:id="48"/>
      <w:bookmarkEnd w:id="49"/>
      <w:bookmarkEnd w:id="50"/>
      <w:bookmarkEnd w:id="51"/>
    </w:p>
    <w:p w:rsidR="00302CFC" w:rsidRDefault="00302CFC" w:rsidP="00302CFC">
      <w:pPr>
        <w:pStyle w:val="NormalArial"/>
        <w:spacing w:before="120" w:after="120"/>
        <w:ind w:left="0"/>
        <w:jc w:val="both"/>
        <w:rPr>
          <w:rFonts w:asciiTheme="minorHAnsi" w:hAnsiTheme="minorHAnsi" w:cstheme="minorHAnsi"/>
        </w:rPr>
      </w:pPr>
      <w:r>
        <w:rPr>
          <w:rFonts w:asciiTheme="minorHAnsi" w:hAnsiTheme="minorHAnsi" w:cstheme="minorHAnsi"/>
        </w:rPr>
        <w:t>This type of new health technology is incremental and continual, and impacts on the efficiency of hospital service delivery. Expected impacts may include but are not limited to:</w:t>
      </w:r>
    </w:p>
    <w:p w:rsidR="00302CFC" w:rsidRDefault="00302CFC" w:rsidP="00620C52">
      <w:pPr>
        <w:pStyle w:val="ListBullet"/>
        <w:numPr>
          <w:ilvl w:val="0"/>
          <w:numId w:val="31"/>
        </w:numPr>
      </w:pPr>
      <w:r>
        <w:t>reduced patient length of stay;</w:t>
      </w:r>
    </w:p>
    <w:p w:rsidR="00302CFC" w:rsidRDefault="00302CFC" w:rsidP="00620C52">
      <w:pPr>
        <w:pStyle w:val="ListBullet"/>
        <w:numPr>
          <w:ilvl w:val="0"/>
          <w:numId w:val="31"/>
        </w:numPr>
      </w:pPr>
      <w:r>
        <w:t>reduced workforce load;</w:t>
      </w:r>
    </w:p>
    <w:p w:rsidR="00620C52" w:rsidRDefault="00302CFC" w:rsidP="00EF1D4B">
      <w:pPr>
        <w:pStyle w:val="ListBullet"/>
        <w:numPr>
          <w:ilvl w:val="0"/>
          <w:numId w:val="31"/>
        </w:numPr>
      </w:pPr>
      <w:r>
        <w:t>reduced re-admissions.</w:t>
      </w:r>
    </w:p>
    <w:p w:rsidR="007A2F1D" w:rsidRPr="00620C52" w:rsidRDefault="00834CCF" w:rsidP="00620C52">
      <w:pPr>
        <w:pStyle w:val="ListBullet"/>
      </w:pPr>
      <w:r w:rsidRPr="00620C52">
        <w:rPr>
          <w:lang w:eastAsia="zh-CN"/>
        </w:rPr>
        <w:t>The expected impact of an improvement in efficiency is a reduction in the cost of delivering care for those hospitals using the new health technology. These improvements are being made incrementally and constantly, and the net benefit from the introduction of these improvements is reflected in the indexation rates used to determine the NEP/NEC.</w:t>
      </w:r>
    </w:p>
    <w:p w:rsidR="00834CCF" w:rsidRDefault="00834CCF" w:rsidP="00733EFD">
      <w:pPr>
        <w:pStyle w:val="Heading3"/>
        <w:numPr>
          <w:ilvl w:val="0"/>
          <w:numId w:val="0"/>
        </w:numPr>
        <w:ind w:left="720" w:hanging="720"/>
      </w:pPr>
      <w:r w:rsidRPr="00834CCF">
        <w:t>Type 2 – impacting on the quality of patient care</w:t>
      </w:r>
    </w:p>
    <w:p w:rsidR="00834CCF" w:rsidRPr="0066663B" w:rsidRDefault="00834CCF" w:rsidP="00834CCF">
      <w:pPr>
        <w:pStyle w:val="NormalArial"/>
        <w:spacing w:before="120" w:after="120"/>
        <w:ind w:left="0"/>
        <w:jc w:val="both"/>
        <w:rPr>
          <w:rFonts w:asciiTheme="minorHAnsi" w:hAnsiTheme="minorHAnsi" w:cstheme="minorHAnsi"/>
        </w:rPr>
      </w:pPr>
      <w:r w:rsidRPr="0066663B">
        <w:rPr>
          <w:rFonts w:asciiTheme="minorHAnsi" w:hAnsiTheme="minorHAnsi" w:cstheme="minorHAnsi"/>
        </w:rPr>
        <w:t xml:space="preserve">This type of new health technology is incremental and continual, and impacts on the quality of outputs or outcomes. Expected impacts </w:t>
      </w:r>
      <w:r>
        <w:rPr>
          <w:rFonts w:asciiTheme="minorHAnsi" w:hAnsiTheme="minorHAnsi" w:cstheme="minorHAnsi"/>
        </w:rPr>
        <w:t xml:space="preserve">may </w:t>
      </w:r>
      <w:r w:rsidRPr="0066663B">
        <w:rPr>
          <w:rFonts w:asciiTheme="minorHAnsi" w:hAnsiTheme="minorHAnsi" w:cstheme="minorHAnsi"/>
        </w:rPr>
        <w:t>include but are not limited to:</w:t>
      </w:r>
    </w:p>
    <w:p w:rsidR="00834CCF" w:rsidRPr="00715750" w:rsidRDefault="00834CCF" w:rsidP="00620C52">
      <w:pPr>
        <w:pStyle w:val="ListBullet"/>
        <w:numPr>
          <w:ilvl w:val="0"/>
          <w:numId w:val="32"/>
        </w:numPr>
      </w:pPr>
      <w:r w:rsidRPr="00715750">
        <w:t>reduced patient's pain</w:t>
      </w:r>
      <w:r>
        <w:t>;</w:t>
      </w:r>
    </w:p>
    <w:p w:rsidR="00834CCF" w:rsidRPr="00715750" w:rsidRDefault="00834CCF" w:rsidP="00620C52">
      <w:pPr>
        <w:pStyle w:val="ListBullet"/>
        <w:numPr>
          <w:ilvl w:val="0"/>
          <w:numId w:val="32"/>
        </w:numPr>
      </w:pPr>
      <w:r w:rsidRPr="00715750">
        <w:t>improvement in patient's quality of life</w:t>
      </w:r>
      <w:r>
        <w:t>; and</w:t>
      </w:r>
    </w:p>
    <w:p w:rsidR="00834CCF" w:rsidRPr="00715750" w:rsidRDefault="00834CCF" w:rsidP="00620C52">
      <w:pPr>
        <w:pStyle w:val="ListBullet"/>
        <w:numPr>
          <w:ilvl w:val="0"/>
          <w:numId w:val="32"/>
        </w:numPr>
      </w:pPr>
      <w:proofErr w:type="gramStart"/>
      <w:r w:rsidRPr="00715750">
        <w:t>reduced</w:t>
      </w:r>
      <w:proofErr w:type="gramEnd"/>
      <w:r w:rsidRPr="00715750">
        <w:t xml:space="preserve"> re-admissions</w:t>
      </w:r>
      <w:r>
        <w:t>.</w:t>
      </w:r>
    </w:p>
    <w:p w:rsidR="00834CCF" w:rsidRPr="0066663B" w:rsidRDefault="00834CCF" w:rsidP="00834CCF">
      <w:pPr>
        <w:pStyle w:val="NormalArial"/>
        <w:spacing w:before="120" w:after="120"/>
        <w:ind w:left="0"/>
        <w:jc w:val="both"/>
        <w:rPr>
          <w:rFonts w:asciiTheme="minorHAnsi" w:hAnsiTheme="minorHAnsi" w:cstheme="minorHAnsi"/>
        </w:rPr>
      </w:pPr>
      <w:r w:rsidRPr="0066663B">
        <w:rPr>
          <w:rFonts w:asciiTheme="minorHAnsi" w:hAnsiTheme="minorHAnsi" w:cstheme="minorHAnsi"/>
        </w:rPr>
        <w:t>An improvement in the quality of patient care may result in higher costs for those hospitals using the new health technology. These improvements in quality are being made incrementally and constantly and the net costs associated with their introductions are by and large taken account of in the indexation rates used to determine the NEP/NEC.</w:t>
      </w:r>
    </w:p>
    <w:p w:rsidR="00834CCF" w:rsidRDefault="00834CCF" w:rsidP="00834CCF">
      <w:pPr>
        <w:pStyle w:val="NormalArial"/>
        <w:spacing w:before="120" w:after="120"/>
        <w:ind w:left="0"/>
        <w:jc w:val="both"/>
        <w:rPr>
          <w:rFonts w:asciiTheme="minorHAnsi" w:hAnsiTheme="minorHAnsi" w:cstheme="minorHAnsi"/>
        </w:rPr>
      </w:pPr>
      <w:r w:rsidRPr="0066663B">
        <w:rPr>
          <w:rFonts w:asciiTheme="minorHAnsi" w:hAnsiTheme="minorHAnsi" w:cstheme="minorHAnsi"/>
        </w:rPr>
        <w:t>Therefore, type 1 and type 2 may have opposite impacts on the costs of providing public hospital services</w:t>
      </w:r>
      <w:r>
        <w:rPr>
          <w:rFonts w:asciiTheme="minorHAnsi" w:hAnsiTheme="minorHAnsi" w:cstheme="minorHAnsi"/>
        </w:rPr>
        <w:t>,</w:t>
      </w:r>
      <w:r w:rsidRPr="0066663B">
        <w:rPr>
          <w:rFonts w:asciiTheme="minorHAnsi" w:hAnsiTheme="minorHAnsi" w:cstheme="minorHAnsi"/>
        </w:rPr>
        <w:t xml:space="preserve"> but </w:t>
      </w:r>
      <w:r>
        <w:rPr>
          <w:rFonts w:asciiTheme="minorHAnsi" w:hAnsiTheme="minorHAnsi" w:cstheme="minorHAnsi"/>
        </w:rPr>
        <w:t>these are</w:t>
      </w:r>
      <w:r w:rsidRPr="0066663B">
        <w:rPr>
          <w:rFonts w:asciiTheme="minorHAnsi" w:hAnsiTheme="minorHAnsi" w:cstheme="minorHAnsi"/>
        </w:rPr>
        <w:t xml:space="preserve"> account</w:t>
      </w:r>
      <w:r>
        <w:rPr>
          <w:rFonts w:asciiTheme="minorHAnsi" w:hAnsiTheme="minorHAnsi" w:cstheme="minorHAnsi"/>
        </w:rPr>
        <w:t>ed for</w:t>
      </w:r>
      <w:r w:rsidRPr="0066663B">
        <w:rPr>
          <w:rFonts w:asciiTheme="minorHAnsi" w:hAnsiTheme="minorHAnsi" w:cstheme="minorHAnsi"/>
        </w:rPr>
        <w:t xml:space="preserve"> in average terms in determining the NEP/NEC.</w:t>
      </w:r>
    </w:p>
    <w:p w:rsidR="00834CCF" w:rsidRPr="00620C52" w:rsidRDefault="00834CCF" w:rsidP="00733EFD">
      <w:pPr>
        <w:pStyle w:val="Heading3"/>
        <w:numPr>
          <w:ilvl w:val="0"/>
          <w:numId w:val="0"/>
        </w:numPr>
        <w:ind w:left="720" w:hanging="720"/>
      </w:pPr>
      <w:bookmarkStart w:id="52" w:name="_Toc417400961"/>
      <w:bookmarkStart w:id="53" w:name="_Toc417556579"/>
      <w:bookmarkStart w:id="54" w:name="_Toc417561513"/>
      <w:bookmarkStart w:id="55" w:name="_Toc404159074"/>
      <w:bookmarkStart w:id="56" w:name="_Toc417384651"/>
      <w:bookmarkStart w:id="57" w:name="_Toc417384699"/>
      <w:bookmarkStart w:id="58" w:name="_Toc449597584"/>
      <w:bookmarkStart w:id="59" w:name="_Toc449620367"/>
      <w:r w:rsidRPr="00620C52">
        <w:t>Type 3 – new capability</w:t>
      </w:r>
      <w:bookmarkEnd w:id="52"/>
      <w:bookmarkEnd w:id="53"/>
      <w:bookmarkEnd w:id="54"/>
      <w:bookmarkEnd w:id="55"/>
      <w:bookmarkEnd w:id="56"/>
      <w:bookmarkEnd w:id="57"/>
      <w:bookmarkEnd w:id="58"/>
      <w:bookmarkEnd w:id="59"/>
    </w:p>
    <w:p w:rsidR="00834CCF" w:rsidRPr="0066663B" w:rsidRDefault="00834CCF" w:rsidP="00834CCF">
      <w:pPr>
        <w:pStyle w:val="NormalArial"/>
        <w:spacing w:before="120" w:after="120"/>
        <w:ind w:left="0"/>
        <w:jc w:val="both"/>
        <w:rPr>
          <w:rFonts w:asciiTheme="minorHAnsi" w:hAnsiTheme="minorHAnsi" w:cstheme="minorHAnsi"/>
        </w:rPr>
      </w:pPr>
      <w:r w:rsidRPr="0066663B">
        <w:rPr>
          <w:rFonts w:asciiTheme="minorHAnsi" w:hAnsiTheme="minorHAnsi" w:cstheme="minorHAnsi"/>
        </w:rPr>
        <w:t xml:space="preserve">This type of new health technology would provide major advances in capability such as the introduction of new procedures that enable treatments not available previously. This type of new health technology could include the introduction of services using new gene technology, nanotechnology, robotic-assisted surgery, image-guided surgery, </w:t>
      </w:r>
      <w:proofErr w:type="gramStart"/>
      <w:r w:rsidRPr="0066663B">
        <w:rPr>
          <w:rFonts w:asciiTheme="minorHAnsi" w:hAnsiTheme="minorHAnsi" w:cstheme="minorHAnsi"/>
        </w:rPr>
        <w:t>new</w:t>
      </w:r>
      <w:proofErr w:type="gramEnd"/>
      <w:r w:rsidRPr="0066663B">
        <w:rPr>
          <w:rFonts w:asciiTheme="minorHAnsi" w:hAnsiTheme="minorHAnsi" w:cstheme="minorHAnsi"/>
        </w:rPr>
        <w:t xml:space="preserve"> stem cell technology or organ or cell xenotransplantation. Expected impacts</w:t>
      </w:r>
      <w:r>
        <w:rPr>
          <w:rFonts w:asciiTheme="minorHAnsi" w:hAnsiTheme="minorHAnsi" w:cstheme="minorHAnsi"/>
        </w:rPr>
        <w:t xml:space="preserve"> may</w:t>
      </w:r>
      <w:r w:rsidRPr="0066663B">
        <w:rPr>
          <w:rFonts w:asciiTheme="minorHAnsi" w:hAnsiTheme="minorHAnsi" w:cstheme="minorHAnsi"/>
        </w:rPr>
        <w:t xml:space="preserve"> include but are not limited to:</w:t>
      </w:r>
    </w:p>
    <w:p w:rsidR="00834CCF" w:rsidRPr="00715750" w:rsidRDefault="00834CCF" w:rsidP="00620C52">
      <w:pPr>
        <w:pStyle w:val="ListBullet"/>
        <w:numPr>
          <w:ilvl w:val="0"/>
          <w:numId w:val="33"/>
        </w:numPr>
      </w:pPr>
      <w:r w:rsidRPr="00715750">
        <w:t>new patients receiving care</w:t>
      </w:r>
      <w:r>
        <w:t>;</w:t>
      </w:r>
    </w:p>
    <w:p w:rsidR="00834CCF" w:rsidRPr="00715750" w:rsidRDefault="00834CCF" w:rsidP="00620C52">
      <w:pPr>
        <w:pStyle w:val="ListBullet"/>
        <w:numPr>
          <w:ilvl w:val="0"/>
          <w:numId w:val="33"/>
        </w:numPr>
      </w:pPr>
      <w:r w:rsidRPr="00715750">
        <w:t>existing DRG classification may not adequately reflect the new model of care</w:t>
      </w:r>
      <w:r>
        <w:t>; and</w:t>
      </w:r>
    </w:p>
    <w:p w:rsidR="00834CCF" w:rsidRPr="00715750" w:rsidRDefault="00834CCF" w:rsidP="00620C52">
      <w:pPr>
        <w:pStyle w:val="ListBullet"/>
        <w:numPr>
          <w:ilvl w:val="0"/>
          <w:numId w:val="33"/>
        </w:numPr>
      </w:pPr>
      <w:proofErr w:type="gramStart"/>
      <w:r w:rsidRPr="00715750">
        <w:t>changes</w:t>
      </w:r>
      <w:proofErr w:type="gramEnd"/>
      <w:r w:rsidRPr="00715750">
        <w:t xml:space="preserve"> to resource utilisation and costs associated with patient care</w:t>
      </w:r>
      <w:r>
        <w:t>.</w:t>
      </w:r>
    </w:p>
    <w:p w:rsidR="00834CCF" w:rsidRDefault="00834CCF" w:rsidP="00834CCF">
      <w:pPr>
        <w:pStyle w:val="NormalArial"/>
        <w:spacing w:before="120" w:after="120"/>
        <w:ind w:left="0"/>
        <w:jc w:val="both"/>
        <w:rPr>
          <w:rFonts w:asciiTheme="minorHAnsi" w:hAnsiTheme="minorHAnsi" w:cstheme="minorHAnsi"/>
        </w:rPr>
      </w:pPr>
      <w:r w:rsidRPr="0066663B">
        <w:rPr>
          <w:rFonts w:asciiTheme="minorHAnsi" w:hAnsiTheme="minorHAnsi" w:cstheme="minorHAnsi"/>
        </w:rPr>
        <w:t xml:space="preserve">This type of major new health technology may have a variety of impacts on the NEP/NEC, including significant cost impacts for services that may not fit </w:t>
      </w:r>
      <w:r>
        <w:rPr>
          <w:rFonts w:asciiTheme="minorHAnsi" w:hAnsiTheme="minorHAnsi" w:cstheme="minorHAnsi"/>
        </w:rPr>
        <w:t>appropriately</w:t>
      </w:r>
      <w:r w:rsidRPr="0066663B">
        <w:rPr>
          <w:rFonts w:asciiTheme="minorHAnsi" w:hAnsiTheme="minorHAnsi" w:cstheme="minorHAnsi"/>
        </w:rPr>
        <w:t xml:space="preserve"> into the underlying classification systems. Further study would be required to assess how best they could be accommodated within the current or modified classification systems.</w:t>
      </w:r>
    </w:p>
    <w:p w:rsidR="00476B59" w:rsidRPr="00476B59" w:rsidRDefault="00476B59" w:rsidP="00476B59">
      <w:pPr>
        <w:pStyle w:val="Heading2"/>
        <w:ind w:left="720" w:hanging="720"/>
      </w:pPr>
      <w:bookmarkStart w:id="60" w:name="_Toc508369812"/>
      <w:bookmarkStart w:id="61" w:name="_Toc508371479"/>
      <w:bookmarkStart w:id="62" w:name="_Toc508371535"/>
      <w:bookmarkStart w:id="63" w:name="_Toc508378921"/>
      <w:r w:rsidRPr="004E36B0">
        <w:t>Government organisations involved in monitoring the impact of new health technologies in Australia</w:t>
      </w:r>
      <w:bookmarkEnd w:id="60"/>
      <w:bookmarkEnd w:id="61"/>
      <w:bookmarkEnd w:id="62"/>
      <w:bookmarkEnd w:id="63"/>
    </w:p>
    <w:p w:rsidR="00476B59" w:rsidRDefault="00476B59" w:rsidP="00476B59">
      <w:pPr>
        <w:pStyle w:val="NormalArial"/>
        <w:spacing w:before="120" w:after="120"/>
        <w:ind w:left="0"/>
        <w:jc w:val="both"/>
        <w:rPr>
          <w:rFonts w:asciiTheme="minorHAnsi" w:hAnsiTheme="minorHAnsi" w:cstheme="minorHAnsi"/>
        </w:rPr>
      </w:pPr>
      <w:r w:rsidRPr="0066663B">
        <w:rPr>
          <w:rFonts w:asciiTheme="minorHAnsi" w:hAnsiTheme="minorHAnsi" w:cstheme="minorHAnsi"/>
        </w:rPr>
        <w:t>A number of Commonwealth</w:t>
      </w:r>
      <w:r>
        <w:rPr>
          <w:rFonts w:asciiTheme="minorHAnsi" w:hAnsiTheme="minorHAnsi" w:cstheme="minorHAnsi"/>
        </w:rPr>
        <w:t xml:space="preserve"> and state and territory</w:t>
      </w:r>
      <w:r w:rsidRPr="0066663B">
        <w:rPr>
          <w:rFonts w:asciiTheme="minorHAnsi" w:hAnsiTheme="minorHAnsi" w:cstheme="minorHAnsi"/>
        </w:rPr>
        <w:t xml:space="preserve"> agencies and advisory </w:t>
      </w:r>
      <w:r>
        <w:rPr>
          <w:rFonts w:asciiTheme="minorHAnsi" w:hAnsiTheme="minorHAnsi" w:cstheme="minorHAnsi"/>
        </w:rPr>
        <w:t>groups</w:t>
      </w:r>
      <w:r w:rsidRPr="0066663B">
        <w:rPr>
          <w:rFonts w:asciiTheme="minorHAnsi" w:hAnsiTheme="minorHAnsi" w:cstheme="minorHAnsi"/>
        </w:rPr>
        <w:t xml:space="preserve"> exist to monitor new health technologies, regulate the market, and manage reimbursement and post-implementation management. </w:t>
      </w:r>
      <w:r>
        <w:rPr>
          <w:rFonts w:asciiTheme="minorHAnsi" w:hAnsiTheme="minorHAnsi" w:cstheme="minorHAnsi"/>
        </w:rPr>
        <w:t>These include:</w:t>
      </w:r>
    </w:p>
    <w:p w:rsidR="00476B59" w:rsidRDefault="00476B59" w:rsidP="00620C52">
      <w:pPr>
        <w:pStyle w:val="ListBullet"/>
        <w:numPr>
          <w:ilvl w:val="0"/>
          <w:numId w:val="34"/>
        </w:numPr>
        <w:rPr>
          <w:lang w:eastAsia="ja-JP"/>
        </w:rPr>
      </w:pPr>
      <w:r w:rsidRPr="00A46795">
        <w:rPr>
          <w:lang w:eastAsia="ja-JP"/>
        </w:rPr>
        <w:t>Health Policy Advisory Committee on Technology</w:t>
      </w:r>
      <w:r>
        <w:rPr>
          <w:lang w:eastAsia="ja-JP"/>
        </w:rPr>
        <w:t xml:space="preserve"> (</w:t>
      </w:r>
      <w:proofErr w:type="spellStart"/>
      <w:r>
        <w:rPr>
          <w:lang w:eastAsia="ja-JP"/>
        </w:rPr>
        <w:t>HealthPACT</w:t>
      </w:r>
      <w:proofErr w:type="spellEnd"/>
      <w:r>
        <w:rPr>
          <w:lang w:eastAsia="ja-JP"/>
        </w:rPr>
        <w:t>)</w:t>
      </w:r>
    </w:p>
    <w:p w:rsidR="00476B59" w:rsidRDefault="00476B59" w:rsidP="00620C52">
      <w:pPr>
        <w:pStyle w:val="ListBullet"/>
        <w:numPr>
          <w:ilvl w:val="0"/>
          <w:numId w:val="34"/>
        </w:numPr>
        <w:rPr>
          <w:lang w:eastAsia="ja-JP"/>
        </w:rPr>
      </w:pPr>
      <w:r w:rsidRPr="00A46795">
        <w:rPr>
          <w:lang w:eastAsia="ja-JP"/>
        </w:rPr>
        <w:t>Medical Services Advisory Committee</w:t>
      </w:r>
      <w:r>
        <w:rPr>
          <w:lang w:eastAsia="ja-JP"/>
        </w:rPr>
        <w:t xml:space="preserve"> (MSAC)</w:t>
      </w:r>
    </w:p>
    <w:p w:rsidR="00476B59" w:rsidRPr="009A19BC" w:rsidRDefault="00476B59" w:rsidP="00620C52">
      <w:pPr>
        <w:pStyle w:val="ListBullet"/>
        <w:numPr>
          <w:ilvl w:val="0"/>
          <w:numId w:val="34"/>
        </w:numPr>
        <w:rPr>
          <w:lang w:eastAsia="ja-JP"/>
        </w:rPr>
      </w:pPr>
      <w:r w:rsidRPr="009A19BC">
        <w:rPr>
          <w:lang w:eastAsia="ja-JP"/>
        </w:rPr>
        <w:t>Pharmaceutical Benefits Advisory Committee</w:t>
      </w:r>
      <w:r>
        <w:rPr>
          <w:lang w:eastAsia="ja-JP"/>
        </w:rPr>
        <w:t xml:space="preserve"> (PBAC)</w:t>
      </w:r>
    </w:p>
    <w:p w:rsidR="00476B59" w:rsidRPr="009A19BC" w:rsidRDefault="00476B59" w:rsidP="00620C52">
      <w:pPr>
        <w:pStyle w:val="ListBullet"/>
        <w:numPr>
          <w:ilvl w:val="0"/>
          <w:numId w:val="34"/>
        </w:numPr>
        <w:rPr>
          <w:lang w:eastAsia="ja-JP"/>
        </w:rPr>
      </w:pPr>
      <w:r w:rsidRPr="009A19BC">
        <w:rPr>
          <w:lang w:eastAsia="ja-JP"/>
        </w:rPr>
        <w:t>Prostheses List Advisory Committee</w:t>
      </w:r>
      <w:r>
        <w:rPr>
          <w:lang w:eastAsia="ja-JP"/>
        </w:rPr>
        <w:t xml:space="preserve"> (PLAC)</w:t>
      </w:r>
    </w:p>
    <w:p w:rsidR="00476B59" w:rsidRPr="009A19BC" w:rsidRDefault="00476B59" w:rsidP="00620C52">
      <w:pPr>
        <w:pStyle w:val="ListBullet"/>
        <w:numPr>
          <w:ilvl w:val="0"/>
          <w:numId w:val="34"/>
        </w:numPr>
        <w:rPr>
          <w:lang w:eastAsia="ja-JP"/>
        </w:rPr>
      </w:pPr>
      <w:r w:rsidRPr="009A19BC">
        <w:rPr>
          <w:lang w:eastAsia="ja-JP"/>
        </w:rPr>
        <w:t>Therapeutic Goods Administration</w:t>
      </w:r>
      <w:r>
        <w:rPr>
          <w:lang w:eastAsia="ja-JP"/>
        </w:rPr>
        <w:t xml:space="preserve"> (TGA)</w:t>
      </w:r>
    </w:p>
    <w:p w:rsidR="00476B59" w:rsidRPr="009A19BC" w:rsidRDefault="00476B59" w:rsidP="00620C52">
      <w:pPr>
        <w:pStyle w:val="ListBullet"/>
        <w:numPr>
          <w:ilvl w:val="0"/>
          <w:numId w:val="34"/>
        </w:numPr>
        <w:rPr>
          <w:lang w:eastAsia="ja-JP"/>
        </w:rPr>
      </w:pPr>
      <w:r w:rsidRPr="009A19BC">
        <w:rPr>
          <w:lang w:eastAsia="ja-JP"/>
        </w:rPr>
        <w:t>Council of Australian Therapeutics Advisory Groups</w:t>
      </w:r>
      <w:r>
        <w:rPr>
          <w:lang w:eastAsia="ja-JP"/>
        </w:rPr>
        <w:t xml:space="preserve"> (CATAG)</w:t>
      </w:r>
    </w:p>
    <w:p w:rsidR="00476B59" w:rsidRDefault="00476B59" w:rsidP="00476B59">
      <w:pPr>
        <w:pStyle w:val="NormalArial"/>
        <w:spacing w:before="120" w:after="120"/>
        <w:ind w:left="0"/>
        <w:jc w:val="both"/>
        <w:rPr>
          <w:rFonts w:asciiTheme="minorHAnsi" w:hAnsiTheme="minorHAnsi" w:cstheme="minorHAnsi"/>
        </w:rPr>
      </w:pPr>
      <w:r w:rsidRPr="0066663B">
        <w:rPr>
          <w:rFonts w:asciiTheme="minorHAnsi" w:hAnsiTheme="minorHAnsi" w:cstheme="minorHAnsi"/>
        </w:rPr>
        <w:t xml:space="preserve">Figure </w:t>
      </w:r>
      <w:r>
        <w:rPr>
          <w:rFonts w:asciiTheme="minorHAnsi" w:hAnsiTheme="minorHAnsi" w:cstheme="minorHAnsi"/>
        </w:rPr>
        <w:t>3</w:t>
      </w:r>
      <w:r w:rsidRPr="0066663B">
        <w:rPr>
          <w:rFonts w:asciiTheme="minorHAnsi" w:hAnsiTheme="minorHAnsi" w:cstheme="minorHAnsi"/>
        </w:rPr>
        <w:t xml:space="preserve"> </w:t>
      </w:r>
      <w:r>
        <w:rPr>
          <w:rFonts w:asciiTheme="minorHAnsi" w:hAnsiTheme="minorHAnsi" w:cstheme="minorHAnsi"/>
        </w:rPr>
        <w:t>describes how these bodies interact.</w:t>
      </w:r>
      <w:r w:rsidRPr="0066663B">
        <w:rPr>
          <w:rFonts w:asciiTheme="minorHAnsi" w:hAnsiTheme="minorHAnsi" w:cstheme="minorHAnsi"/>
        </w:rPr>
        <w:t xml:space="preserve"> </w:t>
      </w:r>
    </w:p>
    <w:p w:rsidR="00476B59" w:rsidRDefault="00476B59" w:rsidP="00476B59">
      <w:pPr>
        <w:pStyle w:val="NormalArial"/>
        <w:spacing w:before="120" w:after="120"/>
        <w:ind w:left="0"/>
        <w:jc w:val="both"/>
        <w:rPr>
          <w:rFonts w:asciiTheme="minorHAnsi" w:hAnsiTheme="minorHAnsi" w:cstheme="minorHAnsi"/>
        </w:rPr>
      </w:pPr>
    </w:p>
    <w:p w:rsidR="00476B59" w:rsidRPr="00B46273" w:rsidRDefault="006C721F" w:rsidP="000624D8">
      <w:pPr>
        <w:pStyle w:val="TableHeading"/>
      </w:pPr>
      <w:r w:rsidRPr="00B46273">
        <w:rPr>
          <w:rStyle w:val="Strong"/>
          <w:b/>
          <w:bCs w:val="0"/>
        </w:rPr>
        <w:t xml:space="preserve">Figure </w:t>
      </w:r>
      <w:r w:rsidR="0070500E" w:rsidRPr="00B46273">
        <w:rPr>
          <w:rStyle w:val="Strong"/>
          <w:b/>
          <w:bCs w:val="0"/>
        </w:rPr>
        <w:t>3</w:t>
      </w:r>
      <w:r w:rsidR="00476B59" w:rsidRPr="00B46273">
        <w:rPr>
          <w:rStyle w:val="Strong"/>
          <w:b/>
          <w:bCs w:val="0"/>
        </w:rPr>
        <w:t>: Organisations involved in monitoring the impact of new health technologies in Australia</w:t>
      </w:r>
    </w:p>
    <w:p w:rsidR="000624D8" w:rsidRDefault="00ED76EB" w:rsidP="00161EBF">
      <w:pPr>
        <w:spacing w:after="360"/>
        <w:rPr>
          <w:b/>
          <w:color w:val="004200" w:themeColor="accent1"/>
        </w:rPr>
      </w:pPr>
      <w:r>
        <w:rPr>
          <w:b/>
          <w:noProof/>
          <w:color w:val="004200" w:themeColor="accent1"/>
        </w:rPr>
        <w:drawing>
          <wp:inline distT="0" distB="0" distL="0" distR="0" wp14:anchorId="23297AB9" wp14:editId="0955DA43">
            <wp:extent cx="6016484" cy="2533650"/>
            <wp:effectExtent l="0" t="0" r="3810" b="0"/>
            <wp:docPr id="198" name="Picture 198" descr="Figure 2: Organisations involved in monitoring the impact of new technologies in Australia (page 10)&#10;&#10;First Level: &#10;Therapeutic Goods Administration (TGA)&#10;&#10;Second Level: &#10;Medical Services Advisory Committee (MSAC)&#10;Prostheses List Advisory Committee (PLAC) &#10;Pharmaceutical Benefits Advisory Committee (PBAC)&#10;&#10;Third Level: &#10;Medicare Benefits Schedule (MBS) – under Medical Services Advisory Committee (MSAC), &#10;Prosthesis List – under Prostheses List Advisory Committee (PLAC), &#10;Pharmaceutical Benefits Scheme (PBS)/ National Immunisation Program (NIP) – Under Pharmaceutical Benefits Advisory Committee (PBAC)&#10;" title="Figure 3: Organisations involved in monitoring the impact of new health technologies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6">
                      <a:extLst>
                        <a:ext uri="{28A0092B-C50C-407E-A947-70E740481C1C}">
                          <a14:useLocalDpi xmlns:a14="http://schemas.microsoft.com/office/drawing/2010/main" val="0"/>
                        </a:ext>
                      </a:extLst>
                    </a:blip>
                    <a:stretch>
                      <a:fillRect/>
                    </a:stretch>
                  </pic:blipFill>
                  <pic:spPr>
                    <a:xfrm>
                      <a:off x="0" y="0"/>
                      <a:ext cx="6018820" cy="2534634"/>
                    </a:xfrm>
                    <a:prstGeom prst="rect">
                      <a:avLst/>
                    </a:prstGeom>
                  </pic:spPr>
                </pic:pic>
              </a:graphicData>
            </a:graphic>
          </wp:inline>
        </w:drawing>
      </w:r>
    </w:p>
    <w:p w:rsidR="000624D8" w:rsidRDefault="000624D8" w:rsidP="000624D8">
      <w:r>
        <w:br w:type="page"/>
      </w:r>
    </w:p>
    <w:p w:rsidR="00704ECB" w:rsidRPr="00715750" w:rsidRDefault="00704ECB" w:rsidP="000624D8">
      <w:pPr>
        <w:pStyle w:val="Heading1"/>
        <w:rPr>
          <w:lang w:eastAsia="en-US"/>
        </w:rPr>
      </w:pPr>
      <w:bookmarkStart w:id="64" w:name="_Toc449620386"/>
      <w:bookmarkStart w:id="65" w:name="_Toc508371480"/>
      <w:bookmarkStart w:id="66" w:name="_Toc508371536"/>
      <w:bookmarkStart w:id="67" w:name="_Toc508378922"/>
      <w:r w:rsidRPr="00715750">
        <w:rPr>
          <w:lang w:eastAsia="en-US"/>
        </w:rPr>
        <w:t xml:space="preserve">New health </w:t>
      </w:r>
      <w:r>
        <w:rPr>
          <w:lang w:eastAsia="en-US"/>
        </w:rPr>
        <w:t>t</w:t>
      </w:r>
      <w:r w:rsidRPr="00715750">
        <w:rPr>
          <w:lang w:eastAsia="en-US"/>
        </w:rPr>
        <w:t>echnology prioritisation process</w:t>
      </w:r>
      <w:bookmarkEnd w:id="64"/>
      <w:bookmarkEnd w:id="65"/>
      <w:bookmarkEnd w:id="66"/>
      <w:bookmarkEnd w:id="67"/>
    </w:p>
    <w:p w:rsidR="00704ECB" w:rsidRPr="0066663B" w:rsidRDefault="00704ECB" w:rsidP="00704ECB">
      <w:pPr>
        <w:pStyle w:val="NormalArial"/>
        <w:spacing w:before="120" w:after="120"/>
        <w:ind w:left="0"/>
        <w:jc w:val="both"/>
        <w:rPr>
          <w:rFonts w:asciiTheme="minorHAnsi" w:hAnsiTheme="minorHAnsi" w:cstheme="minorHAnsi"/>
        </w:rPr>
      </w:pPr>
      <w:r w:rsidRPr="0066663B">
        <w:rPr>
          <w:rFonts w:asciiTheme="minorHAnsi" w:hAnsiTheme="minorHAnsi" w:cstheme="minorHAnsi"/>
        </w:rPr>
        <w:t>The key stages</w:t>
      </w:r>
      <w:r>
        <w:rPr>
          <w:rFonts w:asciiTheme="minorHAnsi" w:hAnsiTheme="minorHAnsi" w:cstheme="minorHAnsi"/>
        </w:rPr>
        <w:t xml:space="preserve"> and dates</w:t>
      </w:r>
      <w:r w:rsidRPr="0066663B">
        <w:rPr>
          <w:rFonts w:asciiTheme="minorHAnsi" w:hAnsiTheme="minorHAnsi" w:cstheme="minorHAnsi"/>
        </w:rPr>
        <w:t xml:space="preserve"> </w:t>
      </w:r>
      <w:r>
        <w:rPr>
          <w:rFonts w:asciiTheme="minorHAnsi" w:hAnsiTheme="minorHAnsi" w:cstheme="minorHAnsi"/>
        </w:rPr>
        <w:t xml:space="preserve">regarding the identification, prioritisation and assessment of new health technologies </w:t>
      </w:r>
      <w:r w:rsidRPr="0066663B">
        <w:rPr>
          <w:rFonts w:asciiTheme="minorHAnsi" w:hAnsiTheme="minorHAnsi" w:cstheme="minorHAnsi"/>
        </w:rPr>
        <w:t>are outlined below.</w:t>
      </w:r>
    </w:p>
    <w:p w:rsidR="00E95721" w:rsidRPr="001F1B67" w:rsidRDefault="00704ECB" w:rsidP="000624D8">
      <w:pPr>
        <w:pStyle w:val="TableHeading"/>
      </w:pPr>
      <w:r w:rsidRPr="001F1B67">
        <w:rPr>
          <w:rStyle w:val="Strong"/>
          <w:b/>
        </w:rPr>
        <w:t>Figure 4: Prioritisation framework</w:t>
      </w:r>
    </w:p>
    <w:p w:rsidR="00E95721" w:rsidRDefault="00E95721" w:rsidP="00E95721">
      <w:r>
        <w:rPr>
          <w:noProof/>
        </w:rPr>
        <w:drawing>
          <wp:inline distT="0" distB="0" distL="0" distR="0" wp14:anchorId="3DA2E1A8" wp14:editId="2CB7AF0B">
            <wp:extent cx="5997575" cy="2908935"/>
            <wp:effectExtent l="0" t="0" r="3175" b="5715"/>
            <wp:docPr id="205" name="Picture 205" descr="Figure 4 describes the process for reviewing new health technologies. &#10;Stage 1 is between early August and October, which includes calls for submission and IHPA's request for more data. &#10;Stage 2 is in November and is where the Clinical Advisory Committee advises on which technologies should be further investigated. &#10;Stage 3 is between December and March and is jurisdictional consultation on the shortlist. &#10;Stage 4 is between April to May and is where the Pricing Authority considers IHPA's decisions for which technologies to refer for classification and coding development, followed by its referral for action." title="Figure 4: Prioritisation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act technology.jpg"/>
                    <pic:cNvPicPr/>
                  </pic:nvPicPr>
                  <pic:blipFill>
                    <a:blip r:embed="rId17">
                      <a:extLst>
                        <a:ext uri="{28A0092B-C50C-407E-A947-70E740481C1C}">
                          <a14:useLocalDpi xmlns:a14="http://schemas.microsoft.com/office/drawing/2010/main" val="0"/>
                        </a:ext>
                      </a:extLst>
                    </a:blip>
                    <a:stretch>
                      <a:fillRect/>
                    </a:stretch>
                  </pic:blipFill>
                  <pic:spPr>
                    <a:xfrm>
                      <a:off x="0" y="0"/>
                      <a:ext cx="5997575" cy="2908935"/>
                    </a:xfrm>
                    <a:prstGeom prst="rect">
                      <a:avLst/>
                    </a:prstGeom>
                  </pic:spPr>
                </pic:pic>
              </a:graphicData>
            </a:graphic>
          </wp:inline>
        </w:drawing>
      </w:r>
      <w:bookmarkStart w:id="68" w:name="_Toc404159084"/>
      <w:bookmarkStart w:id="69" w:name="_Toc417384661"/>
      <w:bookmarkStart w:id="70" w:name="_Toc417384709"/>
      <w:bookmarkStart w:id="71" w:name="_Toc417400971"/>
      <w:bookmarkStart w:id="72" w:name="_Toc417556589"/>
      <w:bookmarkStart w:id="73" w:name="_Toc417561523"/>
      <w:bookmarkStart w:id="74" w:name="_Toc449597594"/>
      <w:bookmarkStart w:id="75" w:name="_Toc449620388"/>
    </w:p>
    <w:p w:rsidR="00E95721" w:rsidRPr="00BD2CAF" w:rsidRDefault="00BD2CAF" w:rsidP="00733EFD">
      <w:pPr>
        <w:pStyle w:val="Heading2"/>
        <w:numPr>
          <w:ilvl w:val="0"/>
          <w:numId w:val="0"/>
        </w:numPr>
        <w:ind w:left="576" w:hanging="576"/>
      </w:pPr>
      <w:bookmarkStart w:id="76" w:name="_Toc508369813"/>
      <w:bookmarkStart w:id="77" w:name="_Toc508371481"/>
      <w:bookmarkStart w:id="78" w:name="_Toc508371537"/>
      <w:bookmarkStart w:id="79" w:name="_Toc508378923"/>
      <w:r>
        <w:t>Stage 1: Identify new health technologies</w:t>
      </w:r>
      <w:bookmarkEnd w:id="76"/>
      <w:bookmarkEnd w:id="77"/>
      <w:bookmarkEnd w:id="78"/>
      <w:bookmarkEnd w:id="79"/>
    </w:p>
    <w:p w:rsidR="00826CDE" w:rsidRPr="00826CDE" w:rsidRDefault="00826CDE" w:rsidP="00733EFD">
      <w:pPr>
        <w:pStyle w:val="Heading3"/>
        <w:numPr>
          <w:ilvl w:val="0"/>
          <w:numId w:val="0"/>
        </w:numPr>
        <w:ind w:left="720" w:hanging="720"/>
      </w:pPr>
      <w:r w:rsidRPr="00826CDE">
        <w:t xml:space="preserve">(1a) Annual submissions from </w:t>
      </w:r>
      <w:bookmarkEnd w:id="68"/>
      <w:r w:rsidRPr="00826CDE">
        <w:t>government advisory committees and other stakeholders</w:t>
      </w:r>
      <w:bookmarkEnd w:id="69"/>
      <w:bookmarkEnd w:id="70"/>
      <w:bookmarkEnd w:id="71"/>
      <w:bookmarkEnd w:id="72"/>
      <w:bookmarkEnd w:id="73"/>
      <w:bookmarkEnd w:id="74"/>
      <w:bookmarkEnd w:id="75"/>
    </w:p>
    <w:p w:rsidR="00826CDE" w:rsidRDefault="00826CDE" w:rsidP="0069446A">
      <w:pPr>
        <w:pStyle w:val="NormalArial"/>
        <w:spacing w:before="120" w:after="120"/>
        <w:ind w:left="0"/>
        <w:rPr>
          <w:rFonts w:asciiTheme="minorHAnsi" w:hAnsiTheme="minorHAnsi" w:cstheme="minorHAnsi"/>
        </w:rPr>
      </w:pPr>
      <w:r>
        <w:rPr>
          <w:rFonts w:asciiTheme="minorHAnsi" w:hAnsiTheme="minorHAnsi" w:cstheme="minorHAnsi"/>
        </w:rPr>
        <w:t xml:space="preserve">IHPA will annually request </w:t>
      </w:r>
      <w:r w:rsidRPr="0066663B">
        <w:rPr>
          <w:rFonts w:asciiTheme="minorHAnsi" w:hAnsiTheme="minorHAnsi" w:cstheme="minorHAnsi"/>
        </w:rPr>
        <w:t>report</w:t>
      </w:r>
      <w:r>
        <w:rPr>
          <w:rFonts w:asciiTheme="minorHAnsi" w:hAnsiTheme="minorHAnsi" w:cstheme="minorHAnsi"/>
        </w:rPr>
        <w:t>s</w:t>
      </w:r>
      <w:r w:rsidRPr="0066663B">
        <w:rPr>
          <w:rFonts w:asciiTheme="minorHAnsi" w:hAnsiTheme="minorHAnsi" w:cstheme="minorHAnsi"/>
        </w:rPr>
        <w:t xml:space="preserve"> from </w:t>
      </w:r>
      <w:proofErr w:type="spellStart"/>
      <w:r w:rsidRPr="0066663B">
        <w:rPr>
          <w:rFonts w:asciiTheme="minorHAnsi" w:hAnsiTheme="minorHAnsi" w:cstheme="minorHAnsi"/>
        </w:rPr>
        <w:t>HealthPACT</w:t>
      </w:r>
      <w:proofErr w:type="spellEnd"/>
      <w:r>
        <w:rPr>
          <w:rFonts w:asciiTheme="minorHAnsi" w:hAnsiTheme="minorHAnsi" w:cstheme="minorHAnsi"/>
        </w:rPr>
        <w:t xml:space="preserve"> and</w:t>
      </w:r>
      <w:r w:rsidRPr="0066663B">
        <w:rPr>
          <w:rFonts w:asciiTheme="minorHAnsi" w:hAnsiTheme="minorHAnsi" w:cstheme="minorHAnsi"/>
        </w:rPr>
        <w:t xml:space="preserve"> MSAC on new health </w:t>
      </w:r>
      <w:r w:rsidR="005A155C" w:rsidRPr="0066663B">
        <w:rPr>
          <w:rFonts w:asciiTheme="minorHAnsi" w:hAnsiTheme="minorHAnsi" w:cstheme="minorHAnsi"/>
        </w:rPr>
        <w:t>technologie</w:t>
      </w:r>
      <w:r w:rsidR="005A155C">
        <w:rPr>
          <w:rFonts w:asciiTheme="minorHAnsi" w:hAnsiTheme="minorHAnsi" w:cstheme="minorHAnsi"/>
        </w:rPr>
        <w:t>s;</w:t>
      </w:r>
      <w:r>
        <w:rPr>
          <w:rFonts w:asciiTheme="minorHAnsi" w:hAnsiTheme="minorHAnsi" w:cstheme="minorHAnsi"/>
        </w:rPr>
        <w:t xml:space="preserve"> in particular for</w:t>
      </w:r>
      <w:r w:rsidRPr="0066663B">
        <w:rPr>
          <w:rFonts w:asciiTheme="minorHAnsi" w:hAnsiTheme="minorHAnsi" w:cstheme="minorHAnsi"/>
        </w:rPr>
        <w:t xml:space="preserve"> medical procedures and devices </w:t>
      </w:r>
      <w:r>
        <w:rPr>
          <w:rFonts w:asciiTheme="minorHAnsi" w:hAnsiTheme="minorHAnsi" w:cstheme="minorHAnsi"/>
        </w:rPr>
        <w:t xml:space="preserve">that are unlikely to be adequately accounted for in the national pricing model and which will be used within the public hospital system. IHPA will also consider submissions made under the Framework from other interested stakeholders, for example from the Medical Technology Association of Australia and manufacturers of medical devices. </w:t>
      </w:r>
    </w:p>
    <w:p w:rsidR="00826CDE" w:rsidRDefault="00826CDE" w:rsidP="0069446A">
      <w:pPr>
        <w:pStyle w:val="NormalArial"/>
        <w:spacing w:before="120" w:after="120"/>
        <w:ind w:left="0"/>
        <w:rPr>
          <w:rFonts w:asciiTheme="minorHAnsi" w:hAnsiTheme="minorHAnsi" w:cstheme="minorHAnsi"/>
        </w:rPr>
      </w:pPr>
      <w:r>
        <w:rPr>
          <w:rFonts w:asciiTheme="minorHAnsi" w:hAnsiTheme="minorHAnsi" w:cstheme="minorHAnsi"/>
        </w:rPr>
        <w:t xml:space="preserve">The introduction of new pharmaceuticals in public hospitals can lower costs, improve the quality of patient care and lead to better overall health outcomes. For this reason IHPA has advised CATAG to maintain a watching brief on new high cost drugs (not covered by the </w:t>
      </w:r>
      <w:r w:rsidR="005572FD">
        <w:t>Pharmaceutical Benefits Scheme</w:t>
      </w:r>
      <w:r>
        <w:rPr>
          <w:rFonts w:asciiTheme="minorHAnsi" w:hAnsiTheme="minorHAnsi" w:cstheme="minorHAnsi"/>
        </w:rPr>
        <w:t>). However, the administration of pharmaceuticals is not routinely coded for admitted patients and the costs are not disaggregated within the National Hospital Cost Data Collection.</w:t>
      </w:r>
    </w:p>
    <w:p w:rsidR="00F20D4B" w:rsidRDefault="00F20D4B">
      <w:pPr>
        <w:spacing w:before="0" w:after="0" w:line="240" w:lineRule="auto"/>
        <w:rPr>
          <w:rFonts w:asciiTheme="minorHAnsi" w:hAnsiTheme="minorHAnsi" w:cstheme="minorHAnsi"/>
          <w:szCs w:val="22"/>
          <w:lang w:eastAsia="zh-CN"/>
        </w:rPr>
      </w:pPr>
      <w:r>
        <w:rPr>
          <w:rFonts w:asciiTheme="minorHAnsi" w:hAnsiTheme="minorHAnsi" w:cstheme="minorHAnsi"/>
        </w:rPr>
        <w:br w:type="page"/>
      </w:r>
    </w:p>
    <w:p w:rsidR="00826CDE" w:rsidRDefault="00826CDE" w:rsidP="0069446A">
      <w:pPr>
        <w:pStyle w:val="NormalArial"/>
        <w:spacing w:before="120" w:after="120"/>
        <w:ind w:left="0"/>
        <w:rPr>
          <w:rFonts w:asciiTheme="minorHAnsi" w:hAnsiTheme="minorHAnsi" w:cstheme="minorHAnsi"/>
        </w:rPr>
      </w:pPr>
      <w:r>
        <w:rPr>
          <w:rFonts w:asciiTheme="minorHAnsi" w:hAnsiTheme="minorHAnsi" w:cstheme="minorHAnsi"/>
        </w:rPr>
        <w:t>This complicates the assessment of whether the drugs are accounted for in the national pricing model and limits the ability of IHPA to better account for them through classification development. IHPA will only consider submissions for drugs where CATAG is confident that they will have a material impact on the public hospital system.</w:t>
      </w:r>
    </w:p>
    <w:p w:rsidR="00826CDE" w:rsidRPr="0066663B" w:rsidRDefault="00826CDE" w:rsidP="00826CDE">
      <w:pPr>
        <w:pStyle w:val="NormalArial"/>
        <w:spacing w:before="120" w:after="120"/>
        <w:ind w:left="0"/>
        <w:jc w:val="both"/>
        <w:rPr>
          <w:rFonts w:asciiTheme="minorHAnsi" w:hAnsiTheme="minorHAnsi" w:cstheme="minorHAnsi"/>
        </w:rPr>
      </w:pPr>
      <w:r w:rsidRPr="0066663B">
        <w:rPr>
          <w:rFonts w:asciiTheme="minorHAnsi" w:hAnsiTheme="minorHAnsi" w:cstheme="minorHAnsi"/>
        </w:rPr>
        <w:t>Where the detail is available, IHPA will request the following information:</w:t>
      </w:r>
    </w:p>
    <w:p w:rsidR="00826CDE" w:rsidRPr="00715750" w:rsidRDefault="00826CDE" w:rsidP="00620C52">
      <w:pPr>
        <w:pStyle w:val="ListBullet"/>
        <w:rPr>
          <w:lang w:eastAsia="ja-JP"/>
        </w:rPr>
      </w:pPr>
      <w:r>
        <w:rPr>
          <w:lang w:eastAsia="ja-JP"/>
        </w:rPr>
        <w:t>d</w:t>
      </w:r>
      <w:r w:rsidRPr="00715750">
        <w:rPr>
          <w:lang w:eastAsia="ja-JP"/>
        </w:rPr>
        <w:t>escription of the technology</w:t>
      </w:r>
      <w:r>
        <w:rPr>
          <w:lang w:eastAsia="ja-JP"/>
        </w:rPr>
        <w:t>;</w:t>
      </w:r>
    </w:p>
    <w:p w:rsidR="00826CDE" w:rsidRPr="00715750" w:rsidRDefault="00826CDE" w:rsidP="00620C52">
      <w:pPr>
        <w:pStyle w:val="ListBullet"/>
        <w:rPr>
          <w:lang w:eastAsia="ja-JP"/>
        </w:rPr>
      </w:pPr>
      <w:r>
        <w:rPr>
          <w:lang w:eastAsia="ja-JP"/>
        </w:rPr>
        <w:t>uptake</w:t>
      </w:r>
      <w:r w:rsidRPr="00715750">
        <w:rPr>
          <w:lang w:eastAsia="ja-JP"/>
        </w:rPr>
        <w:t>/implementation in Australia by state/territory and by year</w:t>
      </w:r>
      <w:r>
        <w:rPr>
          <w:lang w:eastAsia="ja-JP"/>
        </w:rPr>
        <w:t>;</w:t>
      </w:r>
    </w:p>
    <w:p w:rsidR="00826CDE" w:rsidRDefault="00826CDE" w:rsidP="00620C52">
      <w:pPr>
        <w:pStyle w:val="ListBullet"/>
        <w:rPr>
          <w:lang w:eastAsia="ja-JP"/>
        </w:rPr>
      </w:pPr>
      <w:r>
        <w:rPr>
          <w:lang w:eastAsia="ja-JP"/>
        </w:rPr>
        <w:t>d</w:t>
      </w:r>
      <w:r w:rsidRPr="00715750">
        <w:rPr>
          <w:lang w:eastAsia="ja-JP"/>
        </w:rPr>
        <w:t>etails of the TGA approval</w:t>
      </w:r>
      <w:r>
        <w:rPr>
          <w:lang w:eastAsia="ja-JP"/>
        </w:rPr>
        <w:t>;</w:t>
      </w:r>
    </w:p>
    <w:p w:rsidR="00826CDE" w:rsidRPr="00715750" w:rsidRDefault="00826CDE" w:rsidP="00620C52">
      <w:pPr>
        <w:pStyle w:val="ListBullet"/>
        <w:rPr>
          <w:lang w:eastAsia="ja-JP"/>
        </w:rPr>
      </w:pPr>
      <w:r>
        <w:rPr>
          <w:lang w:eastAsia="ja-JP"/>
        </w:rPr>
        <w:t>c</w:t>
      </w:r>
      <w:r w:rsidRPr="00715750">
        <w:rPr>
          <w:lang w:eastAsia="ja-JP"/>
        </w:rPr>
        <w:t>ost of the technology, average cost per episode of care</w:t>
      </w:r>
      <w:r>
        <w:rPr>
          <w:lang w:eastAsia="ja-JP"/>
        </w:rPr>
        <w:t>;</w:t>
      </w:r>
    </w:p>
    <w:p w:rsidR="00826CDE" w:rsidRPr="00715750" w:rsidRDefault="00826CDE" w:rsidP="00620C52">
      <w:pPr>
        <w:pStyle w:val="ListBullet"/>
        <w:rPr>
          <w:lang w:eastAsia="ja-JP"/>
        </w:rPr>
      </w:pPr>
      <w:r>
        <w:rPr>
          <w:lang w:eastAsia="ja-JP"/>
        </w:rPr>
        <w:t>s</w:t>
      </w:r>
      <w:r w:rsidRPr="00715750">
        <w:rPr>
          <w:lang w:eastAsia="ja-JP"/>
        </w:rPr>
        <w:t>tudies completed / planned including impact on service delivery, patient’s quality of life, other evaluation, cost-effectiveness and cost-benefit analyses</w:t>
      </w:r>
      <w:r>
        <w:rPr>
          <w:lang w:eastAsia="ja-JP"/>
        </w:rPr>
        <w:t>;</w:t>
      </w:r>
    </w:p>
    <w:p w:rsidR="00826CDE" w:rsidRPr="00715750" w:rsidRDefault="00826CDE" w:rsidP="00620C52">
      <w:pPr>
        <w:pStyle w:val="ListBullet"/>
        <w:rPr>
          <w:lang w:eastAsia="ja-JP"/>
        </w:rPr>
      </w:pPr>
      <w:r>
        <w:rPr>
          <w:lang w:eastAsia="ja-JP"/>
        </w:rPr>
        <w:t>i</w:t>
      </w:r>
      <w:r w:rsidRPr="00715750">
        <w:rPr>
          <w:lang w:eastAsia="ja-JP"/>
        </w:rPr>
        <w:t>nternational experience</w:t>
      </w:r>
      <w:r>
        <w:rPr>
          <w:lang w:eastAsia="ja-JP"/>
        </w:rPr>
        <w:t>;</w:t>
      </w:r>
    </w:p>
    <w:p w:rsidR="00826CDE" w:rsidRPr="00715750" w:rsidRDefault="00826CDE" w:rsidP="00620C52">
      <w:pPr>
        <w:pStyle w:val="ListBullet"/>
        <w:rPr>
          <w:lang w:eastAsia="ja-JP"/>
        </w:rPr>
      </w:pPr>
      <w:r>
        <w:rPr>
          <w:lang w:eastAsia="ja-JP"/>
        </w:rPr>
        <w:t>i</w:t>
      </w:r>
      <w:r w:rsidRPr="00715750">
        <w:rPr>
          <w:lang w:eastAsia="ja-JP"/>
        </w:rPr>
        <w:t>mplementation schedule</w:t>
      </w:r>
      <w:r>
        <w:rPr>
          <w:lang w:eastAsia="ja-JP"/>
        </w:rPr>
        <w:t>; and</w:t>
      </w:r>
    </w:p>
    <w:p w:rsidR="00826CDE" w:rsidRDefault="00826CDE" w:rsidP="00620C52">
      <w:pPr>
        <w:pStyle w:val="ListBullet"/>
        <w:rPr>
          <w:lang w:eastAsia="ja-JP"/>
        </w:rPr>
      </w:pPr>
      <w:proofErr w:type="gramStart"/>
      <w:r>
        <w:rPr>
          <w:lang w:eastAsia="ja-JP"/>
        </w:rPr>
        <w:t>d</w:t>
      </w:r>
      <w:r w:rsidRPr="00715750">
        <w:rPr>
          <w:lang w:eastAsia="ja-JP"/>
        </w:rPr>
        <w:t>etails</w:t>
      </w:r>
      <w:proofErr w:type="gramEnd"/>
      <w:r w:rsidRPr="00715750">
        <w:rPr>
          <w:lang w:eastAsia="ja-JP"/>
        </w:rPr>
        <w:t xml:space="preserve"> of any alternative model</w:t>
      </w:r>
      <w:r>
        <w:rPr>
          <w:lang w:eastAsia="ja-JP"/>
        </w:rPr>
        <w:t>(s)</w:t>
      </w:r>
      <w:r w:rsidRPr="00715750">
        <w:rPr>
          <w:lang w:eastAsia="ja-JP"/>
        </w:rPr>
        <w:t xml:space="preserve"> of care, costs, and impacts on patients</w:t>
      </w:r>
      <w:r>
        <w:rPr>
          <w:lang w:eastAsia="ja-JP"/>
        </w:rPr>
        <w:t>.</w:t>
      </w:r>
    </w:p>
    <w:p w:rsidR="00826CDE" w:rsidRDefault="00826CDE" w:rsidP="00826CDE">
      <w:pPr>
        <w:pStyle w:val="NormalArial"/>
        <w:spacing w:before="120" w:after="120"/>
        <w:ind w:left="0"/>
        <w:jc w:val="both"/>
        <w:rPr>
          <w:rFonts w:asciiTheme="minorHAnsi" w:hAnsiTheme="minorHAnsi" w:cstheme="minorHAnsi"/>
        </w:rPr>
      </w:pPr>
      <w:r w:rsidRPr="0066663B">
        <w:rPr>
          <w:rFonts w:asciiTheme="minorHAnsi" w:hAnsiTheme="minorHAnsi" w:cstheme="minorHAnsi"/>
        </w:rPr>
        <w:t>Where there is no TGA approval for the new health technology</w:t>
      </w:r>
      <w:r w:rsidRPr="0066663B">
        <w:rPr>
          <w:rFonts w:asciiTheme="minorHAnsi" w:hAnsiTheme="minorHAnsi" w:cstheme="minorHAnsi"/>
          <w:vertAlign w:val="superscript"/>
        </w:rPr>
        <w:footnoteReference w:id="4"/>
      </w:r>
      <w:r w:rsidRPr="0066663B">
        <w:rPr>
          <w:rFonts w:asciiTheme="minorHAnsi" w:hAnsiTheme="minorHAnsi" w:cstheme="minorHAnsi"/>
        </w:rPr>
        <w:t xml:space="preserve">, IHPA will assume that it is research related and </w:t>
      </w:r>
      <w:r>
        <w:rPr>
          <w:rFonts w:asciiTheme="minorHAnsi" w:hAnsiTheme="minorHAnsi" w:cstheme="minorHAnsi"/>
        </w:rPr>
        <w:t xml:space="preserve">no further analysis will occur (unless it is used by patients under the TGA Special Access Scheme). </w:t>
      </w:r>
    </w:p>
    <w:p w:rsidR="00826CDE" w:rsidRPr="0066663B" w:rsidRDefault="00826CDE" w:rsidP="00826CDE">
      <w:pPr>
        <w:pStyle w:val="NormalArial"/>
        <w:spacing w:before="120" w:after="120"/>
        <w:ind w:left="0"/>
        <w:jc w:val="both"/>
        <w:rPr>
          <w:rFonts w:asciiTheme="minorHAnsi" w:hAnsiTheme="minorHAnsi" w:cstheme="minorHAnsi"/>
        </w:rPr>
      </w:pPr>
      <w:r w:rsidRPr="0066663B">
        <w:rPr>
          <w:rFonts w:asciiTheme="minorHAnsi" w:hAnsiTheme="minorHAnsi" w:cstheme="minorHAnsi"/>
        </w:rPr>
        <w:t>The new health technologies must not be already funded by any other Commonwealth programs or research funding sources.</w:t>
      </w:r>
    </w:p>
    <w:p w:rsidR="00826CDE" w:rsidRPr="00826CDE" w:rsidRDefault="00826CDE" w:rsidP="00733EFD">
      <w:pPr>
        <w:pStyle w:val="Heading3"/>
        <w:numPr>
          <w:ilvl w:val="0"/>
          <w:numId w:val="0"/>
        </w:numPr>
        <w:ind w:left="720" w:hanging="720"/>
      </w:pPr>
      <w:bookmarkStart w:id="80" w:name="_Toc417384662"/>
      <w:bookmarkStart w:id="81" w:name="_Toc417384710"/>
      <w:bookmarkStart w:id="82" w:name="_Toc417400972"/>
      <w:bookmarkStart w:id="83" w:name="_Toc417556590"/>
      <w:bookmarkStart w:id="84" w:name="_Toc417561524"/>
      <w:bookmarkStart w:id="85" w:name="_Toc404159085"/>
      <w:bookmarkStart w:id="86" w:name="_Toc449597595"/>
      <w:bookmarkStart w:id="87" w:name="_Toc449620389"/>
      <w:r w:rsidRPr="00826CDE">
        <w:t>(1b) Advice from jurisdictions</w:t>
      </w:r>
      <w:bookmarkEnd w:id="80"/>
      <w:bookmarkEnd w:id="81"/>
      <w:bookmarkEnd w:id="82"/>
      <w:bookmarkEnd w:id="83"/>
      <w:bookmarkEnd w:id="84"/>
      <w:bookmarkEnd w:id="85"/>
      <w:bookmarkEnd w:id="86"/>
      <w:bookmarkEnd w:id="87"/>
    </w:p>
    <w:p w:rsidR="00826CDE" w:rsidRPr="0066663B" w:rsidRDefault="00826CDE" w:rsidP="0069446A">
      <w:pPr>
        <w:pStyle w:val="NormalArial"/>
        <w:spacing w:before="120" w:after="120"/>
        <w:ind w:left="0"/>
        <w:rPr>
          <w:rFonts w:asciiTheme="minorHAnsi" w:hAnsiTheme="minorHAnsi" w:cstheme="minorHAnsi"/>
        </w:rPr>
      </w:pPr>
      <w:r w:rsidRPr="0066663B">
        <w:rPr>
          <w:rFonts w:asciiTheme="minorHAnsi" w:hAnsiTheme="minorHAnsi" w:cstheme="minorHAnsi"/>
        </w:rPr>
        <w:t xml:space="preserve">States and territories are able to make submissions to assist IHPA in accounting for new health technologies prior to </w:t>
      </w:r>
      <w:proofErr w:type="gramStart"/>
      <w:r w:rsidRPr="0066663B">
        <w:rPr>
          <w:rFonts w:asciiTheme="minorHAnsi" w:hAnsiTheme="minorHAnsi" w:cstheme="minorHAnsi"/>
        </w:rPr>
        <w:t>updated</w:t>
      </w:r>
      <w:proofErr w:type="gramEnd"/>
      <w:r w:rsidRPr="0066663B">
        <w:rPr>
          <w:rFonts w:asciiTheme="minorHAnsi" w:hAnsiTheme="minorHAnsi" w:cstheme="minorHAnsi"/>
        </w:rPr>
        <w:t xml:space="preserve"> costing data being available.</w:t>
      </w:r>
      <w:r>
        <w:rPr>
          <w:rFonts w:asciiTheme="minorHAnsi" w:hAnsiTheme="minorHAnsi" w:cstheme="minorHAnsi"/>
        </w:rPr>
        <w:t xml:space="preserve"> However, IHPA notes that jurisdictions have access to forums through which the incorporation of specific new health technologies into the classification system may be suggested and considered (such as the Diagnosis Related Group Technical Group and the International Classification of Diseases Technical Group).</w:t>
      </w:r>
    </w:p>
    <w:p w:rsidR="00826CDE" w:rsidRDefault="00826CDE" w:rsidP="0069446A">
      <w:pPr>
        <w:pStyle w:val="NormalArial"/>
        <w:spacing w:before="120" w:after="120"/>
        <w:ind w:left="0"/>
        <w:rPr>
          <w:rFonts w:asciiTheme="minorHAnsi" w:hAnsiTheme="minorHAnsi" w:cstheme="minorHAnsi"/>
        </w:rPr>
      </w:pPr>
      <w:r w:rsidRPr="0066663B">
        <w:rPr>
          <w:rFonts w:asciiTheme="minorHAnsi" w:hAnsiTheme="minorHAnsi" w:cstheme="minorHAnsi"/>
        </w:rPr>
        <w:t>Some states</w:t>
      </w:r>
      <w:r>
        <w:rPr>
          <w:rFonts w:asciiTheme="minorHAnsi" w:hAnsiTheme="minorHAnsi" w:cstheme="minorHAnsi"/>
        </w:rPr>
        <w:t xml:space="preserve"> and territories</w:t>
      </w:r>
      <w:r w:rsidRPr="0066663B">
        <w:rPr>
          <w:rFonts w:asciiTheme="minorHAnsi" w:hAnsiTheme="minorHAnsi" w:cstheme="minorHAnsi"/>
        </w:rPr>
        <w:t xml:space="preserve"> already have existing technology assessment processes </w:t>
      </w:r>
      <w:r>
        <w:rPr>
          <w:rFonts w:asciiTheme="minorHAnsi" w:hAnsiTheme="minorHAnsi" w:cstheme="minorHAnsi"/>
        </w:rPr>
        <w:t xml:space="preserve">through </w:t>
      </w:r>
      <w:r w:rsidRPr="0066663B">
        <w:rPr>
          <w:rFonts w:asciiTheme="minorHAnsi" w:hAnsiTheme="minorHAnsi" w:cstheme="minorHAnsi"/>
        </w:rPr>
        <w:t xml:space="preserve">which </w:t>
      </w:r>
      <w:r>
        <w:rPr>
          <w:rFonts w:asciiTheme="minorHAnsi" w:hAnsiTheme="minorHAnsi" w:cstheme="minorHAnsi"/>
        </w:rPr>
        <w:t xml:space="preserve">they </w:t>
      </w:r>
      <w:r w:rsidRPr="0066663B">
        <w:rPr>
          <w:rFonts w:asciiTheme="minorHAnsi" w:hAnsiTheme="minorHAnsi" w:cstheme="minorHAnsi"/>
        </w:rPr>
        <w:t>may provide regular advice to IHPA if they wish.</w:t>
      </w:r>
    </w:p>
    <w:p w:rsidR="00826CDE" w:rsidRPr="00D93F3A" w:rsidRDefault="00826CDE" w:rsidP="00733EFD">
      <w:pPr>
        <w:pStyle w:val="Heading3"/>
        <w:numPr>
          <w:ilvl w:val="0"/>
          <w:numId w:val="0"/>
        </w:numPr>
        <w:ind w:left="720" w:hanging="720"/>
      </w:pPr>
      <w:bookmarkStart w:id="88" w:name="_Toc449620390"/>
      <w:r w:rsidRPr="00D93F3A">
        <w:t>(1c) Initial review of submissions</w:t>
      </w:r>
      <w:bookmarkEnd w:id="88"/>
    </w:p>
    <w:p w:rsidR="00826CDE" w:rsidRPr="009A19BC" w:rsidRDefault="00826CDE" w:rsidP="00826CDE">
      <w:pPr>
        <w:pStyle w:val="NormalArial"/>
        <w:spacing w:before="120" w:after="120"/>
        <w:ind w:left="0"/>
        <w:jc w:val="both"/>
        <w:rPr>
          <w:rFonts w:asciiTheme="minorHAnsi" w:hAnsiTheme="minorHAnsi" w:cstheme="minorHAnsi"/>
        </w:rPr>
      </w:pPr>
      <w:r w:rsidRPr="009A19BC">
        <w:rPr>
          <w:rFonts w:asciiTheme="minorHAnsi" w:hAnsiTheme="minorHAnsi" w:cstheme="minorHAnsi"/>
        </w:rPr>
        <w:t>IHPA determines its initial shortlist of new health technologies for further investigation</w:t>
      </w:r>
      <w:r>
        <w:rPr>
          <w:rFonts w:asciiTheme="minorHAnsi" w:hAnsiTheme="minorHAnsi" w:cstheme="minorHAnsi"/>
        </w:rPr>
        <w:t xml:space="preserve"> by CAC</w:t>
      </w:r>
      <w:r w:rsidRPr="009A19BC">
        <w:rPr>
          <w:rFonts w:asciiTheme="minorHAnsi" w:hAnsiTheme="minorHAnsi" w:cstheme="minorHAnsi"/>
        </w:rPr>
        <w:t xml:space="preserve"> </w:t>
      </w:r>
      <w:r>
        <w:rPr>
          <w:rFonts w:asciiTheme="minorHAnsi" w:hAnsiTheme="minorHAnsi" w:cstheme="minorHAnsi"/>
        </w:rPr>
        <w:t xml:space="preserve">based on </w:t>
      </w:r>
      <w:r w:rsidRPr="009A19BC">
        <w:rPr>
          <w:rFonts w:asciiTheme="minorHAnsi" w:hAnsiTheme="minorHAnsi" w:cstheme="minorHAnsi"/>
        </w:rPr>
        <w:t>the following considerations:</w:t>
      </w:r>
    </w:p>
    <w:p w:rsidR="00826CDE" w:rsidRPr="009A19BC" w:rsidRDefault="00826CDE" w:rsidP="00620C52">
      <w:pPr>
        <w:pStyle w:val="ListBullet"/>
        <w:rPr>
          <w:lang w:eastAsia="ja-JP"/>
        </w:rPr>
      </w:pPr>
      <w:r>
        <w:rPr>
          <w:lang w:eastAsia="ja-JP"/>
        </w:rPr>
        <w:t>u</w:t>
      </w:r>
      <w:r w:rsidRPr="009A19BC">
        <w:rPr>
          <w:lang w:eastAsia="ja-JP"/>
        </w:rPr>
        <w:t xml:space="preserve">ptake – whether the technology is in use in Australian public hospitals or its expected uptake </w:t>
      </w:r>
      <w:r>
        <w:rPr>
          <w:lang w:eastAsia="ja-JP"/>
        </w:rPr>
        <w:t>in Australian public hospitals; w</w:t>
      </w:r>
      <w:r w:rsidRPr="009A19BC">
        <w:rPr>
          <w:lang w:eastAsia="ja-JP"/>
        </w:rPr>
        <w:t>here uptake is expected to be small, c</w:t>
      </w:r>
      <w:r>
        <w:rPr>
          <w:lang w:eastAsia="ja-JP"/>
        </w:rPr>
        <w:t>lassification development is a low priority;</w:t>
      </w:r>
    </w:p>
    <w:p w:rsidR="00826CDE" w:rsidRPr="009A19BC" w:rsidRDefault="00826CDE" w:rsidP="00620C52">
      <w:pPr>
        <w:pStyle w:val="ListBullet"/>
        <w:rPr>
          <w:lang w:eastAsia="ja-JP"/>
        </w:rPr>
      </w:pPr>
      <w:r>
        <w:rPr>
          <w:lang w:eastAsia="ja-JP"/>
        </w:rPr>
        <w:t>c</w:t>
      </w:r>
      <w:r w:rsidRPr="009A19BC">
        <w:rPr>
          <w:lang w:eastAsia="ja-JP"/>
        </w:rPr>
        <w:t>ost difference –</w:t>
      </w:r>
      <w:r>
        <w:rPr>
          <w:lang w:eastAsia="ja-JP"/>
        </w:rPr>
        <w:t xml:space="preserve"> </w:t>
      </w:r>
      <w:r w:rsidRPr="009A19BC">
        <w:rPr>
          <w:lang w:eastAsia="ja-JP"/>
        </w:rPr>
        <w:t>the difference between the price weight for the most frequently mapped DRG and the technology’s cost estimate</w:t>
      </w:r>
      <w:r>
        <w:rPr>
          <w:lang w:eastAsia="ja-JP"/>
        </w:rPr>
        <w:t>; w</w:t>
      </w:r>
      <w:r w:rsidRPr="009A19BC">
        <w:rPr>
          <w:lang w:eastAsia="ja-JP"/>
        </w:rPr>
        <w:t>here the difference is small, classificatio</w:t>
      </w:r>
      <w:r>
        <w:rPr>
          <w:lang w:eastAsia="ja-JP"/>
        </w:rPr>
        <w:t>n development is a low priority;</w:t>
      </w:r>
    </w:p>
    <w:p w:rsidR="00826CDE" w:rsidRPr="009A19BC" w:rsidRDefault="00826CDE" w:rsidP="00620C52">
      <w:pPr>
        <w:pStyle w:val="ListBullet"/>
        <w:rPr>
          <w:lang w:eastAsia="ja-JP"/>
        </w:rPr>
      </w:pPr>
      <w:r>
        <w:rPr>
          <w:lang w:eastAsia="ja-JP"/>
        </w:rPr>
        <w:t>m</w:t>
      </w:r>
      <w:r w:rsidRPr="009A19BC">
        <w:rPr>
          <w:lang w:eastAsia="ja-JP"/>
        </w:rPr>
        <w:t>ateriality</w:t>
      </w:r>
      <w:r>
        <w:rPr>
          <w:lang w:eastAsia="ja-JP"/>
        </w:rPr>
        <w:t xml:space="preserve"> </w:t>
      </w:r>
      <w:r w:rsidRPr="009A19BC">
        <w:rPr>
          <w:lang w:eastAsia="ja-JP"/>
        </w:rPr>
        <w:t xml:space="preserve">– </w:t>
      </w:r>
      <w:r>
        <w:rPr>
          <w:lang w:eastAsia="ja-JP"/>
        </w:rPr>
        <w:t>t</w:t>
      </w:r>
      <w:r w:rsidRPr="009A19BC">
        <w:rPr>
          <w:lang w:eastAsia="ja-JP"/>
        </w:rPr>
        <w:t xml:space="preserve">he total cost of the mapped </w:t>
      </w:r>
      <w:r>
        <w:rPr>
          <w:lang w:eastAsia="ja-JP"/>
        </w:rPr>
        <w:t>DRGs and the number of patients;</w:t>
      </w:r>
    </w:p>
    <w:p w:rsidR="00826CDE" w:rsidRPr="009A19BC" w:rsidRDefault="00826CDE" w:rsidP="00620C52">
      <w:pPr>
        <w:pStyle w:val="ListBullet"/>
        <w:rPr>
          <w:lang w:eastAsia="ja-JP"/>
        </w:rPr>
      </w:pPr>
      <w:proofErr w:type="gramStart"/>
      <w:r>
        <w:rPr>
          <w:lang w:eastAsia="ja-JP"/>
        </w:rPr>
        <w:t>f</w:t>
      </w:r>
      <w:r w:rsidRPr="009A19BC">
        <w:rPr>
          <w:lang w:eastAsia="ja-JP"/>
        </w:rPr>
        <w:t>easibility</w:t>
      </w:r>
      <w:proofErr w:type="gramEnd"/>
      <w:r w:rsidRPr="009A19BC">
        <w:rPr>
          <w:lang w:eastAsia="ja-JP"/>
        </w:rPr>
        <w:t xml:space="preserve"> of classification development –</w:t>
      </w:r>
      <w:r>
        <w:rPr>
          <w:lang w:eastAsia="ja-JP"/>
        </w:rPr>
        <w:t xml:space="preserve"> </w:t>
      </w:r>
      <w:r w:rsidRPr="009A19BC">
        <w:rPr>
          <w:lang w:eastAsia="ja-JP"/>
        </w:rPr>
        <w:t xml:space="preserve">diagnostic tests and pharmaceuticals </w:t>
      </w:r>
      <w:r>
        <w:rPr>
          <w:lang w:eastAsia="ja-JP"/>
        </w:rPr>
        <w:t xml:space="preserve">will generally be excluded </w:t>
      </w:r>
      <w:r w:rsidRPr="009A19BC">
        <w:rPr>
          <w:lang w:eastAsia="ja-JP"/>
        </w:rPr>
        <w:t xml:space="preserve">from consideration as they are not currently coded for admitted patients and cannot be accounted for without imposing an additional reporting burden on jurisdictions for uncertain benefit. IHPA also considers the maturity of the classification and whether classification development to account for the technology is possible. For example, the </w:t>
      </w:r>
      <w:r>
        <w:rPr>
          <w:lang w:eastAsia="ja-JP"/>
        </w:rPr>
        <w:t xml:space="preserve">Tier 2 </w:t>
      </w:r>
      <w:r w:rsidRPr="009A19BC">
        <w:rPr>
          <w:lang w:eastAsia="ja-JP"/>
        </w:rPr>
        <w:t>non-admitted classification is clinic-based and does not differentiate between different technologies used in the clinic to treat patients.</w:t>
      </w:r>
    </w:p>
    <w:p w:rsidR="00826CDE" w:rsidRPr="009D6DAF" w:rsidRDefault="00826CDE" w:rsidP="00733EFD">
      <w:pPr>
        <w:pStyle w:val="Heading2"/>
        <w:numPr>
          <w:ilvl w:val="0"/>
          <w:numId w:val="0"/>
        </w:numPr>
        <w:ind w:left="576" w:hanging="576"/>
        <w:rPr>
          <w:caps/>
        </w:rPr>
      </w:pPr>
      <w:bookmarkStart w:id="89" w:name="_Toc449620391"/>
      <w:bookmarkStart w:id="90" w:name="_Toc508369814"/>
      <w:bookmarkStart w:id="91" w:name="_Toc508371482"/>
      <w:bookmarkStart w:id="92" w:name="_Toc508371538"/>
      <w:bookmarkStart w:id="93" w:name="_Toc508378924"/>
      <w:r w:rsidRPr="009D6DAF">
        <w:t>Stage 2: CAC prioritisation</w:t>
      </w:r>
      <w:bookmarkEnd w:id="89"/>
      <w:bookmarkEnd w:id="90"/>
      <w:bookmarkEnd w:id="91"/>
      <w:bookmarkEnd w:id="92"/>
      <w:bookmarkEnd w:id="93"/>
      <w:r w:rsidRPr="009D6DAF">
        <w:t xml:space="preserve"> </w:t>
      </w:r>
    </w:p>
    <w:p w:rsidR="00826CDE" w:rsidRDefault="00826CDE" w:rsidP="00826CDE">
      <w:pPr>
        <w:pStyle w:val="NormalArial"/>
        <w:spacing w:before="120" w:after="120"/>
        <w:ind w:left="0"/>
        <w:jc w:val="both"/>
        <w:rPr>
          <w:rFonts w:asciiTheme="minorHAnsi" w:hAnsiTheme="minorHAnsi" w:cstheme="minorHAnsi"/>
        </w:rPr>
      </w:pPr>
      <w:r w:rsidRPr="0066663B">
        <w:rPr>
          <w:rFonts w:asciiTheme="minorHAnsi" w:hAnsiTheme="minorHAnsi" w:cstheme="minorHAnsi"/>
        </w:rPr>
        <w:t xml:space="preserve">IHPA will seek advice from </w:t>
      </w:r>
      <w:r>
        <w:rPr>
          <w:rFonts w:asciiTheme="minorHAnsi" w:hAnsiTheme="minorHAnsi" w:cstheme="minorHAnsi"/>
        </w:rPr>
        <w:t xml:space="preserve">the </w:t>
      </w:r>
      <w:r w:rsidRPr="0066663B">
        <w:rPr>
          <w:rFonts w:asciiTheme="minorHAnsi" w:hAnsiTheme="minorHAnsi" w:cstheme="minorHAnsi"/>
        </w:rPr>
        <w:t>CAC</w:t>
      </w:r>
      <w:r>
        <w:rPr>
          <w:rFonts w:asciiTheme="minorHAnsi" w:hAnsiTheme="minorHAnsi" w:cstheme="minorHAnsi"/>
        </w:rPr>
        <w:t xml:space="preserve"> on which technologies should be progressed to Stage 3 to further investigate whether they are adequately accounted for in the classification system.</w:t>
      </w:r>
    </w:p>
    <w:p w:rsidR="00826CDE" w:rsidRPr="00715750" w:rsidRDefault="00826CDE" w:rsidP="00620C52">
      <w:pPr>
        <w:pStyle w:val="ListBullet"/>
        <w:rPr>
          <w:lang w:eastAsia="ja-JP"/>
        </w:rPr>
      </w:pPr>
      <w:r>
        <w:rPr>
          <w:lang w:eastAsia="ja-JP"/>
        </w:rPr>
        <w:t>CAC may also draw on the expertise of relevant clinical stakeholders when considering the new health technology, such as seeking the advice of clinical colleges.</w:t>
      </w:r>
    </w:p>
    <w:p w:rsidR="00826CDE" w:rsidRPr="009D6DAF" w:rsidRDefault="00826CDE" w:rsidP="00733EFD">
      <w:pPr>
        <w:pStyle w:val="Heading2"/>
        <w:numPr>
          <w:ilvl w:val="0"/>
          <w:numId w:val="0"/>
        </w:numPr>
        <w:ind w:left="576" w:hanging="576"/>
        <w:rPr>
          <w:bCs/>
          <w:caps/>
        </w:rPr>
      </w:pPr>
      <w:bookmarkStart w:id="94" w:name="_Toc449620393"/>
      <w:bookmarkStart w:id="95" w:name="_Toc508369815"/>
      <w:bookmarkStart w:id="96" w:name="_Toc508371483"/>
      <w:bookmarkStart w:id="97" w:name="_Toc508371539"/>
      <w:bookmarkStart w:id="98" w:name="_Toc508378925"/>
      <w:r w:rsidRPr="009D6DAF">
        <w:rPr>
          <w:bCs/>
        </w:rPr>
        <w:t>Stage 3: Assessment</w:t>
      </w:r>
      <w:bookmarkEnd w:id="94"/>
      <w:bookmarkEnd w:id="95"/>
      <w:bookmarkEnd w:id="96"/>
      <w:bookmarkEnd w:id="97"/>
      <w:bookmarkEnd w:id="98"/>
    </w:p>
    <w:p w:rsidR="00826CDE" w:rsidRPr="00D93F3A" w:rsidRDefault="00826CDE" w:rsidP="00733EFD">
      <w:pPr>
        <w:pStyle w:val="Heading3"/>
        <w:numPr>
          <w:ilvl w:val="0"/>
          <w:numId w:val="0"/>
        </w:numPr>
        <w:ind w:left="720" w:hanging="720"/>
      </w:pPr>
      <w:bookmarkStart w:id="99" w:name="_Toc404159088"/>
      <w:bookmarkStart w:id="100" w:name="_Toc417384665"/>
      <w:bookmarkStart w:id="101" w:name="_Toc417384713"/>
      <w:bookmarkStart w:id="102" w:name="_Toc417400975"/>
      <w:bookmarkStart w:id="103" w:name="_Toc417556593"/>
      <w:bookmarkStart w:id="104" w:name="_Toc417561527"/>
      <w:bookmarkStart w:id="105" w:name="_Toc449597599"/>
      <w:bookmarkStart w:id="106" w:name="_Toc449620394"/>
      <w:r w:rsidRPr="00D93F3A">
        <w:t>(3a) IHPA consults with jurisdictions on new health technology implementation</w:t>
      </w:r>
      <w:bookmarkEnd w:id="99"/>
      <w:bookmarkEnd w:id="100"/>
      <w:bookmarkEnd w:id="101"/>
      <w:bookmarkEnd w:id="102"/>
      <w:bookmarkEnd w:id="103"/>
      <w:bookmarkEnd w:id="104"/>
      <w:bookmarkEnd w:id="105"/>
      <w:bookmarkEnd w:id="106"/>
      <w:r w:rsidRPr="00D93F3A">
        <w:t xml:space="preserve"> </w:t>
      </w:r>
    </w:p>
    <w:p w:rsidR="00826CDE" w:rsidRPr="0066663B" w:rsidRDefault="00826CDE" w:rsidP="00826CDE">
      <w:pPr>
        <w:pStyle w:val="NormalArial"/>
        <w:spacing w:before="120" w:after="120"/>
        <w:ind w:left="0" w:right="-188"/>
        <w:jc w:val="both"/>
        <w:rPr>
          <w:rFonts w:asciiTheme="minorHAnsi" w:hAnsiTheme="minorHAnsi" w:cstheme="minorHAnsi"/>
        </w:rPr>
      </w:pPr>
      <w:r w:rsidRPr="0066663B">
        <w:rPr>
          <w:rFonts w:asciiTheme="minorHAnsi" w:hAnsiTheme="minorHAnsi" w:cstheme="minorHAnsi"/>
        </w:rPr>
        <w:t xml:space="preserve">IHPA will consult with jurisdictions through its Jurisdictional Advisory Committee to confirm </w:t>
      </w:r>
      <w:r>
        <w:rPr>
          <w:rFonts w:asciiTheme="minorHAnsi" w:hAnsiTheme="minorHAnsi" w:cstheme="minorHAnsi"/>
        </w:rPr>
        <w:t xml:space="preserve">whether </w:t>
      </w:r>
      <w:r w:rsidRPr="0066663B">
        <w:rPr>
          <w:rFonts w:asciiTheme="minorHAnsi" w:hAnsiTheme="minorHAnsi" w:cstheme="minorHAnsi"/>
        </w:rPr>
        <w:t>the new health technology is used across the jurisdictions and whether it is adequately accounted for in the national pricing model</w:t>
      </w:r>
      <w:r>
        <w:rPr>
          <w:rFonts w:asciiTheme="minorHAnsi" w:hAnsiTheme="minorHAnsi" w:cstheme="minorHAnsi"/>
        </w:rPr>
        <w:t>. IHPA will give</w:t>
      </w:r>
      <w:r w:rsidRPr="0066663B">
        <w:rPr>
          <w:rFonts w:asciiTheme="minorHAnsi" w:hAnsiTheme="minorHAnsi" w:cstheme="minorHAnsi"/>
        </w:rPr>
        <w:t xml:space="preserve"> jurisdictions (in writing):</w:t>
      </w:r>
    </w:p>
    <w:p w:rsidR="00826CDE" w:rsidRPr="00715750" w:rsidRDefault="00826CDE" w:rsidP="003C4254">
      <w:pPr>
        <w:pStyle w:val="ListBullet"/>
        <w:rPr>
          <w:lang w:eastAsia="ja-JP"/>
        </w:rPr>
      </w:pPr>
      <w:r w:rsidRPr="00715750">
        <w:rPr>
          <w:lang w:eastAsia="ja-JP"/>
        </w:rPr>
        <w:t>details of the new</w:t>
      </w:r>
      <w:r>
        <w:rPr>
          <w:lang w:eastAsia="ja-JP"/>
        </w:rPr>
        <w:t xml:space="preserve"> health</w:t>
      </w:r>
      <w:r w:rsidRPr="00715750">
        <w:rPr>
          <w:lang w:eastAsia="ja-JP"/>
        </w:rPr>
        <w:t xml:space="preserve"> technologies identified in </w:t>
      </w:r>
      <w:r>
        <w:rPr>
          <w:lang w:eastAsia="ja-JP"/>
        </w:rPr>
        <w:t>S</w:t>
      </w:r>
      <w:r w:rsidRPr="00715750">
        <w:rPr>
          <w:lang w:eastAsia="ja-JP"/>
        </w:rPr>
        <w:t xml:space="preserve">tage </w:t>
      </w:r>
      <w:r>
        <w:rPr>
          <w:lang w:eastAsia="ja-JP"/>
        </w:rPr>
        <w:t>2</w:t>
      </w:r>
      <w:r w:rsidRPr="00715750">
        <w:rPr>
          <w:lang w:eastAsia="ja-JP"/>
        </w:rPr>
        <w:t>;</w:t>
      </w:r>
    </w:p>
    <w:p w:rsidR="00826CDE" w:rsidRPr="00715750" w:rsidRDefault="00826CDE" w:rsidP="003C4254">
      <w:pPr>
        <w:pStyle w:val="ListBullet"/>
        <w:rPr>
          <w:lang w:eastAsia="ja-JP"/>
        </w:rPr>
      </w:pPr>
      <w:r w:rsidRPr="00715750">
        <w:rPr>
          <w:lang w:eastAsia="ja-JP"/>
        </w:rPr>
        <w:t>an invitation to make a written submission to IHPA about the following within 45 days</w:t>
      </w:r>
      <w:r>
        <w:rPr>
          <w:lang w:eastAsia="ja-JP"/>
        </w:rPr>
        <w:t>:</w:t>
      </w:r>
      <w:r w:rsidRPr="00715750">
        <w:rPr>
          <w:lang w:eastAsia="ja-JP"/>
        </w:rPr>
        <w:t xml:space="preserve"> </w:t>
      </w:r>
    </w:p>
    <w:p w:rsidR="00826CDE" w:rsidRPr="00715750" w:rsidRDefault="00826CDE" w:rsidP="003C4254">
      <w:pPr>
        <w:pStyle w:val="ListBullet"/>
        <w:rPr>
          <w:lang w:eastAsia="ja-JP"/>
        </w:rPr>
      </w:pPr>
      <w:r w:rsidRPr="00715750">
        <w:rPr>
          <w:lang w:eastAsia="ja-JP"/>
        </w:rPr>
        <w:t>take-up / implementation by hospital and by year</w:t>
      </w:r>
      <w:r>
        <w:rPr>
          <w:lang w:eastAsia="ja-JP"/>
        </w:rPr>
        <w:t>;</w:t>
      </w:r>
    </w:p>
    <w:p w:rsidR="00826CDE" w:rsidRPr="00715750" w:rsidRDefault="00826CDE" w:rsidP="003C4254">
      <w:pPr>
        <w:pStyle w:val="ListBullet"/>
        <w:rPr>
          <w:lang w:eastAsia="ja-JP"/>
        </w:rPr>
      </w:pPr>
      <w:r w:rsidRPr="00715750">
        <w:rPr>
          <w:lang w:eastAsia="ja-JP"/>
        </w:rPr>
        <w:t>cost of the technology (may also include costing data such as average cost per episode of care)</w:t>
      </w:r>
      <w:r>
        <w:rPr>
          <w:lang w:eastAsia="ja-JP"/>
        </w:rPr>
        <w:t>;</w:t>
      </w:r>
    </w:p>
    <w:p w:rsidR="00826CDE" w:rsidRPr="00715750" w:rsidRDefault="00826CDE" w:rsidP="003C4254">
      <w:pPr>
        <w:pStyle w:val="ListBullet"/>
        <w:rPr>
          <w:lang w:eastAsia="ja-JP"/>
        </w:rPr>
      </w:pPr>
      <w:r w:rsidRPr="00715750">
        <w:rPr>
          <w:lang w:eastAsia="ja-JP"/>
        </w:rPr>
        <w:t>studies completed / planned including impact on service delivery, patient’s quality of life, other evaluation, cost effectiveness analyses, cost-benefit analyses</w:t>
      </w:r>
      <w:r>
        <w:rPr>
          <w:lang w:eastAsia="ja-JP"/>
        </w:rPr>
        <w:t>;</w:t>
      </w:r>
    </w:p>
    <w:p w:rsidR="00826CDE" w:rsidRPr="00715750" w:rsidRDefault="00826CDE" w:rsidP="003C4254">
      <w:pPr>
        <w:pStyle w:val="ListBullet"/>
        <w:rPr>
          <w:lang w:eastAsia="ja-JP"/>
        </w:rPr>
      </w:pPr>
      <w:r w:rsidRPr="00715750">
        <w:rPr>
          <w:lang w:eastAsia="ja-JP"/>
        </w:rPr>
        <w:t>implementation schedule</w:t>
      </w:r>
      <w:r>
        <w:rPr>
          <w:lang w:eastAsia="ja-JP"/>
        </w:rPr>
        <w:t>; and</w:t>
      </w:r>
    </w:p>
    <w:p w:rsidR="00826CDE" w:rsidRPr="00715750" w:rsidRDefault="00826CDE" w:rsidP="003C4254">
      <w:pPr>
        <w:pStyle w:val="ListBullet"/>
        <w:rPr>
          <w:lang w:eastAsia="ja-JP"/>
        </w:rPr>
      </w:pPr>
      <w:proofErr w:type="gramStart"/>
      <w:r w:rsidRPr="00715750">
        <w:rPr>
          <w:lang w:eastAsia="ja-JP"/>
        </w:rPr>
        <w:t>details</w:t>
      </w:r>
      <w:proofErr w:type="gramEnd"/>
      <w:r w:rsidRPr="00715750">
        <w:rPr>
          <w:lang w:eastAsia="ja-JP"/>
        </w:rPr>
        <w:t xml:space="preserve"> of changes to model</w:t>
      </w:r>
      <w:r>
        <w:rPr>
          <w:lang w:eastAsia="ja-JP"/>
        </w:rPr>
        <w:t>(s)</w:t>
      </w:r>
      <w:r w:rsidRPr="00715750">
        <w:rPr>
          <w:lang w:eastAsia="ja-JP"/>
        </w:rPr>
        <w:t xml:space="preserve"> of care and associated impacts</w:t>
      </w:r>
      <w:r>
        <w:rPr>
          <w:lang w:eastAsia="ja-JP"/>
        </w:rPr>
        <w:t>.</w:t>
      </w:r>
    </w:p>
    <w:p w:rsidR="00826CDE" w:rsidRPr="00715750" w:rsidRDefault="00826CDE" w:rsidP="003C4254">
      <w:pPr>
        <w:pStyle w:val="ListBullet"/>
        <w:rPr>
          <w:lang w:eastAsia="ja-JP"/>
        </w:rPr>
      </w:pPr>
      <w:proofErr w:type="gramStart"/>
      <w:r w:rsidRPr="00715750">
        <w:rPr>
          <w:lang w:eastAsia="ja-JP"/>
        </w:rPr>
        <w:t>where</w:t>
      </w:r>
      <w:proofErr w:type="gramEnd"/>
      <w:r w:rsidRPr="00715750">
        <w:rPr>
          <w:lang w:eastAsia="ja-JP"/>
        </w:rPr>
        <w:t xml:space="preserve"> applicable, IHPA will request that the jurisdictions provide supporting evidence to assist the assessment at the national level.</w:t>
      </w:r>
    </w:p>
    <w:p w:rsidR="00826CDE" w:rsidRPr="00D93F3A" w:rsidRDefault="00826CDE" w:rsidP="00733EFD">
      <w:pPr>
        <w:pStyle w:val="Heading3"/>
        <w:numPr>
          <w:ilvl w:val="0"/>
          <w:numId w:val="0"/>
        </w:numPr>
        <w:ind w:left="720" w:hanging="720"/>
      </w:pPr>
      <w:bookmarkStart w:id="107" w:name="_Toc404159089"/>
      <w:bookmarkStart w:id="108" w:name="_Toc417384666"/>
      <w:bookmarkStart w:id="109" w:name="_Toc417384714"/>
      <w:bookmarkStart w:id="110" w:name="_Toc417400976"/>
      <w:bookmarkStart w:id="111" w:name="_Toc417556594"/>
      <w:bookmarkStart w:id="112" w:name="_Toc417561528"/>
      <w:bookmarkStart w:id="113" w:name="_Toc449597600"/>
      <w:bookmarkStart w:id="114" w:name="_Toc449620395"/>
      <w:r w:rsidRPr="00D93F3A">
        <w:t>(3b) IHPA reviews written submissions</w:t>
      </w:r>
      <w:bookmarkEnd w:id="107"/>
      <w:bookmarkEnd w:id="108"/>
      <w:bookmarkEnd w:id="109"/>
      <w:bookmarkEnd w:id="110"/>
      <w:bookmarkEnd w:id="111"/>
      <w:bookmarkEnd w:id="112"/>
      <w:bookmarkEnd w:id="113"/>
      <w:bookmarkEnd w:id="114"/>
    </w:p>
    <w:p w:rsidR="00826CDE" w:rsidRPr="0066663B" w:rsidRDefault="00826CDE" w:rsidP="00826CDE">
      <w:pPr>
        <w:pStyle w:val="NormalArial"/>
        <w:spacing w:before="120" w:after="120"/>
        <w:ind w:left="0"/>
        <w:jc w:val="both"/>
        <w:rPr>
          <w:rFonts w:asciiTheme="minorHAnsi" w:hAnsiTheme="minorHAnsi" w:cstheme="minorHAnsi"/>
        </w:rPr>
      </w:pPr>
      <w:r w:rsidRPr="0066663B">
        <w:rPr>
          <w:rFonts w:asciiTheme="minorHAnsi" w:hAnsiTheme="minorHAnsi" w:cstheme="minorHAnsi"/>
        </w:rPr>
        <w:t xml:space="preserve">Where required, IHPA may: </w:t>
      </w:r>
    </w:p>
    <w:p w:rsidR="00826CDE" w:rsidRPr="00715750" w:rsidRDefault="00826CDE" w:rsidP="00620C52">
      <w:pPr>
        <w:pStyle w:val="ListBullet"/>
        <w:rPr>
          <w:lang w:eastAsia="ja-JP"/>
        </w:rPr>
      </w:pPr>
      <w:r w:rsidRPr="00715750">
        <w:rPr>
          <w:lang w:eastAsia="ja-JP"/>
        </w:rPr>
        <w:t xml:space="preserve">request additional evidence (e.g. data, information, agreements, </w:t>
      </w:r>
      <w:r w:rsidR="0007180F" w:rsidRPr="00715750">
        <w:rPr>
          <w:lang w:eastAsia="ja-JP"/>
        </w:rPr>
        <w:t>etc.</w:t>
      </w:r>
      <w:r w:rsidRPr="00715750">
        <w:rPr>
          <w:lang w:eastAsia="ja-JP"/>
        </w:rPr>
        <w:t>) to clarify facts and ambiguities in the assessment process;</w:t>
      </w:r>
    </w:p>
    <w:p w:rsidR="00826CDE" w:rsidRPr="00715750" w:rsidRDefault="00826CDE" w:rsidP="00620C52">
      <w:pPr>
        <w:pStyle w:val="ListBullet"/>
        <w:rPr>
          <w:lang w:eastAsia="ja-JP"/>
        </w:rPr>
      </w:pPr>
      <w:r w:rsidRPr="00715750">
        <w:rPr>
          <w:lang w:eastAsia="ja-JP"/>
        </w:rPr>
        <w:t xml:space="preserve">consult further where required; and </w:t>
      </w:r>
    </w:p>
    <w:p w:rsidR="00826CDE" w:rsidRPr="00715750" w:rsidRDefault="00826CDE" w:rsidP="00620C52">
      <w:pPr>
        <w:pStyle w:val="ListBullet"/>
        <w:rPr>
          <w:lang w:eastAsia="ja-JP"/>
        </w:rPr>
      </w:pPr>
      <w:proofErr w:type="gramStart"/>
      <w:r w:rsidRPr="00715750">
        <w:rPr>
          <w:lang w:eastAsia="ja-JP"/>
        </w:rPr>
        <w:t>seek</w:t>
      </w:r>
      <w:proofErr w:type="gramEnd"/>
      <w:r w:rsidRPr="00715750">
        <w:rPr>
          <w:lang w:eastAsia="ja-JP"/>
        </w:rPr>
        <w:t xml:space="preserve"> expert input / advice.</w:t>
      </w:r>
    </w:p>
    <w:p w:rsidR="00826CDE" w:rsidRDefault="00826CDE" w:rsidP="00826CDE">
      <w:pPr>
        <w:pStyle w:val="NormalArial"/>
        <w:spacing w:before="120" w:after="240"/>
        <w:ind w:left="0"/>
        <w:jc w:val="both"/>
        <w:rPr>
          <w:rFonts w:asciiTheme="minorHAnsi" w:hAnsiTheme="minorHAnsi" w:cstheme="minorHAnsi"/>
        </w:rPr>
      </w:pPr>
      <w:r w:rsidRPr="0066663B">
        <w:rPr>
          <w:rFonts w:asciiTheme="minorHAnsi" w:hAnsiTheme="minorHAnsi" w:cstheme="minorHAnsi"/>
        </w:rPr>
        <w:t xml:space="preserve">To support the timeliness of the investigation, additional information will generally be requested to be provided within </w:t>
      </w:r>
      <w:r>
        <w:rPr>
          <w:rFonts w:asciiTheme="minorHAnsi" w:hAnsiTheme="minorHAnsi" w:cstheme="minorHAnsi"/>
        </w:rPr>
        <w:t>45</w:t>
      </w:r>
      <w:r w:rsidRPr="0066663B">
        <w:rPr>
          <w:rFonts w:asciiTheme="minorHAnsi" w:hAnsiTheme="minorHAnsi" w:cstheme="minorHAnsi"/>
        </w:rPr>
        <w:t xml:space="preserve"> days after receiving the written request.</w:t>
      </w:r>
    </w:p>
    <w:p w:rsidR="00826CDE" w:rsidRPr="009D6DAF" w:rsidRDefault="00826CDE" w:rsidP="00733EFD">
      <w:pPr>
        <w:pStyle w:val="Heading2"/>
        <w:numPr>
          <w:ilvl w:val="0"/>
          <w:numId w:val="0"/>
        </w:numPr>
        <w:ind w:left="576" w:hanging="576"/>
        <w:rPr>
          <w:caps/>
        </w:rPr>
      </w:pPr>
      <w:bookmarkStart w:id="115" w:name="_Toc449620396"/>
      <w:bookmarkStart w:id="116" w:name="_Toc508369816"/>
      <w:bookmarkStart w:id="117" w:name="_Toc508371484"/>
      <w:bookmarkStart w:id="118" w:name="_Toc508371540"/>
      <w:bookmarkStart w:id="119" w:name="_Toc508378926"/>
      <w:r w:rsidRPr="009D6DAF">
        <w:t>Stage 4: Classification analysis</w:t>
      </w:r>
      <w:bookmarkEnd w:id="115"/>
      <w:bookmarkEnd w:id="116"/>
      <w:bookmarkEnd w:id="117"/>
      <w:bookmarkEnd w:id="118"/>
      <w:bookmarkEnd w:id="119"/>
    </w:p>
    <w:p w:rsidR="00826CDE" w:rsidRPr="00D93F3A" w:rsidRDefault="00826CDE" w:rsidP="00733EFD">
      <w:pPr>
        <w:pStyle w:val="Heading3"/>
        <w:numPr>
          <w:ilvl w:val="0"/>
          <w:numId w:val="0"/>
        </w:numPr>
        <w:ind w:left="720" w:hanging="720"/>
      </w:pPr>
      <w:bookmarkStart w:id="120" w:name="_Toc404159093"/>
      <w:bookmarkStart w:id="121" w:name="_Toc417384670"/>
      <w:bookmarkStart w:id="122" w:name="_Toc417384718"/>
      <w:bookmarkStart w:id="123" w:name="_Toc417400980"/>
      <w:bookmarkStart w:id="124" w:name="_Toc417556598"/>
      <w:bookmarkStart w:id="125" w:name="_Toc417561532"/>
      <w:bookmarkStart w:id="126" w:name="_Toc449597602"/>
      <w:bookmarkStart w:id="127" w:name="_Toc449620397"/>
      <w:r w:rsidRPr="00D93F3A">
        <w:t>(4a) Conduct additional work</w:t>
      </w:r>
      <w:bookmarkEnd w:id="120"/>
      <w:bookmarkEnd w:id="121"/>
      <w:bookmarkEnd w:id="122"/>
      <w:bookmarkEnd w:id="123"/>
      <w:bookmarkEnd w:id="124"/>
      <w:bookmarkEnd w:id="125"/>
      <w:bookmarkEnd w:id="126"/>
      <w:bookmarkEnd w:id="127"/>
    </w:p>
    <w:p w:rsidR="00826CDE" w:rsidRPr="0066663B" w:rsidRDefault="00826CDE" w:rsidP="00826CDE">
      <w:pPr>
        <w:pStyle w:val="NormalArial"/>
        <w:spacing w:before="120" w:after="120"/>
        <w:ind w:left="0"/>
        <w:jc w:val="both"/>
        <w:rPr>
          <w:rFonts w:asciiTheme="minorHAnsi" w:hAnsiTheme="minorHAnsi" w:cstheme="minorHAnsi"/>
        </w:rPr>
      </w:pPr>
      <w:r w:rsidRPr="0066663B">
        <w:rPr>
          <w:rFonts w:asciiTheme="minorHAnsi" w:hAnsiTheme="minorHAnsi" w:cstheme="minorHAnsi"/>
        </w:rPr>
        <w:t>Based on the recommendations of the CAC</w:t>
      </w:r>
      <w:r>
        <w:rPr>
          <w:rFonts w:asciiTheme="minorHAnsi" w:hAnsiTheme="minorHAnsi" w:cstheme="minorHAnsi"/>
        </w:rPr>
        <w:t xml:space="preserve"> and advice from the jurisdictions</w:t>
      </w:r>
      <w:r w:rsidRPr="0066663B">
        <w:rPr>
          <w:rFonts w:asciiTheme="minorHAnsi" w:hAnsiTheme="minorHAnsi" w:cstheme="minorHAnsi"/>
        </w:rPr>
        <w:t>, IHPA will conduct additional analysis to assess the impact on classification systems.</w:t>
      </w:r>
    </w:p>
    <w:p w:rsidR="00826CDE" w:rsidRPr="0066663B" w:rsidRDefault="00826CDE" w:rsidP="00826CDE">
      <w:pPr>
        <w:pStyle w:val="NormalArial"/>
        <w:spacing w:before="120" w:after="120"/>
        <w:ind w:left="0"/>
        <w:jc w:val="both"/>
        <w:rPr>
          <w:rFonts w:asciiTheme="minorHAnsi" w:hAnsiTheme="minorHAnsi" w:cstheme="minorHAnsi"/>
        </w:rPr>
      </w:pPr>
      <w:r w:rsidRPr="0066663B">
        <w:rPr>
          <w:rFonts w:asciiTheme="minorHAnsi" w:hAnsiTheme="minorHAnsi" w:cstheme="minorHAnsi"/>
        </w:rPr>
        <w:t>Recommendations for AR-DRG change are subject to clinical review and data impact analysis which will be managed by the DRG Technical Group. Specialty clinical reference groups will be called on as required to provide clinical advice on requests for changes to the AR-DRG.</w:t>
      </w:r>
    </w:p>
    <w:p w:rsidR="00826CDE" w:rsidRPr="0066663B" w:rsidRDefault="00826CDE" w:rsidP="00826CDE">
      <w:pPr>
        <w:pStyle w:val="NormalArial"/>
        <w:spacing w:before="120" w:after="120"/>
        <w:ind w:left="0"/>
        <w:jc w:val="both"/>
        <w:rPr>
          <w:rFonts w:asciiTheme="minorHAnsi" w:hAnsiTheme="minorHAnsi" w:cstheme="minorHAnsi"/>
        </w:rPr>
      </w:pPr>
      <w:r w:rsidRPr="0066663B">
        <w:rPr>
          <w:rFonts w:asciiTheme="minorHAnsi" w:hAnsiTheme="minorHAnsi" w:cstheme="minorHAnsi"/>
        </w:rPr>
        <w:t>IHPA will be mindful not to expand the number of AR-DRGs unnecessarily and will seek to balance additions to the list of AR-DRGs with reductions in under-utilised DRGs.</w:t>
      </w:r>
    </w:p>
    <w:p w:rsidR="00826CDE" w:rsidRPr="00D93F3A" w:rsidRDefault="00826CDE" w:rsidP="00733EFD">
      <w:pPr>
        <w:pStyle w:val="Heading3"/>
        <w:numPr>
          <w:ilvl w:val="0"/>
          <w:numId w:val="0"/>
        </w:numPr>
        <w:ind w:left="720" w:hanging="720"/>
      </w:pPr>
      <w:bookmarkStart w:id="128" w:name="_Toc404159094"/>
      <w:bookmarkStart w:id="129" w:name="_Toc417384671"/>
      <w:bookmarkStart w:id="130" w:name="_Toc417384719"/>
      <w:bookmarkStart w:id="131" w:name="_Toc417400981"/>
      <w:bookmarkStart w:id="132" w:name="_Toc417556599"/>
      <w:bookmarkStart w:id="133" w:name="_Toc417561533"/>
      <w:bookmarkStart w:id="134" w:name="_Toc449597603"/>
      <w:bookmarkStart w:id="135" w:name="_Toc449620398"/>
      <w:r w:rsidRPr="00D93F3A">
        <w:t>(4b) Pricing Authority approves the recommendations</w:t>
      </w:r>
      <w:bookmarkEnd w:id="128"/>
      <w:bookmarkEnd w:id="129"/>
      <w:bookmarkEnd w:id="130"/>
      <w:bookmarkEnd w:id="131"/>
      <w:bookmarkEnd w:id="132"/>
      <w:bookmarkEnd w:id="133"/>
      <w:bookmarkEnd w:id="134"/>
      <w:bookmarkEnd w:id="135"/>
    </w:p>
    <w:p w:rsidR="00826CDE" w:rsidRDefault="00826CDE" w:rsidP="00826CDE">
      <w:pPr>
        <w:pStyle w:val="NormalArial"/>
        <w:spacing w:before="120" w:after="120"/>
        <w:ind w:left="0"/>
        <w:jc w:val="both"/>
        <w:rPr>
          <w:rFonts w:asciiTheme="minorHAnsi" w:hAnsiTheme="minorHAnsi" w:cstheme="minorHAnsi"/>
        </w:rPr>
      </w:pPr>
      <w:r>
        <w:rPr>
          <w:rFonts w:asciiTheme="minorHAnsi" w:hAnsiTheme="minorHAnsi" w:cstheme="minorHAnsi"/>
        </w:rPr>
        <w:t xml:space="preserve">Any classification changes that IHPA proposes </w:t>
      </w:r>
      <w:r w:rsidRPr="0066663B">
        <w:rPr>
          <w:rFonts w:asciiTheme="minorHAnsi" w:hAnsiTheme="minorHAnsi" w:cstheme="minorHAnsi"/>
        </w:rPr>
        <w:t>will then be presented to the Pricing Authority for approval.</w:t>
      </w:r>
      <w:r>
        <w:rPr>
          <w:rFonts w:asciiTheme="minorHAnsi" w:hAnsiTheme="minorHAnsi" w:cstheme="minorHAnsi"/>
        </w:rPr>
        <w:t xml:space="preserve"> </w:t>
      </w:r>
    </w:p>
    <w:p w:rsidR="00826CDE" w:rsidRDefault="00826CDE" w:rsidP="00826CDE">
      <w:pPr>
        <w:pStyle w:val="NormalArial"/>
        <w:spacing w:before="120" w:after="120"/>
        <w:ind w:left="0"/>
        <w:jc w:val="both"/>
        <w:rPr>
          <w:rFonts w:asciiTheme="minorHAnsi" w:hAnsiTheme="minorHAnsi" w:cstheme="minorHAnsi"/>
        </w:rPr>
      </w:pPr>
      <w:r>
        <w:rPr>
          <w:rFonts w:asciiTheme="minorHAnsi" w:hAnsiTheme="minorHAnsi" w:cstheme="minorHAnsi"/>
        </w:rPr>
        <w:t xml:space="preserve">The Pricing Authority will refer prioritised new health technologies to the </w:t>
      </w:r>
      <w:r w:rsidRPr="00902533">
        <w:rPr>
          <w:rFonts w:asciiTheme="minorHAnsi" w:hAnsiTheme="minorHAnsi" w:cstheme="minorHAnsi"/>
        </w:rPr>
        <w:t>Australian Consortium for Classification Development</w:t>
      </w:r>
      <w:r>
        <w:rPr>
          <w:rFonts w:asciiTheme="minorHAnsi" w:hAnsiTheme="minorHAnsi" w:cstheme="minorHAnsi"/>
        </w:rPr>
        <w:t xml:space="preserve"> (for refinement of the procedural classification) or to the body responsible for classification development by </w:t>
      </w:r>
      <w:r w:rsidRPr="00442568">
        <w:rPr>
          <w:rFonts w:asciiTheme="minorHAnsi" w:hAnsiTheme="minorHAnsi" w:cstheme="minorHAnsi"/>
          <w:u w:val="single"/>
        </w:rPr>
        <w:t>31 May</w:t>
      </w:r>
      <w:r>
        <w:rPr>
          <w:rFonts w:asciiTheme="minorHAnsi" w:hAnsiTheme="minorHAnsi" w:cstheme="minorHAnsi"/>
        </w:rPr>
        <w:t xml:space="preserve">. </w:t>
      </w:r>
    </w:p>
    <w:p w:rsidR="00826CDE" w:rsidRDefault="00826CDE" w:rsidP="00826CDE">
      <w:pPr>
        <w:pStyle w:val="NormalArial"/>
        <w:spacing w:before="120" w:after="120"/>
        <w:ind w:left="0"/>
        <w:jc w:val="both"/>
        <w:rPr>
          <w:rFonts w:asciiTheme="minorHAnsi" w:hAnsiTheme="minorHAnsi" w:cstheme="minorHAnsi"/>
        </w:rPr>
      </w:pPr>
      <w:r>
        <w:rPr>
          <w:rFonts w:asciiTheme="minorHAnsi" w:hAnsiTheme="minorHAnsi" w:cstheme="minorHAnsi"/>
        </w:rPr>
        <w:t xml:space="preserve">This date coincides with the closing of the public submission period regarding the classification used for admitted acute patients, which is the AR-DRG system, the ICD-10-AM and the </w:t>
      </w:r>
      <w:r w:rsidRPr="00902533">
        <w:rPr>
          <w:rFonts w:asciiTheme="minorHAnsi" w:hAnsiTheme="minorHAnsi" w:cstheme="minorHAnsi"/>
        </w:rPr>
        <w:t xml:space="preserve">Australian Classification of Health Interventions </w:t>
      </w:r>
      <w:r>
        <w:rPr>
          <w:rFonts w:asciiTheme="minorHAnsi" w:hAnsiTheme="minorHAnsi" w:cstheme="minorHAnsi"/>
        </w:rPr>
        <w:t>(ACHI). IHPA has identified the admitted acute setting as the most relevant to the majority of the new health technologies IHPA will receive under the Framework. Referral of a technology for classification development does not constitute a recommendation for supplementary funding.</w:t>
      </w:r>
    </w:p>
    <w:p w:rsidR="002B7F9D" w:rsidRDefault="00826CDE" w:rsidP="00826CDE">
      <w:r>
        <w:rPr>
          <w:rFonts w:asciiTheme="minorHAnsi" w:hAnsiTheme="minorHAnsi" w:cstheme="minorHAnsi"/>
        </w:rPr>
        <w:t>Subsequently, IHPA will advise those who have made submissions on the outcome of the assessment process.</w:t>
      </w:r>
    </w:p>
    <w:p w:rsidR="0098702F" w:rsidRDefault="0098702F">
      <w:pPr>
        <w:spacing w:before="0" w:after="0" w:line="240" w:lineRule="auto"/>
      </w:pPr>
      <w:r>
        <w:br w:type="page"/>
      </w:r>
    </w:p>
    <w:p w:rsidR="00562759" w:rsidRDefault="00562759" w:rsidP="00350852">
      <w:r>
        <w:rPr>
          <w:noProof/>
        </w:rPr>
        <mc:AlternateContent>
          <mc:Choice Requires="wps">
            <w:drawing>
              <wp:anchor distT="0" distB="0" distL="114300" distR="114300" simplePos="0" relativeHeight="251670528" behindDoc="0" locked="0" layoutInCell="1" allowOverlap="1" wp14:anchorId="1DC2F7A3" wp14:editId="5BA2FC5C">
                <wp:simplePos x="0" y="0"/>
                <wp:positionH relativeFrom="column">
                  <wp:posOffset>152400</wp:posOffset>
                </wp:positionH>
                <wp:positionV relativeFrom="margin">
                  <wp:posOffset>7630160</wp:posOffset>
                </wp:positionV>
                <wp:extent cx="1943280" cy="1257480"/>
                <wp:effectExtent l="0" t="0" r="1270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1943280" cy="1257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562759" w:rsidRPr="00996126" w:rsidRDefault="00562759" w:rsidP="00562759">
                            <w:pPr>
                              <w:pStyle w:val="Address"/>
                              <w:rPr>
                                <w:color w:val="auto"/>
                              </w:rPr>
                            </w:pPr>
                            <w:r w:rsidRPr="00996126">
                              <w:rPr>
                                <w:color w:val="auto"/>
                              </w:rPr>
                              <w:t>Independent Hospital Pricing Authority</w:t>
                            </w:r>
                          </w:p>
                          <w:p w:rsidR="00562759" w:rsidRPr="00996126" w:rsidRDefault="00562759" w:rsidP="00562759">
                            <w:pPr>
                              <w:pStyle w:val="Address"/>
                              <w:rPr>
                                <w:color w:val="auto"/>
                              </w:rPr>
                            </w:pPr>
                          </w:p>
                          <w:p w:rsidR="00562759" w:rsidRPr="00996126" w:rsidRDefault="00562759" w:rsidP="00562759">
                            <w:pPr>
                              <w:pStyle w:val="Address"/>
                              <w:rPr>
                                <w:color w:val="008542" w:themeColor="accent2"/>
                              </w:rPr>
                            </w:pPr>
                            <w:r w:rsidRPr="00996126">
                              <w:rPr>
                                <w:color w:val="008542" w:themeColor="accent2"/>
                              </w:rPr>
                              <w:t>Level 6, 1 Oxford Street</w:t>
                            </w:r>
                          </w:p>
                          <w:p w:rsidR="00562759" w:rsidRPr="00996126" w:rsidRDefault="00562759" w:rsidP="00562759">
                            <w:pPr>
                              <w:pStyle w:val="Address"/>
                              <w:rPr>
                                <w:color w:val="008542" w:themeColor="accent2"/>
                              </w:rPr>
                            </w:pPr>
                            <w:r w:rsidRPr="00996126">
                              <w:rPr>
                                <w:color w:val="008542" w:themeColor="accent2"/>
                              </w:rPr>
                              <w:t>Sydney NSW 2000</w:t>
                            </w:r>
                          </w:p>
                          <w:p w:rsidR="00562759" w:rsidRPr="00562759" w:rsidRDefault="00562759" w:rsidP="00562759">
                            <w:pPr>
                              <w:pStyle w:val="Address"/>
                            </w:pPr>
                          </w:p>
                          <w:p w:rsidR="00562759" w:rsidRPr="00996126" w:rsidRDefault="00562759" w:rsidP="00562759">
                            <w:pPr>
                              <w:pStyle w:val="Address"/>
                              <w:rPr>
                                <w:color w:val="008542" w:themeColor="accent2"/>
                              </w:rPr>
                            </w:pPr>
                            <w:r w:rsidRPr="00996126">
                              <w:rPr>
                                <w:color w:val="auto"/>
                              </w:rPr>
                              <w:t xml:space="preserve">Phone </w:t>
                            </w:r>
                            <w:r w:rsidRPr="00996126">
                              <w:rPr>
                                <w:color w:val="008542" w:themeColor="accent2"/>
                              </w:rPr>
                              <w:t>02 8215 1100</w:t>
                            </w:r>
                          </w:p>
                          <w:p w:rsidR="00562759" w:rsidRPr="00996126" w:rsidRDefault="00562759" w:rsidP="00562759">
                            <w:pPr>
                              <w:pStyle w:val="Address"/>
                              <w:rPr>
                                <w:color w:val="008542" w:themeColor="accent2"/>
                              </w:rPr>
                            </w:pPr>
                            <w:r w:rsidRPr="00996126">
                              <w:rPr>
                                <w:color w:val="auto"/>
                              </w:rPr>
                              <w:t xml:space="preserve">Email </w:t>
                            </w:r>
                            <w:r w:rsidRPr="00996126">
                              <w:rPr>
                                <w:color w:val="008542" w:themeColor="accent2"/>
                              </w:rPr>
                              <w:t>enquiries.ihpa@ihpa.gov.au</w:t>
                            </w:r>
                          </w:p>
                          <w:p w:rsidR="00562759" w:rsidRPr="00996126" w:rsidRDefault="00562759" w:rsidP="00562759">
                            <w:pPr>
                              <w:pStyle w:val="Address"/>
                              <w:rPr>
                                <w:color w:val="008542" w:themeColor="accent2"/>
                              </w:rPr>
                            </w:pPr>
                            <w:r w:rsidRPr="00996126">
                              <w:rPr>
                                <w:color w:val="auto"/>
                              </w:rPr>
                              <w:t xml:space="preserve">Twitter </w:t>
                            </w:r>
                            <w:r w:rsidRPr="00996126">
                              <w:rPr>
                                <w:color w:val="008542" w:themeColor="accent2"/>
                              </w:rPr>
                              <w:t>@</w:t>
                            </w:r>
                            <w:proofErr w:type="spellStart"/>
                            <w:r w:rsidRPr="00996126">
                              <w:rPr>
                                <w:color w:val="008542" w:themeColor="accent2"/>
                              </w:rPr>
                              <w:t>IHPAnews</w:t>
                            </w:r>
                            <w:proofErr w:type="spellEnd"/>
                          </w:p>
                          <w:p w:rsidR="00562759" w:rsidRPr="00562759" w:rsidRDefault="00562759" w:rsidP="00562759">
                            <w:pPr>
                              <w:pStyle w:val="Address"/>
                            </w:pPr>
                          </w:p>
                          <w:p w:rsidR="00562759" w:rsidRPr="00996126" w:rsidRDefault="00562759" w:rsidP="00562759">
                            <w:pPr>
                              <w:pStyle w:val="Address"/>
                              <w:rPr>
                                <w:color w:val="auto"/>
                              </w:rPr>
                            </w:pPr>
                            <w:r w:rsidRPr="00996126">
                              <w:rPr>
                                <w:color w:val="auto"/>
                              </w:rPr>
                              <w:t>www.ihpa.gov.au</w:t>
                            </w:r>
                          </w:p>
                          <w:p w:rsidR="00562759" w:rsidRPr="0098702F" w:rsidRDefault="00562759" w:rsidP="00562759">
                            <w:pPr>
                              <w:pStyle w:val="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2pt;margin-top:600.8pt;width:153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" filled="f" stroked="f">
                <v:textbox inset="0,0,0,0">
                  <w:txbxContent>
                    <w:p w:rsidR="00562759" w:rsidRPr="00996126" w:rsidRDefault="00562759" w:rsidP="00562759">
                      <w:pPr>
                        <w:pStyle w:val="Address"/>
                        <w:rPr>
                          <w:color w:val="auto"/>
                        </w:rPr>
                      </w:pPr>
                      <w:r w:rsidRPr="00996126">
                        <w:rPr>
                          <w:color w:val="auto"/>
                        </w:rPr>
                        <w:t>Independent Hospital Pricing Authority</w:t>
                      </w:r>
                    </w:p>
                    <w:p w:rsidR="00562759" w:rsidRPr="00996126" w:rsidRDefault="00562759" w:rsidP="00562759">
                      <w:pPr>
                        <w:pStyle w:val="Address"/>
                        <w:rPr>
                          <w:color w:val="auto"/>
                        </w:rPr>
                      </w:pPr>
                    </w:p>
                    <w:p w:rsidR="00562759" w:rsidRPr="00996126" w:rsidRDefault="00562759" w:rsidP="00562759">
                      <w:pPr>
                        <w:pStyle w:val="Address"/>
                        <w:rPr>
                          <w:color w:val="008542" w:themeColor="accent2"/>
                        </w:rPr>
                      </w:pPr>
                      <w:r w:rsidRPr="00996126">
                        <w:rPr>
                          <w:color w:val="008542" w:themeColor="accent2"/>
                        </w:rPr>
                        <w:t>Level 6, 1 Oxford Street</w:t>
                      </w:r>
                    </w:p>
                    <w:p w:rsidR="00562759" w:rsidRPr="00996126" w:rsidRDefault="00562759" w:rsidP="00562759">
                      <w:pPr>
                        <w:pStyle w:val="Address"/>
                        <w:rPr>
                          <w:color w:val="008542" w:themeColor="accent2"/>
                        </w:rPr>
                      </w:pPr>
                      <w:r w:rsidRPr="00996126">
                        <w:rPr>
                          <w:color w:val="008542" w:themeColor="accent2"/>
                        </w:rPr>
                        <w:t>Sydney NSW 2000</w:t>
                      </w:r>
                    </w:p>
                    <w:p w:rsidR="00562759" w:rsidRPr="00562759" w:rsidRDefault="00562759" w:rsidP="00562759">
                      <w:pPr>
                        <w:pStyle w:val="Address"/>
                      </w:pPr>
                    </w:p>
                    <w:p w:rsidR="00562759" w:rsidRPr="00996126" w:rsidRDefault="00562759" w:rsidP="00562759">
                      <w:pPr>
                        <w:pStyle w:val="Address"/>
                        <w:rPr>
                          <w:color w:val="008542" w:themeColor="accent2"/>
                        </w:rPr>
                      </w:pPr>
                      <w:r w:rsidRPr="00996126">
                        <w:rPr>
                          <w:color w:val="auto"/>
                        </w:rPr>
                        <w:t xml:space="preserve">Phone </w:t>
                      </w:r>
                      <w:r w:rsidRPr="00996126">
                        <w:rPr>
                          <w:color w:val="008542" w:themeColor="accent2"/>
                        </w:rPr>
                        <w:t>02 8215 1100</w:t>
                      </w:r>
                    </w:p>
                    <w:p w:rsidR="00562759" w:rsidRPr="00996126" w:rsidRDefault="00562759" w:rsidP="00562759">
                      <w:pPr>
                        <w:pStyle w:val="Address"/>
                        <w:rPr>
                          <w:color w:val="008542" w:themeColor="accent2"/>
                        </w:rPr>
                      </w:pPr>
                      <w:r w:rsidRPr="00996126">
                        <w:rPr>
                          <w:color w:val="auto"/>
                        </w:rPr>
                        <w:t xml:space="preserve">Email </w:t>
                      </w:r>
                      <w:r w:rsidRPr="00996126">
                        <w:rPr>
                          <w:color w:val="008542" w:themeColor="accent2"/>
                        </w:rPr>
                        <w:t>enquiries.ihpa@ihpa.gov.au</w:t>
                      </w:r>
                    </w:p>
                    <w:p w:rsidR="00562759" w:rsidRPr="00996126" w:rsidRDefault="00562759" w:rsidP="00562759">
                      <w:pPr>
                        <w:pStyle w:val="Address"/>
                        <w:rPr>
                          <w:color w:val="008542" w:themeColor="accent2"/>
                        </w:rPr>
                      </w:pPr>
                      <w:r w:rsidRPr="00996126">
                        <w:rPr>
                          <w:color w:val="auto"/>
                        </w:rPr>
                        <w:t xml:space="preserve">Twitter </w:t>
                      </w:r>
                      <w:r w:rsidRPr="00996126">
                        <w:rPr>
                          <w:color w:val="008542" w:themeColor="accent2"/>
                        </w:rPr>
                        <w:t>@IHPAnews</w:t>
                      </w:r>
                    </w:p>
                    <w:p w:rsidR="00562759" w:rsidRPr="00562759" w:rsidRDefault="00562759" w:rsidP="00562759">
                      <w:pPr>
                        <w:pStyle w:val="Address"/>
                      </w:pPr>
                    </w:p>
                    <w:p w:rsidR="00562759" w:rsidRPr="00996126" w:rsidRDefault="00562759" w:rsidP="00562759">
                      <w:pPr>
                        <w:pStyle w:val="Address"/>
                        <w:rPr>
                          <w:color w:val="auto"/>
                        </w:rPr>
                      </w:pPr>
                      <w:r w:rsidRPr="00996126">
                        <w:rPr>
                          <w:color w:val="auto"/>
                        </w:rPr>
                        <w:t>www.ihpa.gov.au</w:t>
                      </w:r>
                    </w:p>
                    <w:p w:rsidR="00562759" w:rsidRPr="0098702F" w:rsidRDefault="00562759" w:rsidP="00562759">
                      <w:pPr>
                        <w:pStyle w:val="Address"/>
                      </w:pPr>
                    </w:p>
                  </w:txbxContent>
                </v:textbox>
                <w10:wrap type="square" anchory="margin"/>
              </v:shape>
            </w:pict>
          </mc:Fallback>
        </mc:AlternateContent>
      </w:r>
    </w:p>
    <w:sectPr w:rsidR="00562759" w:rsidSect="00995C2A">
      <w:headerReference w:type="default" r:id="rId18"/>
      <w:pgSz w:w="11906" w:h="16838" w:code="9"/>
      <w:pgMar w:top="2041" w:right="1440" w:bottom="851" w:left="1021" w:header="680" w:footer="51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0D1" w:rsidRDefault="000210D1">
      <w:r>
        <w:separator/>
      </w:r>
    </w:p>
  </w:endnote>
  <w:endnote w:type="continuationSeparator" w:id="0">
    <w:p w:rsidR="000210D1" w:rsidRDefault="0002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0D1" w:rsidRDefault="000210D1">
      <w:r>
        <w:separator/>
      </w:r>
    </w:p>
  </w:footnote>
  <w:footnote w:type="continuationSeparator" w:id="0">
    <w:p w:rsidR="000210D1" w:rsidRDefault="000210D1">
      <w:r>
        <w:continuationSeparator/>
      </w:r>
    </w:p>
  </w:footnote>
  <w:footnote w:id="1">
    <w:p w:rsidR="00342CAA" w:rsidRDefault="00342CAA" w:rsidP="00342CAA">
      <w:pPr>
        <w:pStyle w:val="FootnoteText"/>
        <w:rPr>
          <w:rFonts w:cs="Arial"/>
        </w:rPr>
      </w:pPr>
      <w:r>
        <w:rPr>
          <w:rStyle w:val="FootnoteReference"/>
          <w:rFonts w:cs="Arial"/>
        </w:rPr>
        <w:footnoteRef/>
      </w:r>
      <w:r>
        <w:rPr>
          <w:rFonts w:cs="Arial"/>
        </w:rPr>
        <w:t xml:space="preserve"> </w:t>
      </w:r>
      <w:proofErr w:type="gramStart"/>
      <w:r w:rsidRPr="00B231EA">
        <w:rPr>
          <w:rFonts w:cs="Arial"/>
          <w:sz w:val="18"/>
          <w:szCs w:val="18"/>
        </w:rPr>
        <w:t xml:space="preserve">Department of Health and Ageing (2009) </w:t>
      </w:r>
      <w:r w:rsidRPr="00B231EA">
        <w:rPr>
          <w:rFonts w:cs="Arial"/>
          <w:bCs/>
          <w:color w:val="000000"/>
          <w:sz w:val="18"/>
          <w:szCs w:val="18"/>
        </w:rPr>
        <w:t>Review</w:t>
      </w:r>
      <w:r w:rsidRPr="00B231EA">
        <w:rPr>
          <w:rFonts w:cs="Arial"/>
          <w:color w:val="222222"/>
          <w:sz w:val="18"/>
          <w:szCs w:val="18"/>
        </w:rPr>
        <w:t xml:space="preserve"> of </w:t>
      </w:r>
      <w:r w:rsidRPr="00B231EA">
        <w:rPr>
          <w:rFonts w:cs="Arial"/>
          <w:bCs/>
          <w:color w:val="000000"/>
          <w:sz w:val="18"/>
          <w:szCs w:val="18"/>
        </w:rPr>
        <w:t>Health</w:t>
      </w:r>
      <w:r w:rsidRPr="00B231EA">
        <w:rPr>
          <w:rFonts w:cs="Arial"/>
          <w:color w:val="222222"/>
          <w:sz w:val="18"/>
          <w:szCs w:val="18"/>
        </w:rPr>
        <w:t xml:space="preserve"> </w:t>
      </w:r>
      <w:r w:rsidRPr="00B231EA">
        <w:rPr>
          <w:rFonts w:cs="Arial"/>
          <w:bCs/>
          <w:color w:val="000000"/>
          <w:sz w:val="18"/>
          <w:szCs w:val="18"/>
        </w:rPr>
        <w:t>Technology</w:t>
      </w:r>
      <w:r w:rsidRPr="00B231EA">
        <w:rPr>
          <w:rFonts w:cs="Arial"/>
          <w:color w:val="222222"/>
          <w:sz w:val="18"/>
          <w:szCs w:val="18"/>
        </w:rPr>
        <w:t xml:space="preserve"> </w:t>
      </w:r>
      <w:r w:rsidRPr="00B231EA">
        <w:rPr>
          <w:rFonts w:cs="Arial"/>
          <w:bCs/>
          <w:color w:val="000000"/>
          <w:sz w:val="18"/>
          <w:szCs w:val="18"/>
        </w:rPr>
        <w:t>Assessment</w:t>
      </w:r>
      <w:r w:rsidRPr="00B231EA">
        <w:rPr>
          <w:rFonts w:cs="Arial"/>
          <w:color w:val="222222"/>
          <w:sz w:val="18"/>
          <w:szCs w:val="18"/>
        </w:rPr>
        <w:t xml:space="preserve"> in </w:t>
      </w:r>
      <w:r w:rsidRPr="00B231EA">
        <w:rPr>
          <w:rFonts w:cs="Arial"/>
          <w:bCs/>
          <w:color w:val="000000"/>
          <w:sz w:val="18"/>
          <w:szCs w:val="18"/>
        </w:rPr>
        <w:t>Australia.</w:t>
      </w:r>
      <w:proofErr w:type="gramEnd"/>
      <w:r w:rsidRPr="00B231EA">
        <w:rPr>
          <w:rFonts w:cs="Arial"/>
          <w:bCs/>
          <w:color w:val="000000"/>
          <w:sz w:val="18"/>
          <w:szCs w:val="18"/>
        </w:rPr>
        <w:t xml:space="preserve"> </w:t>
      </w:r>
      <w:r w:rsidRPr="00B231EA">
        <w:rPr>
          <w:rFonts w:cs="Arial"/>
          <w:bCs/>
          <w:color w:val="000000"/>
          <w:sz w:val="18"/>
          <w:szCs w:val="18"/>
        </w:rPr>
        <w:br/>
        <w:t>&lt;</w:t>
      </w:r>
      <w:hyperlink r:id="rId1" w:history="1">
        <w:r w:rsidRPr="00B231EA">
          <w:rPr>
            <w:rStyle w:val="Hyperlink"/>
            <w:rFonts w:cs="Arial"/>
            <w:bCs/>
            <w:sz w:val="18"/>
            <w:szCs w:val="18"/>
          </w:rPr>
          <w:t>www.health.gov.au/internet/main/publishing.nsf/Content/hta-review-report</w:t>
        </w:r>
      </w:hyperlink>
      <w:r w:rsidRPr="00B231EA">
        <w:rPr>
          <w:rFonts w:cs="Arial"/>
          <w:bCs/>
          <w:color w:val="000000"/>
          <w:sz w:val="18"/>
          <w:szCs w:val="18"/>
        </w:rPr>
        <w:t>&gt;</w:t>
      </w:r>
      <w:r>
        <w:rPr>
          <w:rFonts w:cs="Arial"/>
          <w:bCs/>
          <w:color w:val="000000"/>
        </w:rPr>
        <w:t xml:space="preserve"> </w:t>
      </w:r>
    </w:p>
  </w:footnote>
  <w:footnote w:id="2">
    <w:p w:rsidR="00342CAA" w:rsidRPr="00342CAA" w:rsidRDefault="00342CAA" w:rsidP="00342CAA">
      <w:pPr>
        <w:pStyle w:val="FootnoteText"/>
        <w:rPr>
          <w:rFonts w:cs="Arial"/>
        </w:rPr>
      </w:pPr>
      <w:r>
        <w:rPr>
          <w:rStyle w:val="FootnoteReference"/>
        </w:rPr>
        <w:footnoteRef/>
      </w:r>
      <w:r>
        <w:t xml:space="preserve"> </w:t>
      </w:r>
      <w:r w:rsidRPr="00B231EA">
        <w:rPr>
          <w:rFonts w:cs="Arial"/>
          <w:sz w:val="18"/>
          <w:szCs w:val="18"/>
        </w:rPr>
        <w:t xml:space="preserve">For more information, see the Department of Health’s HTA webpage at </w:t>
      </w:r>
      <w:r w:rsidRPr="00B231EA">
        <w:rPr>
          <w:rFonts w:cs="Arial"/>
          <w:sz w:val="18"/>
          <w:szCs w:val="18"/>
        </w:rPr>
        <w:br/>
        <w:t>&lt;</w:t>
      </w:r>
      <w:hyperlink r:id="rId2" w:history="1">
        <w:r w:rsidRPr="00B231EA">
          <w:rPr>
            <w:rStyle w:val="Hyperlink"/>
            <w:rFonts w:cs="Arial"/>
            <w:sz w:val="18"/>
            <w:szCs w:val="18"/>
          </w:rPr>
          <w:t>www.health.gov.au/internet/hta/publishing.nsf/Content/about-1</w:t>
        </w:r>
      </w:hyperlink>
      <w:r w:rsidRPr="00B231EA">
        <w:rPr>
          <w:rFonts w:cs="Arial"/>
          <w:sz w:val="18"/>
          <w:szCs w:val="18"/>
        </w:rPr>
        <w:t>&gt;</w:t>
      </w:r>
    </w:p>
  </w:footnote>
  <w:footnote w:id="3">
    <w:p w:rsidR="00342CAA" w:rsidRDefault="00342CAA" w:rsidP="00342CAA">
      <w:pPr>
        <w:pStyle w:val="FootnoteText"/>
        <w:rPr>
          <w:rStyle w:val="Hyperlink"/>
          <w:rFonts w:cs="Arial"/>
        </w:rPr>
      </w:pPr>
      <w:r>
        <w:rPr>
          <w:rStyle w:val="FootnoteReference"/>
          <w:rFonts w:cs="Arial"/>
        </w:rPr>
        <w:footnoteRef/>
      </w:r>
      <w:r>
        <w:rPr>
          <w:rFonts w:cs="Arial"/>
        </w:rPr>
        <w:t xml:space="preserve"> </w:t>
      </w:r>
      <w:r w:rsidRPr="00B231EA">
        <w:rPr>
          <w:rFonts w:cs="Arial"/>
          <w:sz w:val="18"/>
          <w:szCs w:val="18"/>
        </w:rPr>
        <w:t xml:space="preserve">The Pricing Guidelines are available on IHPA’s website at </w:t>
      </w:r>
      <w:r w:rsidRPr="00B231EA">
        <w:rPr>
          <w:rFonts w:cs="Arial"/>
          <w:sz w:val="18"/>
          <w:szCs w:val="18"/>
        </w:rPr>
        <w:br/>
        <w:t>&lt;</w:t>
      </w:r>
      <w:r w:rsidRPr="00B231EA">
        <w:rPr>
          <w:rStyle w:val="Hyperlink"/>
          <w:rFonts w:cs="Arial"/>
          <w:sz w:val="18"/>
          <w:szCs w:val="18"/>
        </w:rPr>
        <w:t>www.ihpa.gov.au/publications/pricing-framework-australian-public-hospital-services-201</w:t>
      </w:r>
      <w:r w:rsidR="003614B7">
        <w:rPr>
          <w:rStyle w:val="Hyperlink"/>
          <w:rFonts w:cs="Arial"/>
          <w:sz w:val="18"/>
          <w:szCs w:val="18"/>
        </w:rPr>
        <w:t>8-19</w:t>
      </w:r>
      <w:r w:rsidRPr="00B231EA">
        <w:rPr>
          <w:rFonts w:cs="Arial"/>
          <w:sz w:val="18"/>
          <w:szCs w:val="18"/>
        </w:rPr>
        <w:t>&gt;</w:t>
      </w:r>
    </w:p>
  </w:footnote>
  <w:footnote w:id="4">
    <w:p w:rsidR="00826CDE" w:rsidRPr="00442568" w:rsidRDefault="00826CDE" w:rsidP="00826CDE">
      <w:pPr>
        <w:pStyle w:val="FootnoteText"/>
        <w:rPr>
          <w:rFonts w:cs="Arial"/>
          <w:lang w:val="en-US"/>
        </w:rPr>
      </w:pPr>
      <w:r w:rsidRPr="00442568">
        <w:rPr>
          <w:rStyle w:val="FootnoteReference"/>
          <w:rFonts w:eastAsiaTheme="majorEastAsia" w:cs="Arial"/>
        </w:rPr>
        <w:footnoteRef/>
      </w:r>
      <w:r w:rsidRPr="00442568">
        <w:rPr>
          <w:rFonts w:cs="Arial"/>
        </w:rPr>
        <w:t xml:space="preserve"> </w:t>
      </w:r>
      <w:r w:rsidRPr="00442568">
        <w:rPr>
          <w:rFonts w:cs="Arial"/>
          <w:lang w:val="en-US"/>
        </w:rPr>
        <w:t>TGA approval is not required for new medical procedures, as they do not constitute therapeutic goods.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30E" w:rsidRPr="00CC2138" w:rsidRDefault="00CC2138" w:rsidP="00CC2138">
    <w:pPr>
      <w:pStyle w:val="Header"/>
      <w:rPr>
        <w:color w:val="008542" w:themeColor="accent2"/>
      </w:rPr>
    </w:pPr>
    <w:r>
      <w:rPr>
        <w:noProof/>
        <w:color w:val="FFFFFF" w:themeColor="background1"/>
      </w:rPr>
      <w:drawing>
        <wp:anchor distT="0" distB="0" distL="114300" distR="114300" simplePos="0" relativeHeight="251657216" behindDoc="1" locked="0" layoutInCell="0" allowOverlap="1" wp14:anchorId="3D595C06" wp14:editId="282C323D">
          <wp:simplePos x="0" y="0"/>
          <wp:positionH relativeFrom="page">
            <wp:posOffset>0</wp:posOffset>
          </wp:positionH>
          <wp:positionV relativeFrom="page">
            <wp:posOffset>1179</wp:posOffset>
          </wp:positionV>
          <wp:extent cx="6080400" cy="918140"/>
          <wp:effectExtent l="0" t="0" r="0" b="0"/>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a:extLst>
                      <a:ext uri="{28A0092B-C50C-407E-A947-70E740481C1C}">
                        <a14:useLocalDpi xmlns:a14="http://schemas.microsoft.com/office/drawing/2010/main" val="0"/>
                      </a:ext>
                    </a:extLst>
                  </a:blip>
                  <a:stretch>
                    <a:fillRect/>
                  </a:stretch>
                </pic:blipFill>
                <pic:spPr>
                  <a:xfrm>
                    <a:off x="0" y="0"/>
                    <a:ext cx="6080400" cy="918140"/>
                  </a:xfrm>
                  <a:prstGeom prst="rect">
                    <a:avLst/>
                  </a:prstGeom>
                </pic:spPr>
              </pic:pic>
            </a:graphicData>
          </a:graphic>
          <wp14:sizeRelH relativeFrom="margin">
            <wp14:pctWidth>0</wp14:pctWidth>
          </wp14:sizeRelH>
          <wp14:sizeRelV relativeFrom="margin">
            <wp14:pctHeight>0</wp14:pctHeight>
          </wp14:sizeRelV>
        </wp:anchor>
      </w:drawing>
    </w:r>
    <w:r w:rsidR="001479B3">
      <w:rPr>
        <w:color w:val="FFFFFF" w:themeColor="background1"/>
      </w:rPr>
      <w:t>Impact of New Health Technology Framework</w:t>
    </w:r>
    <w:r>
      <w:rPr>
        <w:color w:val="FFFFFF" w:themeColor="background1"/>
      </w:rPr>
      <w:tab/>
    </w:r>
    <w:r w:rsidRPr="005F219D">
      <w:rPr>
        <w:color w:val="008542" w:themeColor="accent2"/>
      </w:rPr>
      <w:fldChar w:fldCharType="begin"/>
    </w:r>
    <w:r w:rsidRPr="005F219D">
      <w:rPr>
        <w:color w:val="008542" w:themeColor="accent2"/>
      </w:rPr>
      <w:instrText xml:space="preserve"> PAGE   \* MERGEFORMAT </w:instrText>
    </w:r>
    <w:r w:rsidRPr="005F219D">
      <w:rPr>
        <w:color w:val="008542" w:themeColor="accent2"/>
      </w:rPr>
      <w:fldChar w:fldCharType="separate"/>
    </w:r>
    <w:r w:rsidR="00ED2FCB">
      <w:rPr>
        <w:noProof/>
        <w:color w:val="008542" w:themeColor="accent2"/>
      </w:rPr>
      <w:t>2</w:t>
    </w:r>
    <w:r w:rsidRPr="005F219D">
      <w:rPr>
        <w:noProof/>
        <w:color w:val="008542" w:themeColor="accent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486AF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46034F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192070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57421D6"/>
    <w:lvl w:ilvl="0">
      <w:start w:val="1"/>
      <w:numFmt w:val="decimal"/>
      <w:pStyle w:val="ListNumber2"/>
      <w:lvlText w:val="%1."/>
      <w:lvlJc w:val="left"/>
      <w:pPr>
        <w:tabs>
          <w:tab w:val="num" w:pos="643"/>
        </w:tabs>
        <w:ind w:left="643" w:hanging="360"/>
      </w:pPr>
    </w:lvl>
  </w:abstractNum>
  <w:abstractNum w:abstractNumId="4">
    <w:nsid w:val="FFFFFF80"/>
    <w:multiLevelType w:val="singleLevel"/>
    <w:tmpl w:val="4D7E734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342499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0DA97A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4D01C78"/>
    <w:lvl w:ilvl="0">
      <w:start w:val="1"/>
      <w:numFmt w:val="decimal"/>
      <w:pStyle w:val="ListNumber"/>
      <w:lvlText w:val="%1."/>
      <w:lvlJc w:val="left"/>
      <w:pPr>
        <w:tabs>
          <w:tab w:val="num" w:pos="360"/>
        </w:tabs>
        <w:ind w:left="360" w:hanging="360"/>
      </w:pPr>
    </w:lvl>
  </w:abstractNum>
  <w:abstractNum w:abstractNumId="9">
    <w:nsid w:val="FFFFFF89"/>
    <w:multiLevelType w:val="singleLevel"/>
    <w:tmpl w:val="8CE6C05E"/>
    <w:lvl w:ilvl="0">
      <w:start w:val="1"/>
      <w:numFmt w:val="bullet"/>
      <w:lvlText w:val=""/>
      <w:lvlJc w:val="left"/>
      <w:pPr>
        <w:tabs>
          <w:tab w:val="num" w:pos="360"/>
        </w:tabs>
        <w:ind w:left="360" w:hanging="360"/>
      </w:pPr>
      <w:rPr>
        <w:rFonts w:ascii="Symbol" w:hAnsi="Symbol" w:hint="default"/>
      </w:rPr>
    </w:lvl>
  </w:abstractNum>
  <w:abstractNum w:abstractNumId="10">
    <w:nsid w:val="0E341154"/>
    <w:multiLevelType w:val="multilevel"/>
    <w:tmpl w:val="001A2DD6"/>
    <w:lvl w:ilvl="0">
      <w:start w:val="1"/>
      <w:numFmt w:val="decimal"/>
      <w:lvlText w:val="%1."/>
      <w:lvlJc w:val="left"/>
      <w:pPr>
        <w:ind w:left="360" w:hanging="360"/>
      </w:pPr>
      <w:rPr>
        <w:rFonts w:hint="default"/>
      </w:rPr>
    </w:lvl>
    <w:lvl w:ilvl="1">
      <w:start w:val="1"/>
      <w:numFmt w:val="decimal"/>
      <w:isLgl/>
      <w:lvlText w:val="%1.%2"/>
      <w:lvlJc w:val="left"/>
      <w:pPr>
        <w:ind w:left="660"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1">
    <w:nsid w:val="12FF727F"/>
    <w:multiLevelType w:val="hybridMultilevel"/>
    <w:tmpl w:val="C01EF4C6"/>
    <w:lvl w:ilvl="0" w:tplc="6A1E7834">
      <w:start w:val="1"/>
      <w:numFmt w:val="bullet"/>
      <w:pStyle w:val="List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nsid w:val="13460DA1"/>
    <w:multiLevelType w:val="hybridMultilevel"/>
    <w:tmpl w:val="1A267324"/>
    <w:lvl w:ilvl="0" w:tplc="8DCC3DF4">
      <w:start w:val="1"/>
      <w:numFmt w:val="bullet"/>
      <w:lvlText w:val="•"/>
      <w:lvlJc w:val="left"/>
      <w:pPr>
        <w:tabs>
          <w:tab w:val="num" w:pos="720"/>
        </w:tabs>
        <w:ind w:left="720" w:hanging="360"/>
      </w:pPr>
      <w:rPr>
        <w:rFonts w:ascii="Arial" w:hAnsi="Arial" w:hint="default"/>
      </w:rPr>
    </w:lvl>
    <w:lvl w:ilvl="1" w:tplc="040A49C6" w:tentative="1">
      <w:start w:val="1"/>
      <w:numFmt w:val="bullet"/>
      <w:lvlText w:val="•"/>
      <w:lvlJc w:val="left"/>
      <w:pPr>
        <w:tabs>
          <w:tab w:val="num" w:pos="1440"/>
        </w:tabs>
        <w:ind w:left="1440" w:hanging="360"/>
      </w:pPr>
      <w:rPr>
        <w:rFonts w:ascii="Arial" w:hAnsi="Arial" w:hint="default"/>
      </w:rPr>
    </w:lvl>
    <w:lvl w:ilvl="2" w:tplc="A10AAF7A" w:tentative="1">
      <w:start w:val="1"/>
      <w:numFmt w:val="bullet"/>
      <w:lvlText w:val="•"/>
      <w:lvlJc w:val="left"/>
      <w:pPr>
        <w:tabs>
          <w:tab w:val="num" w:pos="2160"/>
        </w:tabs>
        <w:ind w:left="2160" w:hanging="360"/>
      </w:pPr>
      <w:rPr>
        <w:rFonts w:ascii="Arial" w:hAnsi="Arial" w:hint="default"/>
      </w:rPr>
    </w:lvl>
    <w:lvl w:ilvl="3" w:tplc="68364AE6" w:tentative="1">
      <w:start w:val="1"/>
      <w:numFmt w:val="bullet"/>
      <w:lvlText w:val="•"/>
      <w:lvlJc w:val="left"/>
      <w:pPr>
        <w:tabs>
          <w:tab w:val="num" w:pos="2880"/>
        </w:tabs>
        <w:ind w:left="2880" w:hanging="360"/>
      </w:pPr>
      <w:rPr>
        <w:rFonts w:ascii="Arial" w:hAnsi="Arial" w:hint="default"/>
      </w:rPr>
    </w:lvl>
    <w:lvl w:ilvl="4" w:tplc="D9447D88" w:tentative="1">
      <w:start w:val="1"/>
      <w:numFmt w:val="bullet"/>
      <w:lvlText w:val="•"/>
      <w:lvlJc w:val="left"/>
      <w:pPr>
        <w:tabs>
          <w:tab w:val="num" w:pos="3600"/>
        </w:tabs>
        <w:ind w:left="3600" w:hanging="360"/>
      </w:pPr>
      <w:rPr>
        <w:rFonts w:ascii="Arial" w:hAnsi="Arial" w:hint="default"/>
      </w:rPr>
    </w:lvl>
    <w:lvl w:ilvl="5" w:tplc="5B22BF54" w:tentative="1">
      <w:start w:val="1"/>
      <w:numFmt w:val="bullet"/>
      <w:lvlText w:val="•"/>
      <w:lvlJc w:val="left"/>
      <w:pPr>
        <w:tabs>
          <w:tab w:val="num" w:pos="4320"/>
        </w:tabs>
        <w:ind w:left="4320" w:hanging="360"/>
      </w:pPr>
      <w:rPr>
        <w:rFonts w:ascii="Arial" w:hAnsi="Arial" w:hint="default"/>
      </w:rPr>
    </w:lvl>
    <w:lvl w:ilvl="6" w:tplc="72021144" w:tentative="1">
      <w:start w:val="1"/>
      <w:numFmt w:val="bullet"/>
      <w:lvlText w:val="•"/>
      <w:lvlJc w:val="left"/>
      <w:pPr>
        <w:tabs>
          <w:tab w:val="num" w:pos="5040"/>
        </w:tabs>
        <w:ind w:left="5040" w:hanging="360"/>
      </w:pPr>
      <w:rPr>
        <w:rFonts w:ascii="Arial" w:hAnsi="Arial" w:hint="default"/>
      </w:rPr>
    </w:lvl>
    <w:lvl w:ilvl="7" w:tplc="E332843C" w:tentative="1">
      <w:start w:val="1"/>
      <w:numFmt w:val="bullet"/>
      <w:lvlText w:val="•"/>
      <w:lvlJc w:val="left"/>
      <w:pPr>
        <w:tabs>
          <w:tab w:val="num" w:pos="5760"/>
        </w:tabs>
        <w:ind w:left="5760" w:hanging="360"/>
      </w:pPr>
      <w:rPr>
        <w:rFonts w:ascii="Arial" w:hAnsi="Arial" w:hint="default"/>
      </w:rPr>
    </w:lvl>
    <w:lvl w:ilvl="8" w:tplc="51DCF3F2" w:tentative="1">
      <w:start w:val="1"/>
      <w:numFmt w:val="bullet"/>
      <w:lvlText w:val="•"/>
      <w:lvlJc w:val="left"/>
      <w:pPr>
        <w:tabs>
          <w:tab w:val="num" w:pos="6480"/>
        </w:tabs>
        <w:ind w:left="6480" w:hanging="360"/>
      </w:pPr>
      <w:rPr>
        <w:rFonts w:ascii="Arial" w:hAnsi="Arial" w:hint="default"/>
      </w:rPr>
    </w:lvl>
  </w:abstractNum>
  <w:abstractNum w:abstractNumId="13">
    <w:nsid w:val="1369491F"/>
    <w:multiLevelType w:val="hybridMultilevel"/>
    <w:tmpl w:val="BB5084A2"/>
    <w:lvl w:ilvl="0" w:tplc="E3A02AA8">
      <w:start w:val="1"/>
      <w:numFmt w:val="bullet"/>
      <w:lvlText w:val="•"/>
      <w:lvlJc w:val="left"/>
      <w:pPr>
        <w:tabs>
          <w:tab w:val="num" w:pos="720"/>
        </w:tabs>
        <w:ind w:left="720" w:hanging="360"/>
      </w:pPr>
      <w:rPr>
        <w:rFonts w:ascii="Arial" w:hAnsi="Arial" w:hint="default"/>
      </w:rPr>
    </w:lvl>
    <w:lvl w:ilvl="1" w:tplc="DE6EE096" w:tentative="1">
      <w:start w:val="1"/>
      <w:numFmt w:val="bullet"/>
      <w:lvlText w:val="•"/>
      <w:lvlJc w:val="left"/>
      <w:pPr>
        <w:tabs>
          <w:tab w:val="num" w:pos="1440"/>
        </w:tabs>
        <w:ind w:left="1440" w:hanging="360"/>
      </w:pPr>
      <w:rPr>
        <w:rFonts w:ascii="Arial" w:hAnsi="Arial" w:hint="default"/>
      </w:rPr>
    </w:lvl>
    <w:lvl w:ilvl="2" w:tplc="645ECD22" w:tentative="1">
      <w:start w:val="1"/>
      <w:numFmt w:val="bullet"/>
      <w:lvlText w:val="•"/>
      <w:lvlJc w:val="left"/>
      <w:pPr>
        <w:tabs>
          <w:tab w:val="num" w:pos="2160"/>
        </w:tabs>
        <w:ind w:left="2160" w:hanging="360"/>
      </w:pPr>
      <w:rPr>
        <w:rFonts w:ascii="Arial" w:hAnsi="Arial" w:hint="default"/>
      </w:rPr>
    </w:lvl>
    <w:lvl w:ilvl="3" w:tplc="3AF645CA" w:tentative="1">
      <w:start w:val="1"/>
      <w:numFmt w:val="bullet"/>
      <w:lvlText w:val="•"/>
      <w:lvlJc w:val="left"/>
      <w:pPr>
        <w:tabs>
          <w:tab w:val="num" w:pos="2880"/>
        </w:tabs>
        <w:ind w:left="2880" w:hanging="360"/>
      </w:pPr>
      <w:rPr>
        <w:rFonts w:ascii="Arial" w:hAnsi="Arial" w:hint="default"/>
      </w:rPr>
    </w:lvl>
    <w:lvl w:ilvl="4" w:tplc="D30E6F9A" w:tentative="1">
      <w:start w:val="1"/>
      <w:numFmt w:val="bullet"/>
      <w:lvlText w:val="•"/>
      <w:lvlJc w:val="left"/>
      <w:pPr>
        <w:tabs>
          <w:tab w:val="num" w:pos="3600"/>
        </w:tabs>
        <w:ind w:left="3600" w:hanging="360"/>
      </w:pPr>
      <w:rPr>
        <w:rFonts w:ascii="Arial" w:hAnsi="Arial" w:hint="default"/>
      </w:rPr>
    </w:lvl>
    <w:lvl w:ilvl="5" w:tplc="CA5E2CD6" w:tentative="1">
      <w:start w:val="1"/>
      <w:numFmt w:val="bullet"/>
      <w:lvlText w:val="•"/>
      <w:lvlJc w:val="left"/>
      <w:pPr>
        <w:tabs>
          <w:tab w:val="num" w:pos="4320"/>
        </w:tabs>
        <w:ind w:left="4320" w:hanging="360"/>
      </w:pPr>
      <w:rPr>
        <w:rFonts w:ascii="Arial" w:hAnsi="Arial" w:hint="default"/>
      </w:rPr>
    </w:lvl>
    <w:lvl w:ilvl="6" w:tplc="750CB974" w:tentative="1">
      <w:start w:val="1"/>
      <w:numFmt w:val="bullet"/>
      <w:lvlText w:val="•"/>
      <w:lvlJc w:val="left"/>
      <w:pPr>
        <w:tabs>
          <w:tab w:val="num" w:pos="5040"/>
        </w:tabs>
        <w:ind w:left="5040" w:hanging="360"/>
      </w:pPr>
      <w:rPr>
        <w:rFonts w:ascii="Arial" w:hAnsi="Arial" w:hint="default"/>
      </w:rPr>
    </w:lvl>
    <w:lvl w:ilvl="7" w:tplc="29AAB5DA" w:tentative="1">
      <w:start w:val="1"/>
      <w:numFmt w:val="bullet"/>
      <w:lvlText w:val="•"/>
      <w:lvlJc w:val="left"/>
      <w:pPr>
        <w:tabs>
          <w:tab w:val="num" w:pos="5760"/>
        </w:tabs>
        <w:ind w:left="5760" w:hanging="360"/>
      </w:pPr>
      <w:rPr>
        <w:rFonts w:ascii="Arial" w:hAnsi="Arial" w:hint="default"/>
      </w:rPr>
    </w:lvl>
    <w:lvl w:ilvl="8" w:tplc="FFF63354" w:tentative="1">
      <w:start w:val="1"/>
      <w:numFmt w:val="bullet"/>
      <w:lvlText w:val="•"/>
      <w:lvlJc w:val="left"/>
      <w:pPr>
        <w:tabs>
          <w:tab w:val="num" w:pos="6480"/>
        </w:tabs>
        <w:ind w:left="6480" w:hanging="360"/>
      </w:pPr>
      <w:rPr>
        <w:rFonts w:ascii="Arial" w:hAnsi="Arial" w:hint="default"/>
      </w:rPr>
    </w:lvl>
  </w:abstractNum>
  <w:abstractNum w:abstractNumId="14">
    <w:nsid w:val="16E158DA"/>
    <w:multiLevelType w:val="hybridMultilevel"/>
    <w:tmpl w:val="DF1A8D08"/>
    <w:lvl w:ilvl="0" w:tplc="0C090005">
      <w:start w:val="1"/>
      <w:numFmt w:val="bullet"/>
      <w:lvlText w:val=""/>
      <w:lvlJc w:val="left"/>
      <w:pPr>
        <w:ind w:left="928" w:hanging="360"/>
      </w:pPr>
      <w:rPr>
        <w:rFonts w:ascii="Wingdings" w:hAnsi="Wingdings"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5">
    <w:nsid w:val="24EB7BA0"/>
    <w:multiLevelType w:val="hybridMultilevel"/>
    <w:tmpl w:val="F0A2FE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nsid w:val="271A4DEA"/>
    <w:multiLevelType w:val="hybridMultilevel"/>
    <w:tmpl w:val="7EFAA450"/>
    <w:lvl w:ilvl="0" w:tplc="1722E878">
      <w:start w:val="1"/>
      <w:numFmt w:val="bullet"/>
      <w:lvlText w:val="•"/>
      <w:lvlJc w:val="left"/>
      <w:pPr>
        <w:tabs>
          <w:tab w:val="num" w:pos="720"/>
        </w:tabs>
        <w:ind w:left="720" w:hanging="360"/>
      </w:pPr>
      <w:rPr>
        <w:rFonts w:ascii="Arial" w:hAnsi="Arial" w:hint="default"/>
      </w:rPr>
    </w:lvl>
    <w:lvl w:ilvl="1" w:tplc="DC0E8996" w:tentative="1">
      <w:start w:val="1"/>
      <w:numFmt w:val="bullet"/>
      <w:lvlText w:val="•"/>
      <w:lvlJc w:val="left"/>
      <w:pPr>
        <w:tabs>
          <w:tab w:val="num" w:pos="1440"/>
        </w:tabs>
        <w:ind w:left="1440" w:hanging="360"/>
      </w:pPr>
      <w:rPr>
        <w:rFonts w:ascii="Arial" w:hAnsi="Arial" w:hint="default"/>
      </w:rPr>
    </w:lvl>
    <w:lvl w:ilvl="2" w:tplc="AAC4BB56" w:tentative="1">
      <w:start w:val="1"/>
      <w:numFmt w:val="bullet"/>
      <w:lvlText w:val="•"/>
      <w:lvlJc w:val="left"/>
      <w:pPr>
        <w:tabs>
          <w:tab w:val="num" w:pos="2160"/>
        </w:tabs>
        <w:ind w:left="2160" w:hanging="360"/>
      </w:pPr>
      <w:rPr>
        <w:rFonts w:ascii="Arial" w:hAnsi="Arial" w:hint="default"/>
      </w:rPr>
    </w:lvl>
    <w:lvl w:ilvl="3" w:tplc="542C8306" w:tentative="1">
      <w:start w:val="1"/>
      <w:numFmt w:val="bullet"/>
      <w:lvlText w:val="•"/>
      <w:lvlJc w:val="left"/>
      <w:pPr>
        <w:tabs>
          <w:tab w:val="num" w:pos="2880"/>
        </w:tabs>
        <w:ind w:left="2880" w:hanging="360"/>
      </w:pPr>
      <w:rPr>
        <w:rFonts w:ascii="Arial" w:hAnsi="Arial" w:hint="default"/>
      </w:rPr>
    </w:lvl>
    <w:lvl w:ilvl="4" w:tplc="2676DA40" w:tentative="1">
      <w:start w:val="1"/>
      <w:numFmt w:val="bullet"/>
      <w:lvlText w:val="•"/>
      <w:lvlJc w:val="left"/>
      <w:pPr>
        <w:tabs>
          <w:tab w:val="num" w:pos="3600"/>
        </w:tabs>
        <w:ind w:left="3600" w:hanging="360"/>
      </w:pPr>
      <w:rPr>
        <w:rFonts w:ascii="Arial" w:hAnsi="Arial" w:hint="default"/>
      </w:rPr>
    </w:lvl>
    <w:lvl w:ilvl="5" w:tplc="7C6840FE" w:tentative="1">
      <w:start w:val="1"/>
      <w:numFmt w:val="bullet"/>
      <w:lvlText w:val="•"/>
      <w:lvlJc w:val="left"/>
      <w:pPr>
        <w:tabs>
          <w:tab w:val="num" w:pos="4320"/>
        </w:tabs>
        <w:ind w:left="4320" w:hanging="360"/>
      </w:pPr>
      <w:rPr>
        <w:rFonts w:ascii="Arial" w:hAnsi="Arial" w:hint="default"/>
      </w:rPr>
    </w:lvl>
    <w:lvl w:ilvl="6" w:tplc="E59E8226" w:tentative="1">
      <w:start w:val="1"/>
      <w:numFmt w:val="bullet"/>
      <w:lvlText w:val="•"/>
      <w:lvlJc w:val="left"/>
      <w:pPr>
        <w:tabs>
          <w:tab w:val="num" w:pos="5040"/>
        </w:tabs>
        <w:ind w:left="5040" w:hanging="360"/>
      </w:pPr>
      <w:rPr>
        <w:rFonts w:ascii="Arial" w:hAnsi="Arial" w:hint="default"/>
      </w:rPr>
    </w:lvl>
    <w:lvl w:ilvl="7" w:tplc="54B869C6" w:tentative="1">
      <w:start w:val="1"/>
      <w:numFmt w:val="bullet"/>
      <w:lvlText w:val="•"/>
      <w:lvlJc w:val="left"/>
      <w:pPr>
        <w:tabs>
          <w:tab w:val="num" w:pos="5760"/>
        </w:tabs>
        <w:ind w:left="5760" w:hanging="360"/>
      </w:pPr>
      <w:rPr>
        <w:rFonts w:ascii="Arial" w:hAnsi="Arial" w:hint="default"/>
      </w:rPr>
    </w:lvl>
    <w:lvl w:ilvl="8" w:tplc="4788919E" w:tentative="1">
      <w:start w:val="1"/>
      <w:numFmt w:val="bullet"/>
      <w:lvlText w:val="•"/>
      <w:lvlJc w:val="left"/>
      <w:pPr>
        <w:tabs>
          <w:tab w:val="num" w:pos="6480"/>
        </w:tabs>
        <w:ind w:left="6480" w:hanging="360"/>
      </w:pPr>
      <w:rPr>
        <w:rFonts w:ascii="Arial" w:hAnsi="Arial" w:hint="default"/>
      </w:rPr>
    </w:lvl>
  </w:abstractNum>
  <w:abstractNum w:abstractNumId="17">
    <w:nsid w:val="29112A45"/>
    <w:multiLevelType w:val="hybridMultilevel"/>
    <w:tmpl w:val="A75C0F3C"/>
    <w:lvl w:ilvl="0" w:tplc="DB12CE98">
      <w:start w:val="1"/>
      <w:numFmt w:val="bullet"/>
      <w:lvlText w:val="•"/>
      <w:lvlJc w:val="left"/>
      <w:pPr>
        <w:tabs>
          <w:tab w:val="num" w:pos="720"/>
        </w:tabs>
        <w:ind w:left="720" w:hanging="360"/>
      </w:pPr>
      <w:rPr>
        <w:rFonts w:ascii="Arial" w:hAnsi="Arial" w:hint="default"/>
      </w:rPr>
    </w:lvl>
    <w:lvl w:ilvl="1" w:tplc="4CEA207A" w:tentative="1">
      <w:start w:val="1"/>
      <w:numFmt w:val="bullet"/>
      <w:lvlText w:val="•"/>
      <w:lvlJc w:val="left"/>
      <w:pPr>
        <w:tabs>
          <w:tab w:val="num" w:pos="1440"/>
        </w:tabs>
        <w:ind w:left="1440" w:hanging="360"/>
      </w:pPr>
      <w:rPr>
        <w:rFonts w:ascii="Arial" w:hAnsi="Arial" w:hint="default"/>
      </w:rPr>
    </w:lvl>
    <w:lvl w:ilvl="2" w:tplc="4BC682CA" w:tentative="1">
      <w:start w:val="1"/>
      <w:numFmt w:val="bullet"/>
      <w:lvlText w:val="•"/>
      <w:lvlJc w:val="left"/>
      <w:pPr>
        <w:tabs>
          <w:tab w:val="num" w:pos="2160"/>
        </w:tabs>
        <w:ind w:left="2160" w:hanging="360"/>
      </w:pPr>
      <w:rPr>
        <w:rFonts w:ascii="Arial" w:hAnsi="Arial" w:hint="default"/>
      </w:rPr>
    </w:lvl>
    <w:lvl w:ilvl="3" w:tplc="2964510C" w:tentative="1">
      <w:start w:val="1"/>
      <w:numFmt w:val="bullet"/>
      <w:lvlText w:val="•"/>
      <w:lvlJc w:val="left"/>
      <w:pPr>
        <w:tabs>
          <w:tab w:val="num" w:pos="2880"/>
        </w:tabs>
        <w:ind w:left="2880" w:hanging="360"/>
      </w:pPr>
      <w:rPr>
        <w:rFonts w:ascii="Arial" w:hAnsi="Arial" w:hint="default"/>
      </w:rPr>
    </w:lvl>
    <w:lvl w:ilvl="4" w:tplc="A52C10B8" w:tentative="1">
      <w:start w:val="1"/>
      <w:numFmt w:val="bullet"/>
      <w:lvlText w:val="•"/>
      <w:lvlJc w:val="left"/>
      <w:pPr>
        <w:tabs>
          <w:tab w:val="num" w:pos="3600"/>
        </w:tabs>
        <w:ind w:left="3600" w:hanging="360"/>
      </w:pPr>
      <w:rPr>
        <w:rFonts w:ascii="Arial" w:hAnsi="Arial" w:hint="default"/>
      </w:rPr>
    </w:lvl>
    <w:lvl w:ilvl="5" w:tplc="C3CC06AE" w:tentative="1">
      <w:start w:val="1"/>
      <w:numFmt w:val="bullet"/>
      <w:lvlText w:val="•"/>
      <w:lvlJc w:val="left"/>
      <w:pPr>
        <w:tabs>
          <w:tab w:val="num" w:pos="4320"/>
        </w:tabs>
        <w:ind w:left="4320" w:hanging="360"/>
      </w:pPr>
      <w:rPr>
        <w:rFonts w:ascii="Arial" w:hAnsi="Arial" w:hint="default"/>
      </w:rPr>
    </w:lvl>
    <w:lvl w:ilvl="6" w:tplc="C0423B1E" w:tentative="1">
      <w:start w:val="1"/>
      <w:numFmt w:val="bullet"/>
      <w:lvlText w:val="•"/>
      <w:lvlJc w:val="left"/>
      <w:pPr>
        <w:tabs>
          <w:tab w:val="num" w:pos="5040"/>
        </w:tabs>
        <w:ind w:left="5040" w:hanging="360"/>
      </w:pPr>
      <w:rPr>
        <w:rFonts w:ascii="Arial" w:hAnsi="Arial" w:hint="default"/>
      </w:rPr>
    </w:lvl>
    <w:lvl w:ilvl="7" w:tplc="3BE89858" w:tentative="1">
      <w:start w:val="1"/>
      <w:numFmt w:val="bullet"/>
      <w:lvlText w:val="•"/>
      <w:lvlJc w:val="left"/>
      <w:pPr>
        <w:tabs>
          <w:tab w:val="num" w:pos="5760"/>
        </w:tabs>
        <w:ind w:left="5760" w:hanging="360"/>
      </w:pPr>
      <w:rPr>
        <w:rFonts w:ascii="Arial" w:hAnsi="Arial" w:hint="default"/>
      </w:rPr>
    </w:lvl>
    <w:lvl w:ilvl="8" w:tplc="FEC8DCA8" w:tentative="1">
      <w:start w:val="1"/>
      <w:numFmt w:val="bullet"/>
      <w:lvlText w:val="•"/>
      <w:lvlJc w:val="left"/>
      <w:pPr>
        <w:tabs>
          <w:tab w:val="num" w:pos="6480"/>
        </w:tabs>
        <w:ind w:left="6480" w:hanging="360"/>
      </w:pPr>
      <w:rPr>
        <w:rFonts w:ascii="Arial" w:hAnsi="Arial" w:hint="default"/>
      </w:rPr>
    </w:lvl>
  </w:abstractNum>
  <w:abstractNum w:abstractNumId="18">
    <w:nsid w:val="32D8378C"/>
    <w:multiLevelType w:val="hybridMultilevel"/>
    <w:tmpl w:val="76E2455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nsid w:val="37D77D62"/>
    <w:multiLevelType w:val="hybridMultilevel"/>
    <w:tmpl w:val="E1C49B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391348A3"/>
    <w:multiLevelType w:val="hybridMultilevel"/>
    <w:tmpl w:val="981038D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nsid w:val="42993115"/>
    <w:multiLevelType w:val="hybridMultilevel"/>
    <w:tmpl w:val="835A76EA"/>
    <w:lvl w:ilvl="0" w:tplc="7B5AA8BE">
      <w:start w:val="1"/>
      <w:numFmt w:val="bullet"/>
      <w:lvlText w:val="•"/>
      <w:lvlJc w:val="left"/>
      <w:pPr>
        <w:tabs>
          <w:tab w:val="num" w:pos="720"/>
        </w:tabs>
        <w:ind w:left="720" w:hanging="360"/>
      </w:pPr>
      <w:rPr>
        <w:rFonts w:ascii="Arial" w:hAnsi="Arial" w:hint="default"/>
      </w:rPr>
    </w:lvl>
    <w:lvl w:ilvl="1" w:tplc="F10269C2" w:tentative="1">
      <w:start w:val="1"/>
      <w:numFmt w:val="bullet"/>
      <w:lvlText w:val="•"/>
      <w:lvlJc w:val="left"/>
      <w:pPr>
        <w:tabs>
          <w:tab w:val="num" w:pos="1440"/>
        </w:tabs>
        <w:ind w:left="1440" w:hanging="360"/>
      </w:pPr>
      <w:rPr>
        <w:rFonts w:ascii="Arial" w:hAnsi="Arial" w:hint="default"/>
      </w:rPr>
    </w:lvl>
    <w:lvl w:ilvl="2" w:tplc="8F5EA2A4" w:tentative="1">
      <w:start w:val="1"/>
      <w:numFmt w:val="bullet"/>
      <w:lvlText w:val="•"/>
      <w:lvlJc w:val="left"/>
      <w:pPr>
        <w:tabs>
          <w:tab w:val="num" w:pos="2160"/>
        </w:tabs>
        <w:ind w:left="2160" w:hanging="360"/>
      </w:pPr>
      <w:rPr>
        <w:rFonts w:ascii="Arial" w:hAnsi="Arial" w:hint="default"/>
      </w:rPr>
    </w:lvl>
    <w:lvl w:ilvl="3" w:tplc="EC586E14" w:tentative="1">
      <w:start w:val="1"/>
      <w:numFmt w:val="bullet"/>
      <w:lvlText w:val="•"/>
      <w:lvlJc w:val="left"/>
      <w:pPr>
        <w:tabs>
          <w:tab w:val="num" w:pos="2880"/>
        </w:tabs>
        <w:ind w:left="2880" w:hanging="360"/>
      </w:pPr>
      <w:rPr>
        <w:rFonts w:ascii="Arial" w:hAnsi="Arial" w:hint="default"/>
      </w:rPr>
    </w:lvl>
    <w:lvl w:ilvl="4" w:tplc="5ECE9108" w:tentative="1">
      <w:start w:val="1"/>
      <w:numFmt w:val="bullet"/>
      <w:lvlText w:val="•"/>
      <w:lvlJc w:val="left"/>
      <w:pPr>
        <w:tabs>
          <w:tab w:val="num" w:pos="3600"/>
        </w:tabs>
        <w:ind w:left="3600" w:hanging="360"/>
      </w:pPr>
      <w:rPr>
        <w:rFonts w:ascii="Arial" w:hAnsi="Arial" w:hint="default"/>
      </w:rPr>
    </w:lvl>
    <w:lvl w:ilvl="5" w:tplc="4D7852BA" w:tentative="1">
      <w:start w:val="1"/>
      <w:numFmt w:val="bullet"/>
      <w:lvlText w:val="•"/>
      <w:lvlJc w:val="left"/>
      <w:pPr>
        <w:tabs>
          <w:tab w:val="num" w:pos="4320"/>
        </w:tabs>
        <w:ind w:left="4320" w:hanging="360"/>
      </w:pPr>
      <w:rPr>
        <w:rFonts w:ascii="Arial" w:hAnsi="Arial" w:hint="default"/>
      </w:rPr>
    </w:lvl>
    <w:lvl w:ilvl="6" w:tplc="0F5A6C02" w:tentative="1">
      <w:start w:val="1"/>
      <w:numFmt w:val="bullet"/>
      <w:lvlText w:val="•"/>
      <w:lvlJc w:val="left"/>
      <w:pPr>
        <w:tabs>
          <w:tab w:val="num" w:pos="5040"/>
        </w:tabs>
        <w:ind w:left="5040" w:hanging="360"/>
      </w:pPr>
      <w:rPr>
        <w:rFonts w:ascii="Arial" w:hAnsi="Arial" w:hint="default"/>
      </w:rPr>
    </w:lvl>
    <w:lvl w:ilvl="7" w:tplc="FAF6748E" w:tentative="1">
      <w:start w:val="1"/>
      <w:numFmt w:val="bullet"/>
      <w:lvlText w:val="•"/>
      <w:lvlJc w:val="left"/>
      <w:pPr>
        <w:tabs>
          <w:tab w:val="num" w:pos="5760"/>
        </w:tabs>
        <w:ind w:left="5760" w:hanging="360"/>
      </w:pPr>
      <w:rPr>
        <w:rFonts w:ascii="Arial" w:hAnsi="Arial" w:hint="default"/>
      </w:rPr>
    </w:lvl>
    <w:lvl w:ilvl="8" w:tplc="D42A0B76" w:tentative="1">
      <w:start w:val="1"/>
      <w:numFmt w:val="bullet"/>
      <w:lvlText w:val="•"/>
      <w:lvlJc w:val="left"/>
      <w:pPr>
        <w:tabs>
          <w:tab w:val="num" w:pos="6480"/>
        </w:tabs>
        <w:ind w:left="6480" w:hanging="360"/>
      </w:pPr>
      <w:rPr>
        <w:rFonts w:ascii="Arial" w:hAnsi="Arial" w:hint="default"/>
      </w:rPr>
    </w:lvl>
  </w:abstractNum>
  <w:abstractNum w:abstractNumId="22">
    <w:nsid w:val="436A7891"/>
    <w:multiLevelType w:val="hybridMultilevel"/>
    <w:tmpl w:val="C0C27DF6"/>
    <w:lvl w:ilvl="0" w:tplc="BEC875C0">
      <w:start w:val="1"/>
      <w:numFmt w:val="decimal"/>
      <w:lvlText w:val="Figure %1."/>
      <w:lvlJc w:val="left"/>
      <w:pPr>
        <w:ind w:left="720" w:hanging="360"/>
      </w:pPr>
      <w:rPr>
        <w:rFonts w:ascii="Arial Bold" w:hAnsi="Arial Bold" w:hint="default"/>
        <w:b/>
        <w:i w:val="0"/>
        <w:color w:val="008542"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7026360"/>
    <w:multiLevelType w:val="hybridMultilevel"/>
    <w:tmpl w:val="63FC2814"/>
    <w:lvl w:ilvl="0" w:tplc="E430B2A8">
      <w:start w:val="1"/>
      <w:numFmt w:val="bullet"/>
      <w:lvlText w:val="•"/>
      <w:lvlJc w:val="left"/>
      <w:pPr>
        <w:tabs>
          <w:tab w:val="num" w:pos="720"/>
        </w:tabs>
        <w:ind w:left="720" w:hanging="360"/>
      </w:pPr>
      <w:rPr>
        <w:rFonts w:ascii="Arial" w:hAnsi="Arial" w:hint="default"/>
      </w:rPr>
    </w:lvl>
    <w:lvl w:ilvl="1" w:tplc="4D62FEB4" w:tentative="1">
      <w:start w:val="1"/>
      <w:numFmt w:val="bullet"/>
      <w:lvlText w:val="•"/>
      <w:lvlJc w:val="left"/>
      <w:pPr>
        <w:tabs>
          <w:tab w:val="num" w:pos="1440"/>
        </w:tabs>
        <w:ind w:left="1440" w:hanging="360"/>
      </w:pPr>
      <w:rPr>
        <w:rFonts w:ascii="Arial" w:hAnsi="Arial" w:hint="default"/>
      </w:rPr>
    </w:lvl>
    <w:lvl w:ilvl="2" w:tplc="D9CAB494" w:tentative="1">
      <w:start w:val="1"/>
      <w:numFmt w:val="bullet"/>
      <w:lvlText w:val="•"/>
      <w:lvlJc w:val="left"/>
      <w:pPr>
        <w:tabs>
          <w:tab w:val="num" w:pos="2160"/>
        </w:tabs>
        <w:ind w:left="2160" w:hanging="360"/>
      </w:pPr>
      <w:rPr>
        <w:rFonts w:ascii="Arial" w:hAnsi="Arial" w:hint="default"/>
      </w:rPr>
    </w:lvl>
    <w:lvl w:ilvl="3" w:tplc="03FC1528" w:tentative="1">
      <w:start w:val="1"/>
      <w:numFmt w:val="bullet"/>
      <w:lvlText w:val="•"/>
      <w:lvlJc w:val="left"/>
      <w:pPr>
        <w:tabs>
          <w:tab w:val="num" w:pos="2880"/>
        </w:tabs>
        <w:ind w:left="2880" w:hanging="360"/>
      </w:pPr>
      <w:rPr>
        <w:rFonts w:ascii="Arial" w:hAnsi="Arial" w:hint="default"/>
      </w:rPr>
    </w:lvl>
    <w:lvl w:ilvl="4" w:tplc="0D70F7B4" w:tentative="1">
      <w:start w:val="1"/>
      <w:numFmt w:val="bullet"/>
      <w:lvlText w:val="•"/>
      <w:lvlJc w:val="left"/>
      <w:pPr>
        <w:tabs>
          <w:tab w:val="num" w:pos="3600"/>
        </w:tabs>
        <w:ind w:left="3600" w:hanging="360"/>
      </w:pPr>
      <w:rPr>
        <w:rFonts w:ascii="Arial" w:hAnsi="Arial" w:hint="default"/>
      </w:rPr>
    </w:lvl>
    <w:lvl w:ilvl="5" w:tplc="35B26C30" w:tentative="1">
      <w:start w:val="1"/>
      <w:numFmt w:val="bullet"/>
      <w:lvlText w:val="•"/>
      <w:lvlJc w:val="left"/>
      <w:pPr>
        <w:tabs>
          <w:tab w:val="num" w:pos="4320"/>
        </w:tabs>
        <w:ind w:left="4320" w:hanging="360"/>
      </w:pPr>
      <w:rPr>
        <w:rFonts w:ascii="Arial" w:hAnsi="Arial" w:hint="default"/>
      </w:rPr>
    </w:lvl>
    <w:lvl w:ilvl="6" w:tplc="CA525606" w:tentative="1">
      <w:start w:val="1"/>
      <w:numFmt w:val="bullet"/>
      <w:lvlText w:val="•"/>
      <w:lvlJc w:val="left"/>
      <w:pPr>
        <w:tabs>
          <w:tab w:val="num" w:pos="5040"/>
        </w:tabs>
        <w:ind w:left="5040" w:hanging="360"/>
      </w:pPr>
      <w:rPr>
        <w:rFonts w:ascii="Arial" w:hAnsi="Arial" w:hint="default"/>
      </w:rPr>
    </w:lvl>
    <w:lvl w:ilvl="7" w:tplc="834A4568" w:tentative="1">
      <w:start w:val="1"/>
      <w:numFmt w:val="bullet"/>
      <w:lvlText w:val="•"/>
      <w:lvlJc w:val="left"/>
      <w:pPr>
        <w:tabs>
          <w:tab w:val="num" w:pos="5760"/>
        </w:tabs>
        <w:ind w:left="5760" w:hanging="360"/>
      </w:pPr>
      <w:rPr>
        <w:rFonts w:ascii="Arial" w:hAnsi="Arial" w:hint="default"/>
      </w:rPr>
    </w:lvl>
    <w:lvl w:ilvl="8" w:tplc="1A045A90" w:tentative="1">
      <w:start w:val="1"/>
      <w:numFmt w:val="bullet"/>
      <w:lvlText w:val="•"/>
      <w:lvlJc w:val="left"/>
      <w:pPr>
        <w:tabs>
          <w:tab w:val="num" w:pos="6480"/>
        </w:tabs>
        <w:ind w:left="6480" w:hanging="360"/>
      </w:pPr>
      <w:rPr>
        <w:rFonts w:ascii="Arial" w:hAnsi="Arial" w:hint="default"/>
      </w:rPr>
    </w:lvl>
  </w:abstractNum>
  <w:abstractNum w:abstractNumId="24">
    <w:nsid w:val="4A741AB6"/>
    <w:multiLevelType w:val="multilevel"/>
    <w:tmpl w:val="064CD1F8"/>
    <w:lvl w:ilvl="0">
      <w:start w:val="2"/>
      <w:numFmt w:val="decimal"/>
      <w:lvlText w:val="%1."/>
      <w:lvlJc w:val="left"/>
      <w:pPr>
        <w:ind w:left="720" w:hanging="360"/>
      </w:pPr>
    </w:lvl>
    <w:lvl w:ilvl="1">
      <w:start w:val="1"/>
      <w:numFmt w:val="decimal"/>
      <w:isLgl/>
      <w:lvlText w:val="%1.%2"/>
      <w:lvlJc w:val="left"/>
      <w:pPr>
        <w:ind w:left="915" w:hanging="55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nsid w:val="4AAD02E7"/>
    <w:multiLevelType w:val="hybridMultilevel"/>
    <w:tmpl w:val="223A6A42"/>
    <w:lvl w:ilvl="0" w:tplc="D0725958">
      <w:start w:val="1"/>
      <w:numFmt w:val="bullet"/>
      <w:lvlText w:val="•"/>
      <w:lvlJc w:val="left"/>
      <w:pPr>
        <w:tabs>
          <w:tab w:val="num" w:pos="720"/>
        </w:tabs>
        <w:ind w:left="720" w:hanging="360"/>
      </w:pPr>
      <w:rPr>
        <w:rFonts w:ascii="Arial" w:hAnsi="Arial" w:hint="default"/>
      </w:rPr>
    </w:lvl>
    <w:lvl w:ilvl="1" w:tplc="1F9E4A96" w:tentative="1">
      <w:start w:val="1"/>
      <w:numFmt w:val="bullet"/>
      <w:lvlText w:val="•"/>
      <w:lvlJc w:val="left"/>
      <w:pPr>
        <w:tabs>
          <w:tab w:val="num" w:pos="1440"/>
        </w:tabs>
        <w:ind w:left="1440" w:hanging="360"/>
      </w:pPr>
      <w:rPr>
        <w:rFonts w:ascii="Arial" w:hAnsi="Arial" w:hint="default"/>
      </w:rPr>
    </w:lvl>
    <w:lvl w:ilvl="2" w:tplc="D50CD630" w:tentative="1">
      <w:start w:val="1"/>
      <w:numFmt w:val="bullet"/>
      <w:lvlText w:val="•"/>
      <w:lvlJc w:val="left"/>
      <w:pPr>
        <w:tabs>
          <w:tab w:val="num" w:pos="2160"/>
        </w:tabs>
        <w:ind w:left="2160" w:hanging="360"/>
      </w:pPr>
      <w:rPr>
        <w:rFonts w:ascii="Arial" w:hAnsi="Arial" w:hint="default"/>
      </w:rPr>
    </w:lvl>
    <w:lvl w:ilvl="3" w:tplc="7938DB54" w:tentative="1">
      <w:start w:val="1"/>
      <w:numFmt w:val="bullet"/>
      <w:lvlText w:val="•"/>
      <w:lvlJc w:val="left"/>
      <w:pPr>
        <w:tabs>
          <w:tab w:val="num" w:pos="2880"/>
        </w:tabs>
        <w:ind w:left="2880" w:hanging="360"/>
      </w:pPr>
      <w:rPr>
        <w:rFonts w:ascii="Arial" w:hAnsi="Arial" w:hint="default"/>
      </w:rPr>
    </w:lvl>
    <w:lvl w:ilvl="4" w:tplc="A0460B38" w:tentative="1">
      <w:start w:val="1"/>
      <w:numFmt w:val="bullet"/>
      <w:lvlText w:val="•"/>
      <w:lvlJc w:val="left"/>
      <w:pPr>
        <w:tabs>
          <w:tab w:val="num" w:pos="3600"/>
        </w:tabs>
        <w:ind w:left="3600" w:hanging="360"/>
      </w:pPr>
      <w:rPr>
        <w:rFonts w:ascii="Arial" w:hAnsi="Arial" w:hint="default"/>
      </w:rPr>
    </w:lvl>
    <w:lvl w:ilvl="5" w:tplc="A7E22A1A" w:tentative="1">
      <w:start w:val="1"/>
      <w:numFmt w:val="bullet"/>
      <w:lvlText w:val="•"/>
      <w:lvlJc w:val="left"/>
      <w:pPr>
        <w:tabs>
          <w:tab w:val="num" w:pos="4320"/>
        </w:tabs>
        <w:ind w:left="4320" w:hanging="360"/>
      </w:pPr>
      <w:rPr>
        <w:rFonts w:ascii="Arial" w:hAnsi="Arial" w:hint="default"/>
      </w:rPr>
    </w:lvl>
    <w:lvl w:ilvl="6" w:tplc="6C686698" w:tentative="1">
      <w:start w:val="1"/>
      <w:numFmt w:val="bullet"/>
      <w:lvlText w:val="•"/>
      <w:lvlJc w:val="left"/>
      <w:pPr>
        <w:tabs>
          <w:tab w:val="num" w:pos="5040"/>
        </w:tabs>
        <w:ind w:left="5040" w:hanging="360"/>
      </w:pPr>
      <w:rPr>
        <w:rFonts w:ascii="Arial" w:hAnsi="Arial" w:hint="default"/>
      </w:rPr>
    </w:lvl>
    <w:lvl w:ilvl="7" w:tplc="591E6008" w:tentative="1">
      <w:start w:val="1"/>
      <w:numFmt w:val="bullet"/>
      <w:lvlText w:val="•"/>
      <w:lvlJc w:val="left"/>
      <w:pPr>
        <w:tabs>
          <w:tab w:val="num" w:pos="5760"/>
        </w:tabs>
        <w:ind w:left="5760" w:hanging="360"/>
      </w:pPr>
      <w:rPr>
        <w:rFonts w:ascii="Arial" w:hAnsi="Arial" w:hint="default"/>
      </w:rPr>
    </w:lvl>
    <w:lvl w:ilvl="8" w:tplc="AFE4380E" w:tentative="1">
      <w:start w:val="1"/>
      <w:numFmt w:val="bullet"/>
      <w:lvlText w:val="•"/>
      <w:lvlJc w:val="left"/>
      <w:pPr>
        <w:tabs>
          <w:tab w:val="num" w:pos="6480"/>
        </w:tabs>
        <w:ind w:left="6480" w:hanging="360"/>
      </w:pPr>
      <w:rPr>
        <w:rFonts w:ascii="Arial" w:hAnsi="Arial" w:hint="default"/>
      </w:rPr>
    </w:lvl>
  </w:abstractNum>
  <w:abstractNum w:abstractNumId="26">
    <w:nsid w:val="4DDA62B5"/>
    <w:multiLevelType w:val="hybridMultilevel"/>
    <w:tmpl w:val="22EAAE6C"/>
    <w:lvl w:ilvl="0" w:tplc="D77A22A8">
      <w:start w:val="1"/>
      <w:numFmt w:val="bullet"/>
      <w:lvlText w:val="•"/>
      <w:lvlJc w:val="left"/>
      <w:pPr>
        <w:tabs>
          <w:tab w:val="num" w:pos="720"/>
        </w:tabs>
        <w:ind w:left="720" w:hanging="360"/>
      </w:pPr>
      <w:rPr>
        <w:rFonts w:ascii="Arial" w:hAnsi="Arial" w:hint="default"/>
      </w:rPr>
    </w:lvl>
    <w:lvl w:ilvl="1" w:tplc="E8603B9A" w:tentative="1">
      <w:start w:val="1"/>
      <w:numFmt w:val="bullet"/>
      <w:lvlText w:val="•"/>
      <w:lvlJc w:val="left"/>
      <w:pPr>
        <w:tabs>
          <w:tab w:val="num" w:pos="1440"/>
        </w:tabs>
        <w:ind w:left="1440" w:hanging="360"/>
      </w:pPr>
      <w:rPr>
        <w:rFonts w:ascii="Arial" w:hAnsi="Arial" w:hint="default"/>
      </w:rPr>
    </w:lvl>
    <w:lvl w:ilvl="2" w:tplc="EDFC5F76" w:tentative="1">
      <w:start w:val="1"/>
      <w:numFmt w:val="bullet"/>
      <w:lvlText w:val="•"/>
      <w:lvlJc w:val="left"/>
      <w:pPr>
        <w:tabs>
          <w:tab w:val="num" w:pos="2160"/>
        </w:tabs>
        <w:ind w:left="2160" w:hanging="360"/>
      </w:pPr>
      <w:rPr>
        <w:rFonts w:ascii="Arial" w:hAnsi="Arial" w:hint="default"/>
      </w:rPr>
    </w:lvl>
    <w:lvl w:ilvl="3" w:tplc="A49ECEC2" w:tentative="1">
      <w:start w:val="1"/>
      <w:numFmt w:val="bullet"/>
      <w:lvlText w:val="•"/>
      <w:lvlJc w:val="left"/>
      <w:pPr>
        <w:tabs>
          <w:tab w:val="num" w:pos="2880"/>
        </w:tabs>
        <w:ind w:left="2880" w:hanging="360"/>
      </w:pPr>
      <w:rPr>
        <w:rFonts w:ascii="Arial" w:hAnsi="Arial" w:hint="default"/>
      </w:rPr>
    </w:lvl>
    <w:lvl w:ilvl="4" w:tplc="A4B0A330" w:tentative="1">
      <w:start w:val="1"/>
      <w:numFmt w:val="bullet"/>
      <w:lvlText w:val="•"/>
      <w:lvlJc w:val="left"/>
      <w:pPr>
        <w:tabs>
          <w:tab w:val="num" w:pos="3600"/>
        </w:tabs>
        <w:ind w:left="3600" w:hanging="360"/>
      </w:pPr>
      <w:rPr>
        <w:rFonts w:ascii="Arial" w:hAnsi="Arial" w:hint="default"/>
      </w:rPr>
    </w:lvl>
    <w:lvl w:ilvl="5" w:tplc="FABCC67E" w:tentative="1">
      <w:start w:val="1"/>
      <w:numFmt w:val="bullet"/>
      <w:lvlText w:val="•"/>
      <w:lvlJc w:val="left"/>
      <w:pPr>
        <w:tabs>
          <w:tab w:val="num" w:pos="4320"/>
        </w:tabs>
        <w:ind w:left="4320" w:hanging="360"/>
      </w:pPr>
      <w:rPr>
        <w:rFonts w:ascii="Arial" w:hAnsi="Arial" w:hint="default"/>
      </w:rPr>
    </w:lvl>
    <w:lvl w:ilvl="6" w:tplc="6DDE7668" w:tentative="1">
      <w:start w:val="1"/>
      <w:numFmt w:val="bullet"/>
      <w:lvlText w:val="•"/>
      <w:lvlJc w:val="left"/>
      <w:pPr>
        <w:tabs>
          <w:tab w:val="num" w:pos="5040"/>
        </w:tabs>
        <w:ind w:left="5040" w:hanging="360"/>
      </w:pPr>
      <w:rPr>
        <w:rFonts w:ascii="Arial" w:hAnsi="Arial" w:hint="default"/>
      </w:rPr>
    </w:lvl>
    <w:lvl w:ilvl="7" w:tplc="F072CAA6" w:tentative="1">
      <w:start w:val="1"/>
      <w:numFmt w:val="bullet"/>
      <w:lvlText w:val="•"/>
      <w:lvlJc w:val="left"/>
      <w:pPr>
        <w:tabs>
          <w:tab w:val="num" w:pos="5760"/>
        </w:tabs>
        <w:ind w:left="5760" w:hanging="360"/>
      </w:pPr>
      <w:rPr>
        <w:rFonts w:ascii="Arial" w:hAnsi="Arial" w:hint="default"/>
      </w:rPr>
    </w:lvl>
    <w:lvl w:ilvl="8" w:tplc="F670E692" w:tentative="1">
      <w:start w:val="1"/>
      <w:numFmt w:val="bullet"/>
      <w:lvlText w:val="•"/>
      <w:lvlJc w:val="left"/>
      <w:pPr>
        <w:tabs>
          <w:tab w:val="num" w:pos="6480"/>
        </w:tabs>
        <w:ind w:left="6480" w:hanging="360"/>
      </w:pPr>
      <w:rPr>
        <w:rFonts w:ascii="Arial" w:hAnsi="Arial" w:hint="default"/>
      </w:rPr>
    </w:lvl>
  </w:abstractNum>
  <w:abstractNum w:abstractNumId="27">
    <w:nsid w:val="538D133A"/>
    <w:multiLevelType w:val="hybridMultilevel"/>
    <w:tmpl w:val="98789CAA"/>
    <w:lvl w:ilvl="0" w:tplc="B568FC7E">
      <w:start w:val="1"/>
      <w:numFmt w:val="bullet"/>
      <w:lvlText w:val="•"/>
      <w:lvlJc w:val="left"/>
      <w:pPr>
        <w:tabs>
          <w:tab w:val="num" w:pos="720"/>
        </w:tabs>
        <w:ind w:left="720" w:hanging="360"/>
      </w:pPr>
      <w:rPr>
        <w:rFonts w:ascii="Arial" w:hAnsi="Arial" w:hint="default"/>
      </w:rPr>
    </w:lvl>
    <w:lvl w:ilvl="1" w:tplc="20104F1A" w:tentative="1">
      <w:start w:val="1"/>
      <w:numFmt w:val="bullet"/>
      <w:lvlText w:val="•"/>
      <w:lvlJc w:val="left"/>
      <w:pPr>
        <w:tabs>
          <w:tab w:val="num" w:pos="1440"/>
        </w:tabs>
        <w:ind w:left="1440" w:hanging="360"/>
      </w:pPr>
      <w:rPr>
        <w:rFonts w:ascii="Arial" w:hAnsi="Arial" w:hint="default"/>
      </w:rPr>
    </w:lvl>
    <w:lvl w:ilvl="2" w:tplc="EC0C3D66" w:tentative="1">
      <w:start w:val="1"/>
      <w:numFmt w:val="bullet"/>
      <w:lvlText w:val="•"/>
      <w:lvlJc w:val="left"/>
      <w:pPr>
        <w:tabs>
          <w:tab w:val="num" w:pos="2160"/>
        </w:tabs>
        <w:ind w:left="2160" w:hanging="360"/>
      </w:pPr>
      <w:rPr>
        <w:rFonts w:ascii="Arial" w:hAnsi="Arial" w:hint="default"/>
      </w:rPr>
    </w:lvl>
    <w:lvl w:ilvl="3" w:tplc="E3864C4E" w:tentative="1">
      <w:start w:val="1"/>
      <w:numFmt w:val="bullet"/>
      <w:lvlText w:val="•"/>
      <w:lvlJc w:val="left"/>
      <w:pPr>
        <w:tabs>
          <w:tab w:val="num" w:pos="2880"/>
        </w:tabs>
        <w:ind w:left="2880" w:hanging="360"/>
      </w:pPr>
      <w:rPr>
        <w:rFonts w:ascii="Arial" w:hAnsi="Arial" w:hint="default"/>
      </w:rPr>
    </w:lvl>
    <w:lvl w:ilvl="4" w:tplc="B4EEB604" w:tentative="1">
      <w:start w:val="1"/>
      <w:numFmt w:val="bullet"/>
      <w:lvlText w:val="•"/>
      <w:lvlJc w:val="left"/>
      <w:pPr>
        <w:tabs>
          <w:tab w:val="num" w:pos="3600"/>
        </w:tabs>
        <w:ind w:left="3600" w:hanging="360"/>
      </w:pPr>
      <w:rPr>
        <w:rFonts w:ascii="Arial" w:hAnsi="Arial" w:hint="default"/>
      </w:rPr>
    </w:lvl>
    <w:lvl w:ilvl="5" w:tplc="70306F64" w:tentative="1">
      <w:start w:val="1"/>
      <w:numFmt w:val="bullet"/>
      <w:lvlText w:val="•"/>
      <w:lvlJc w:val="left"/>
      <w:pPr>
        <w:tabs>
          <w:tab w:val="num" w:pos="4320"/>
        </w:tabs>
        <w:ind w:left="4320" w:hanging="360"/>
      </w:pPr>
      <w:rPr>
        <w:rFonts w:ascii="Arial" w:hAnsi="Arial" w:hint="default"/>
      </w:rPr>
    </w:lvl>
    <w:lvl w:ilvl="6" w:tplc="C0680626" w:tentative="1">
      <w:start w:val="1"/>
      <w:numFmt w:val="bullet"/>
      <w:lvlText w:val="•"/>
      <w:lvlJc w:val="left"/>
      <w:pPr>
        <w:tabs>
          <w:tab w:val="num" w:pos="5040"/>
        </w:tabs>
        <w:ind w:left="5040" w:hanging="360"/>
      </w:pPr>
      <w:rPr>
        <w:rFonts w:ascii="Arial" w:hAnsi="Arial" w:hint="default"/>
      </w:rPr>
    </w:lvl>
    <w:lvl w:ilvl="7" w:tplc="41EC644E" w:tentative="1">
      <w:start w:val="1"/>
      <w:numFmt w:val="bullet"/>
      <w:lvlText w:val="•"/>
      <w:lvlJc w:val="left"/>
      <w:pPr>
        <w:tabs>
          <w:tab w:val="num" w:pos="5760"/>
        </w:tabs>
        <w:ind w:left="5760" w:hanging="360"/>
      </w:pPr>
      <w:rPr>
        <w:rFonts w:ascii="Arial" w:hAnsi="Arial" w:hint="default"/>
      </w:rPr>
    </w:lvl>
    <w:lvl w:ilvl="8" w:tplc="964A36B6" w:tentative="1">
      <w:start w:val="1"/>
      <w:numFmt w:val="bullet"/>
      <w:lvlText w:val="•"/>
      <w:lvlJc w:val="left"/>
      <w:pPr>
        <w:tabs>
          <w:tab w:val="num" w:pos="6480"/>
        </w:tabs>
        <w:ind w:left="6480" w:hanging="360"/>
      </w:pPr>
      <w:rPr>
        <w:rFonts w:ascii="Arial" w:hAnsi="Arial" w:hint="default"/>
      </w:rPr>
    </w:lvl>
  </w:abstractNum>
  <w:abstractNum w:abstractNumId="28">
    <w:nsid w:val="5A867FAB"/>
    <w:multiLevelType w:val="hybridMultilevel"/>
    <w:tmpl w:val="512C86C8"/>
    <w:lvl w:ilvl="0" w:tplc="2F2AE802">
      <w:start w:val="1"/>
      <w:numFmt w:val="bullet"/>
      <w:lvlText w:val="•"/>
      <w:lvlJc w:val="left"/>
      <w:pPr>
        <w:tabs>
          <w:tab w:val="num" w:pos="720"/>
        </w:tabs>
        <w:ind w:left="720" w:hanging="360"/>
      </w:pPr>
      <w:rPr>
        <w:rFonts w:ascii="Arial" w:hAnsi="Arial" w:hint="default"/>
      </w:rPr>
    </w:lvl>
    <w:lvl w:ilvl="1" w:tplc="1BF4D392" w:tentative="1">
      <w:start w:val="1"/>
      <w:numFmt w:val="bullet"/>
      <w:lvlText w:val="•"/>
      <w:lvlJc w:val="left"/>
      <w:pPr>
        <w:tabs>
          <w:tab w:val="num" w:pos="1440"/>
        </w:tabs>
        <w:ind w:left="1440" w:hanging="360"/>
      </w:pPr>
      <w:rPr>
        <w:rFonts w:ascii="Arial" w:hAnsi="Arial" w:hint="default"/>
      </w:rPr>
    </w:lvl>
    <w:lvl w:ilvl="2" w:tplc="269803CC" w:tentative="1">
      <w:start w:val="1"/>
      <w:numFmt w:val="bullet"/>
      <w:lvlText w:val="•"/>
      <w:lvlJc w:val="left"/>
      <w:pPr>
        <w:tabs>
          <w:tab w:val="num" w:pos="2160"/>
        </w:tabs>
        <w:ind w:left="2160" w:hanging="360"/>
      </w:pPr>
      <w:rPr>
        <w:rFonts w:ascii="Arial" w:hAnsi="Arial" w:hint="default"/>
      </w:rPr>
    </w:lvl>
    <w:lvl w:ilvl="3" w:tplc="FEA8173E" w:tentative="1">
      <w:start w:val="1"/>
      <w:numFmt w:val="bullet"/>
      <w:lvlText w:val="•"/>
      <w:lvlJc w:val="left"/>
      <w:pPr>
        <w:tabs>
          <w:tab w:val="num" w:pos="2880"/>
        </w:tabs>
        <w:ind w:left="2880" w:hanging="360"/>
      </w:pPr>
      <w:rPr>
        <w:rFonts w:ascii="Arial" w:hAnsi="Arial" w:hint="default"/>
      </w:rPr>
    </w:lvl>
    <w:lvl w:ilvl="4" w:tplc="F8C07CEA" w:tentative="1">
      <w:start w:val="1"/>
      <w:numFmt w:val="bullet"/>
      <w:lvlText w:val="•"/>
      <w:lvlJc w:val="left"/>
      <w:pPr>
        <w:tabs>
          <w:tab w:val="num" w:pos="3600"/>
        </w:tabs>
        <w:ind w:left="3600" w:hanging="360"/>
      </w:pPr>
      <w:rPr>
        <w:rFonts w:ascii="Arial" w:hAnsi="Arial" w:hint="default"/>
      </w:rPr>
    </w:lvl>
    <w:lvl w:ilvl="5" w:tplc="789C785C" w:tentative="1">
      <w:start w:val="1"/>
      <w:numFmt w:val="bullet"/>
      <w:lvlText w:val="•"/>
      <w:lvlJc w:val="left"/>
      <w:pPr>
        <w:tabs>
          <w:tab w:val="num" w:pos="4320"/>
        </w:tabs>
        <w:ind w:left="4320" w:hanging="360"/>
      </w:pPr>
      <w:rPr>
        <w:rFonts w:ascii="Arial" w:hAnsi="Arial" w:hint="default"/>
      </w:rPr>
    </w:lvl>
    <w:lvl w:ilvl="6" w:tplc="CBAE74D6" w:tentative="1">
      <w:start w:val="1"/>
      <w:numFmt w:val="bullet"/>
      <w:lvlText w:val="•"/>
      <w:lvlJc w:val="left"/>
      <w:pPr>
        <w:tabs>
          <w:tab w:val="num" w:pos="5040"/>
        </w:tabs>
        <w:ind w:left="5040" w:hanging="360"/>
      </w:pPr>
      <w:rPr>
        <w:rFonts w:ascii="Arial" w:hAnsi="Arial" w:hint="default"/>
      </w:rPr>
    </w:lvl>
    <w:lvl w:ilvl="7" w:tplc="9FC2801C" w:tentative="1">
      <w:start w:val="1"/>
      <w:numFmt w:val="bullet"/>
      <w:lvlText w:val="•"/>
      <w:lvlJc w:val="left"/>
      <w:pPr>
        <w:tabs>
          <w:tab w:val="num" w:pos="5760"/>
        </w:tabs>
        <w:ind w:left="5760" w:hanging="360"/>
      </w:pPr>
      <w:rPr>
        <w:rFonts w:ascii="Arial" w:hAnsi="Arial" w:hint="default"/>
      </w:rPr>
    </w:lvl>
    <w:lvl w:ilvl="8" w:tplc="2200DC48" w:tentative="1">
      <w:start w:val="1"/>
      <w:numFmt w:val="bullet"/>
      <w:lvlText w:val="•"/>
      <w:lvlJc w:val="left"/>
      <w:pPr>
        <w:tabs>
          <w:tab w:val="num" w:pos="6480"/>
        </w:tabs>
        <w:ind w:left="6480" w:hanging="360"/>
      </w:pPr>
      <w:rPr>
        <w:rFonts w:ascii="Arial" w:hAnsi="Arial" w:hint="default"/>
      </w:rPr>
    </w:lvl>
  </w:abstractNum>
  <w:abstractNum w:abstractNumId="29">
    <w:nsid w:val="637A7D81"/>
    <w:multiLevelType w:val="hybridMultilevel"/>
    <w:tmpl w:val="05EECDDE"/>
    <w:lvl w:ilvl="0" w:tplc="67B4D1FC">
      <w:start w:val="1"/>
      <w:numFmt w:val="bullet"/>
      <w:lvlText w:val="•"/>
      <w:lvlJc w:val="left"/>
      <w:pPr>
        <w:tabs>
          <w:tab w:val="num" w:pos="720"/>
        </w:tabs>
        <w:ind w:left="720" w:hanging="360"/>
      </w:pPr>
      <w:rPr>
        <w:rFonts w:ascii="Arial" w:hAnsi="Arial" w:hint="default"/>
      </w:rPr>
    </w:lvl>
    <w:lvl w:ilvl="1" w:tplc="2862A856" w:tentative="1">
      <w:start w:val="1"/>
      <w:numFmt w:val="bullet"/>
      <w:lvlText w:val="•"/>
      <w:lvlJc w:val="left"/>
      <w:pPr>
        <w:tabs>
          <w:tab w:val="num" w:pos="1440"/>
        </w:tabs>
        <w:ind w:left="1440" w:hanging="360"/>
      </w:pPr>
      <w:rPr>
        <w:rFonts w:ascii="Arial" w:hAnsi="Arial" w:hint="default"/>
      </w:rPr>
    </w:lvl>
    <w:lvl w:ilvl="2" w:tplc="82B6FF4C" w:tentative="1">
      <w:start w:val="1"/>
      <w:numFmt w:val="bullet"/>
      <w:lvlText w:val="•"/>
      <w:lvlJc w:val="left"/>
      <w:pPr>
        <w:tabs>
          <w:tab w:val="num" w:pos="2160"/>
        </w:tabs>
        <w:ind w:left="2160" w:hanging="360"/>
      </w:pPr>
      <w:rPr>
        <w:rFonts w:ascii="Arial" w:hAnsi="Arial" w:hint="default"/>
      </w:rPr>
    </w:lvl>
    <w:lvl w:ilvl="3" w:tplc="941A575A" w:tentative="1">
      <w:start w:val="1"/>
      <w:numFmt w:val="bullet"/>
      <w:lvlText w:val="•"/>
      <w:lvlJc w:val="left"/>
      <w:pPr>
        <w:tabs>
          <w:tab w:val="num" w:pos="2880"/>
        </w:tabs>
        <w:ind w:left="2880" w:hanging="360"/>
      </w:pPr>
      <w:rPr>
        <w:rFonts w:ascii="Arial" w:hAnsi="Arial" w:hint="default"/>
      </w:rPr>
    </w:lvl>
    <w:lvl w:ilvl="4" w:tplc="957A07EC" w:tentative="1">
      <w:start w:val="1"/>
      <w:numFmt w:val="bullet"/>
      <w:lvlText w:val="•"/>
      <w:lvlJc w:val="left"/>
      <w:pPr>
        <w:tabs>
          <w:tab w:val="num" w:pos="3600"/>
        </w:tabs>
        <w:ind w:left="3600" w:hanging="360"/>
      </w:pPr>
      <w:rPr>
        <w:rFonts w:ascii="Arial" w:hAnsi="Arial" w:hint="default"/>
      </w:rPr>
    </w:lvl>
    <w:lvl w:ilvl="5" w:tplc="3BFECBE4" w:tentative="1">
      <w:start w:val="1"/>
      <w:numFmt w:val="bullet"/>
      <w:lvlText w:val="•"/>
      <w:lvlJc w:val="left"/>
      <w:pPr>
        <w:tabs>
          <w:tab w:val="num" w:pos="4320"/>
        </w:tabs>
        <w:ind w:left="4320" w:hanging="360"/>
      </w:pPr>
      <w:rPr>
        <w:rFonts w:ascii="Arial" w:hAnsi="Arial" w:hint="default"/>
      </w:rPr>
    </w:lvl>
    <w:lvl w:ilvl="6" w:tplc="981E6706" w:tentative="1">
      <w:start w:val="1"/>
      <w:numFmt w:val="bullet"/>
      <w:lvlText w:val="•"/>
      <w:lvlJc w:val="left"/>
      <w:pPr>
        <w:tabs>
          <w:tab w:val="num" w:pos="5040"/>
        </w:tabs>
        <w:ind w:left="5040" w:hanging="360"/>
      </w:pPr>
      <w:rPr>
        <w:rFonts w:ascii="Arial" w:hAnsi="Arial" w:hint="default"/>
      </w:rPr>
    </w:lvl>
    <w:lvl w:ilvl="7" w:tplc="C32E73CE" w:tentative="1">
      <w:start w:val="1"/>
      <w:numFmt w:val="bullet"/>
      <w:lvlText w:val="•"/>
      <w:lvlJc w:val="left"/>
      <w:pPr>
        <w:tabs>
          <w:tab w:val="num" w:pos="5760"/>
        </w:tabs>
        <w:ind w:left="5760" w:hanging="360"/>
      </w:pPr>
      <w:rPr>
        <w:rFonts w:ascii="Arial" w:hAnsi="Arial" w:hint="default"/>
      </w:rPr>
    </w:lvl>
    <w:lvl w:ilvl="8" w:tplc="1DB88F14" w:tentative="1">
      <w:start w:val="1"/>
      <w:numFmt w:val="bullet"/>
      <w:lvlText w:val="•"/>
      <w:lvlJc w:val="left"/>
      <w:pPr>
        <w:tabs>
          <w:tab w:val="num" w:pos="6480"/>
        </w:tabs>
        <w:ind w:left="6480" w:hanging="360"/>
      </w:pPr>
      <w:rPr>
        <w:rFonts w:ascii="Arial" w:hAnsi="Arial" w:hint="default"/>
      </w:rPr>
    </w:lvl>
  </w:abstractNum>
  <w:abstractNum w:abstractNumId="30">
    <w:nsid w:val="6C357DF4"/>
    <w:multiLevelType w:val="hybridMultilevel"/>
    <w:tmpl w:val="B58AFCB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nsid w:val="6EAF77FD"/>
    <w:multiLevelType w:val="multilevel"/>
    <w:tmpl w:val="092AEE00"/>
    <w:name w:val="Heading 12"/>
    <w:lvl w:ilvl="0">
      <w:start w:val="1"/>
      <w:numFmt w:val="decimal"/>
      <w:pStyle w:val="Intro"/>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nsid w:val="70291AA9"/>
    <w:multiLevelType w:val="hybridMultilevel"/>
    <w:tmpl w:val="F528A338"/>
    <w:lvl w:ilvl="0" w:tplc="43AC70E2">
      <w:start w:val="1"/>
      <w:numFmt w:val="bullet"/>
      <w:lvlText w:val="•"/>
      <w:lvlJc w:val="left"/>
      <w:pPr>
        <w:tabs>
          <w:tab w:val="num" w:pos="720"/>
        </w:tabs>
        <w:ind w:left="720" w:hanging="360"/>
      </w:pPr>
      <w:rPr>
        <w:rFonts w:ascii="Arial" w:hAnsi="Arial" w:hint="default"/>
      </w:rPr>
    </w:lvl>
    <w:lvl w:ilvl="1" w:tplc="1E701C72" w:tentative="1">
      <w:start w:val="1"/>
      <w:numFmt w:val="bullet"/>
      <w:lvlText w:val="•"/>
      <w:lvlJc w:val="left"/>
      <w:pPr>
        <w:tabs>
          <w:tab w:val="num" w:pos="1440"/>
        </w:tabs>
        <w:ind w:left="1440" w:hanging="360"/>
      </w:pPr>
      <w:rPr>
        <w:rFonts w:ascii="Arial" w:hAnsi="Arial" w:hint="default"/>
      </w:rPr>
    </w:lvl>
    <w:lvl w:ilvl="2" w:tplc="B9DCD674" w:tentative="1">
      <w:start w:val="1"/>
      <w:numFmt w:val="bullet"/>
      <w:lvlText w:val="•"/>
      <w:lvlJc w:val="left"/>
      <w:pPr>
        <w:tabs>
          <w:tab w:val="num" w:pos="2160"/>
        </w:tabs>
        <w:ind w:left="2160" w:hanging="360"/>
      </w:pPr>
      <w:rPr>
        <w:rFonts w:ascii="Arial" w:hAnsi="Arial" w:hint="default"/>
      </w:rPr>
    </w:lvl>
    <w:lvl w:ilvl="3" w:tplc="BEE00B1A" w:tentative="1">
      <w:start w:val="1"/>
      <w:numFmt w:val="bullet"/>
      <w:lvlText w:val="•"/>
      <w:lvlJc w:val="left"/>
      <w:pPr>
        <w:tabs>
          <w:tab w:val="num" w:pos="2880"/>
        </w:tabs>
        <w:ind w:left="2880" w:hanging="360"/>
      </w:pPr>
      <w:rPr>
        <w:rFonts w:ascii="Arial" w:hAnsi="Arial" w:hint="default"/>
      </w:rPr>
    </w:lvl>
    <w:lvl w:ilvl="4" w:tplc="2B8CE938" w:tentative="1">
      <w:start w:val="1"/>
      <w:numFmt w:val="bullet"/>
      <w:lvlText w:val="•"/>
      <w:lvlJc w:val="left"/>
      <w:pPr>
        <w:tabs>
          <w:tab w:val="num" w:pos="3600"/>
        </w:tabs>
        <w:ind w:left="3600" w:hanging="360"/>
      </w:pPr>
      <w:rPr>
        <w:rFonts w:ascii="Arial" w:hAnsi="Arial" w:hint="default"/>
      </w:rPr>
    </w:lvl>
    <w:lvl w:ilvl="5" w:tplc="BE508EC6" w:tentative="1">
      <w:start w:val="1"/>
      <w:numFmt w:val="bullet"/>
      <w:lvlText w:val="•"/>
      <w:lvlJc w:val="left"/>
      <w:pPr>
        <w:tabs>
          <w:tab w:val="num" w:pos="4320"/>
        </w:tabs>
        <w:ind w:left="4320" w:hanging="360"/>
      </w:pPr>
      <w:rPr>
        <w:rFonts w:ascii="Arial" w:hAnsi="Arial" w:hint="default"/>
      </w:rPr>
    </w:lvl>
    <w:lvl w:ilvl="6" w:tplc="E1700B30" w:tentative="1">
      <w:start w:val="1"/>
      <w:numFmt w:val="bullet"/>
      <w:lvlText w:val="•"/>
      <w:lvlJc w:val="left"/>
      <w:pPr>
        <w:tabs>
          <w:tab w:val="num" w:pos="5040"/>
        </w:tabs>
        <w:ind w:left="5040" w:hanging="360"/>
      </w:pPr>
      <w:rPr>
        <w:rFonts w:ascii="Arial" w:hAnsi="Arial" w:hint="default"/>
      </w:rPr>
    </w:lvl>
    <w:lvl w:ilvl="7" w:tplc="927C3B7E" w:tentative="1">
      <w:start w:val="1"/>
      <w:numFmt w:val="bullet"/>
      <w:lvlText w:val="•"/>
      <w:lvlJc w:val="left"/>
      <w:pPr>
        <w:tabs>
          <w:tab w:val="num" w:pos="5760"/>
        </w:tabs>
        <w:ind w:left="5760" w:hanging="360"/>
      </w:pPr>
      <w:rPr>
        <w:rFonts w:ascii="Arial" w:hAnsi="Arial" w:hint="default"/>
      </w:rPr>
    </w:lvl>
    <w:lvl w:ilvl="8" w:tplc="DA4064E4" w:tentative="1">
      <w:start w:val="1"/>
      <w:numFmt w:val="bullet"/>
      <w:lvlText w:val="•"/>
      <w:lvlJc w:val="left"/>
      <w:pPr>
        <w:tabs>
          <w:tab w:val="num" w:pos="6480"/>
        </w:tabs>
        <w:ind w:left="6480" w:hanging="360"/>
      </w:pPr>
      <w:rPr>
        <w:rFonts w:ascii="Arial" w:hAnsi="Arial" w:hint="default"/>
      </w:rPr>
    </w:lvl>
  </w:abstractNum>
  <w:abstractNum w:abstractNumId="33">
    <w:nsid w:val="7FCD3CAE"/>
    <w:multiLevelType w:val="multilevel"/>
    <w:tmpl w:val="CC3CA78A"/>
    <w:name w:val="Heading 1"/>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sz w:val="24"/>
        <w:szCs w:val="24"/>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0"/>
  </w:num>
  <w:num w:numId="13">
    <w:abstractNumId w:val="19"/>
  </w:num>
  <w:num w:numId="14">
    <w:abstractNumId w:val="9"/>
  </w:num>
  <w:num w:numId="1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4"/>
  </w:num>
  <w:num w:numId="18">
    <w:abstractNumId w:val="14"/>
  </w:num>
  <w:num w:numId="19">
    <w:abstractNumId w:val="27"/>
  </w:num>
  <w:num w:numId="20">
    <w:abstractNumId w:val="17"/>
  </w:num>
  <w:num w:numId="21">
    <w:abstractNumId w:val="12"/>
  </w:num>
  <w:num w:numId="22">
    <w:abstractNumId w:val="32"/>
  </w:num>
  <w:num w:numId="23">
    <w:abstractNumId w:val="29"/>
  </w:num>
  <w:num w:numId="24">
    <w:abstractNumId w:val="23"/>
  </w:num>
  <w:num w:numId="25">
    <w:abstractNumId w:val="26"/>
  </w:num>
  <w:num w:numId="26">
    <w:abstractNumId w:val="25"/>
  </w:num>
  <w:num w:numId="27">
    <w:abstractNumId w:val="16"/>
  </w:num>
  <w:num w:numId="28">
    <w:abstractNumId w:val="28"/>
  </w:num>
  <w:num w:numId="29">
    <w:abstractNumId w:val="21"/>
  </w:num>
  <w:num w:numId="30">
    <w:abstractNumId w:val="13"/>
  </w:num>
  <w:num w:numId="31">
    <w:abstractNumId w:val="30"/>
  </w:num>
  <w:num w:numId="32">
    <w:abstractNumId w:val="18"/>
  </w:num>
  <w:num w:numId="33">
    <w:abstractNumId w:val="15"/>
  </w:num>
  <w:num w:numId="34">
    <w:abstractNumId w:val="20"/>
  </w:num>
  <w:num w:numId="35">
    <w:abstractNumId w:val="11"/>
  </w:num>
  <w:num w:numId="36">
    <w:abstractNumId w:val="33"/>
  </w:num>
  <w:num w:numId="37">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0D1"/>
    <w:rsid w:val="00005785"/>
    <w:rsid w:val="00006876"/>
    <w:rsid w:val="000079AD"/>
    <w:rsid w:val="00007D1F"/>
    <w:rsid w:val="00010D84"/>
    <w:rsid w:val="00010F15"/>
    <w:rsid w:val="00011CE3"/>
    <w:rsid w:val="000210D1"/>
    <w:rsid w:val="00022E9C"/>
    <w:rsid w:val="00024EF0"/>
    <w:rsid w:val="00025631"/>
    <w:rsid w:val="00025805"/>
    <w:rsid w:val="00027B26"/>
    <w:rsid w:val="00030705"/>
    <w:rsid w:val="00032861"/>
    <w:rsid w:val="00032B77"/>
    <w:rsid w:val="00042285"/>
    <w:rsid w:val="00043256"/>
    <w:rsid w:val="00043CF6"/>
    <w:rsid w:val="00045A89"/>
    <w:rsid w:val="00046F8E"/>
    <w:rsid w:val="00047524"/>
    <w:rsid w:val="0005040E"/>
    <w:rsid w:val="0005087D"/>
    <w:rsid w:val="00050F9E"/>
    <w:rsid w:val="000547EF"/>
    <w:rsid w:val="00056004"/>
    <w:rsid w:val="0006075A"/>
    <w:rsid w:val="00061C84"/>
    <w:rsid w:val="00062484"/>
    <w:rsid w:val="000624D8"/>
    <w:rsid w:val="00063129"/>
    <w:rsid w:val="00064EE9"/>
    <w:rsid w:val="00065022"/>
    <w:rsid w:val="00065A5E"/>
    <w:rsid w:val="0006691C"/>
    <w:rsid w:val="00070681"/>
    <w:rsid w:val="0007180F"/>
    <w:rsid w:val="0007367E"/>
    <w:rsid w:val="00074D4E"/>
    <w:rsid w:val="00080A09"/>
    <w:rsid w:val="00081CEB"/>
    <w:rsid w:val="00083082"/>
    <w:rsid w:val="00087B2C"/>
    <w:rsid w:val="00087DBD"/>
    <w:rsid w:val="00090718"/>
    <w:rsid w:val="00091B4E"/>
    <w:rsid w:val="00091CD7"/>
    <w:rsid w:val="00093DD5"/>
    <w:rsid w:val="000A03DD"/>
    <w:rsid w:val="000A1A09"/>
    <w:rsid w:val="000A47A8"/>
    <w:rsid w:val="000A73FB"/>
    <w:rsid w:val="000B218A"/>
    <w:rsid w:val="000C014D"/>
    <w:rsid w:val="000C29B4"/>
    <w:rsid w:val="000C5CD8"/>
    <w:rsid w:val="000C7A69"/>
    <w:rsid w:val="000D1158"/>
    <w:rsid w:val="000D4703"/>
    <w:rsid w:val="000E12D4"/>
    <w:rsid w:val="000E39EF"/>
    <w:rsid w:val="000E620E"/>
    <w:rsid w:val="000F2063"/>
    <w:rsid w:val="000F2DC1"/>
    <w:rsid w:val="000F3D28"/>
    <w:rsid w:val="000F63C4"/>
    <w:rsid w:val="00100200"/>
    <w:rsid w:val="0010263D"/>
    <w:rsid w:val="00102824"/>
    <w:rsid w:val="0010300A"/>
    <w:rsid w:val="001131F0"/>
    <w:rsid w:val="001139C7"/>
    <w:rsid w:val="00114EBC"/>
    <w:rsid w:val="0012427E"/>
    <w:rsid w:val="001247E0"/>
    <w:rsid w:val="001261B6"/>
    <w:rsid w:val="00126750"/>
    <w:rsid w:val="001271A1"/>
    <w:rsid w:val="00131C0F"/>
    <w:rsid w:val="001325BF"/>
    <w:rsid w:val="00132F0D"/>
    <w:rsid w:val="00133713"/>
    <w:rsid w:val="00135B7E"/>
    <w:rsid w:val="00140FC9"/>
    <w:rsid w:val="001413C5"/>
    <w:rsid w:val="0014231B"/>
    <w:rsid w:val="00142956"/>
    <w:rsid w:val="00142D10"/>
    <w:rsid w:val="00144868"/>
    <w:rsid w:val="001452BC"/>
    <w:rsid w:val="001479B3"/>
    <w:rsid w:val="00150D2A"/>
    <w:rsid w:val="00150E25"/>
    <w:rsid w:val="00150EA9"/>
    <w:rsid w:val="00151650"/>
    <w:rsid w:val="00152BF6"/>
    <w:rsid w:val="00155B98"/>
    <w:rsid w:val="00157001"/>
    <w:rsid w:val="00157709"/>
    <w:rsid w:val="00160E91"/>
    <w:rsid w:val="00161EBF"/>
    <w:rsid w:val="00165626"/>
    <w:rsid w:val="00167CF4"/>
    <w:rsid w:val="0017018F"/>
    <w:rsid w:val="0017147C"/>
    <w:rsid w:val="0017194E"/>
    <w:rsid w:val="0017249B"/>
    <w:rsid w:val="001727A4"/>
    <w:rsid w:val="00177EC4"/>
    <w:rsid w:val="00181533"/>
    <w:rsid w:val="001824C8"/>
    <w:rsid w:val="00182698"/>
    <w:rsid w:val="001864FD"/>
    <w:rsid w:val="00190929"/>
    <w:rsid w:val="001943DD"/>
    <w:rsid w:val="00196BAC"/>
    <w:rsid w:val="001A13F6"/>
    <w:rsid w:val="001A2D78"/>
    <w:rsid w:val="001A7249"/>
    <w:rsid w:val="001B385A"/>
    <w:rsid w:val="001B3904"/>
    <w:rsid w:val="001B3AEC"/>
    <w:rsid w:val="001B3E8D"/>
    <w:rsid w:val="001B5259"/>
    <w:rsid w:val="001B60D4"/>
    <w:rsid w:val="001B6F28"/>
    <w:rsid w:val="001C2D5A"/>
    <w:rsid w:val="001C4F4F"/>
    <w:rsid w:val="001C6BA1"/>
    <w:rsid w:val="001D0D01"/>
    <w:rsid w:val="001D141C"/>
    <w:rsid w:val="001D2904"/>
    <w:rsid w:val="001D652D"/>
    <w:rsid w:val="001D693F"/>
    <w:rsid w:val="001D6F9E"/>
    <w:rsid w:val="001E38FB"/>
    <w:rsid w:val="001E42EF"/>
    <w:rsid w:val="001E52C2"/>
    <w:rsid w:val="001E7F01"/>
    <w:rsid w:val="001F0BE1"/>
    <w:rsid w:val="001F101A"/>
    <w:rsid w:val="001F1B67"/>
    <w:rsid w:val="001F24EF"/>
    <w:rsid w:val="001F56C7"/>
    <w:rsid w:val="00203039"/>
    <w:rsid w:val="00204B17"/>
    <w:rsid w:val="002069D2"/>
    <w:rsid w:val="00211DA2"/>
    <w:rsid w:val="00213693"/>
    <w:rsid w:val="00213E3A"/>
    <w:rsid w:val="002146EE"/>
    <w:rsid w:val="00215CCB"/>
    <w:rsid w:val="00216CF5"/>
    <w:rsid w:val="0022037B"/>
    <w:rsid w:val="00220F01"/>
    <w:rsid w:val="002227E9"/>
    <w:rsid w:val="00222C8D"/>
    <w:rsid w:val="002256A8"/>
    <w:rsid w:val="00227DBA"/>
    <w:rsid w:val="00230E6B"/>
    <w:rsid w:val="00232B97"/>
    <w:rsid w:val="0023523A"/>
    <w:rsid w:val="0023757C"/>
    <w:rsid w:val="00237C47"/>
    <w:rsid w:val="002402E4"/>
    <w:rsid w:val="002421A0"/>
    <w:rsid w:val="00242B98"/>
    <w:rsid w:val="002445A1"/>
    <w:rsid w:val="00246FE6"/>
    <w:rsid w:val="002470E3"/>
    <w:rsid w:val="0025207D"/>
    <w:rsid w:val="00254DE9"/>
    <w:rsid w:val="002615D3"/>
    <w:rsid w:val="002672F1"/>
    <w:rsid w:val="00271414"/>
    <w:rsid w:val="00271922"/>
    <w:rsid w:val="00273412"/>
    <w:rsid w:val="0027373F"/>
    <w:rsid w:val="00274ACF"/>
    <w:rsid w:val="0028159B"/>
    <w:rsid w:val="00282671"/>
    <w:rsid w:val="00282861"/>
    <w:rsid w:val="002843E2"/>
    <w:rsid w:val="00287BAA"/>
    <w:rsid w:val="00293489"/>
    <w:rsid w:val="00296F5E"/>
    <w:rsid w:val="002A1AA3"/>
    <w:rsid w:val="002A30F0"/>
    <w:rsid w:val="002A6DF5"/>
    <w:rsid w:val="002B6406"/>
    <w:rsid w:val="002B6809"/>
    <w:rsid w:val="002B7F9D"/>
    <w:rsid w:val="002C4231"/>
    <w:rsid w:val="002C7080"/>
    <w:rsid w:val="002D00B0"/>
    <w:rsid w:val="002D2364"/>
    <w:rsid w:val="002D2E16"/>
    <w:rsid w:val="002D56D7"/>
    <w:rsid w:val="002E45F0"/>
    <w:rsid w:val="002E7778"/>
    <w:rsid w:val="00302CFC"/>
    <w:rsid w:val="00303D51"/>
    <w:rsid w:val="00304B3E"/>
    <w:rsid w:val="00304D97"/>
    <w:rsid w:val="0031180A"/>
    <w:rsid w:val="00313127"/>
    <w:rsid w:val="00313304"/>
    <w:rsid w:val="00314844"/>
    <w:rsid w:val="003155F4"/>
    <w:rsid w:val="00320309"/>
    <w:rsid w:val="00321D1E"/>
    <w:rsid w:val="0032530E"/>
    <w:rsid w:val="00325A61"/>
    <w:rsid w:val="00326976"/>
    <w:rsid w:val="003311D7"/>
    <w:rsid w:val="00332B8B"/>
    <w:rsid w:val="0033521E"/>
    <w:rsid w:val="00336491"/>
    <w:rsid w:val="00337CA2"/>
    <w:rsid w:val="003404A4"/>
    <w:rsid w:val="00342CAA"/>
    <w:rsid w:val="003465B1"/>
    <w:rsid w:val="00347104"/>
    <w:rsid w:val="00350852"/>
    <w:rsid w:val="0035096E"/>
    <w:rsid w:val="0035219F"/>
    <w:rsid w:val="00355D01"/>
    <w:rsid w:val="00360B81"/>
    <w:rsid w:val="003614B7"/>
    <w:rsid w:val="00366283"/>
    <w:rsid w:val="00366FBA"/>
    <w:rsid w:val="003671A7"/>
    <w:rsid w:val="0036777E"/>
    <w:rsid w:val="003701FA"/>
    <w:rsid w:val="00372A26"/>
    <w:rsid w:val="0037484C"/>
    <w:rsid w:val="003749CD"/>
    <w:rsid w:val="00374A6C"/>
    <w:rsid w:val="00382718"/>
    <w:rsid w:val="00382B3B"/>
    <w:rsid w:val="00385ED2"/>
    <w:rsid w:val="00391F86"/>
    <w:rsid w:val="003923FB"/>
    <w:rsid w:val="00393F00"/>
    <w:rsid w:val="003945C0"/>
    <w:rsid w:val="003A0492"/>
    <w:rsid w:val="003A25A7"/>
    <w:rsid w:val="003B535C"/>
    <w:rsid w:val="003C2120"/>
    <w:rsid w:val="003C3698"/>
    <w:rsid w:val="003C4254"/>
    <w:rsid w:val="003D030E"/>
    <w:rsid w:val="003D040D"/>
    <w:rsid w:val="003D1F49"/>
    <w:rsid w:val="003D2061"/>
    <w:rsid w:val="003E1FE3"/>
    <w:rsid w:val="003E32A7"/>
    <w:rsid w:val="003F1A33"/>
    <w:rsid w:val="003F3072"/>
    <w:rsid w:val="00400630"/>
    <w:rsid w:val="004024E4"/>
    <w:rsid w:val="00406289"/>
    <w:rsid w:val="00406578"/>
    <w:rsid w:val="004074EF"/>
    <w:rsid w:val="004102C3"/>
    <w:rsid w:val="0041307C"/>
    <w:rsid w:val="00413699"/>
    <w:rsid w:val="004167B4"/>
    <w:rsid w:val="004167BC"/>
    <w:rsid w:val="0042032D"/>
    <w:rsid w:val="004204E8"/>
    <w:rsid w:val="004225DC"/>
    <w:rsid w:val="00423A41"/>
    <w:rsid w:val="00425FBA"/>
    <w:rsid w:val="00430D7E"/>
    <w:rsid w:val="00432332"/>
    <w:rsid w:val="00432368"/>
    <w:rsid w:val="00433B04"/>
    <w:rsid w:val="0043784D"/>
    <w:rsid w:val="00440256"/>
    <w:rsid w:val="00440E22"/>
    <w:rsid w:val="0044547D"/>
    <w:rsid w:val="00446F93"/>
    <w:rsid w:val="00451A74"/>
    <w:rsid w:val="004552AB"/>
    <w:rsid w:val="0045622C"/>
    <w:rsid w:val="004638A2"/>
    <w:rsid w:val="00464FB1"/>
    <w:rsid w:val="00465398"/>
    <w:rsid w:val="00467185"/>
    <w:rsid w:val="00467736"/>
    <w:rsid w:val="0047050C"/>
    <w:rsid w:val="004750DB"/>
    <w:rsid w:val="00476B59"/>
    <w:rsid w:val="00480F21"/>
    <w:rsid w:val="0048108E"/>
    <w:rsid w:val="0048537F"/>
    <w:rsid w:val="004874E5"/>
    <w:rsid w:val="00487885"/>
    <w:rsid w:val="00490A65"/>
    <w:rsid w:val="0049116C"/>
    <w:rsid w:val="004930C9"/>
    <w:rsid w:val="00493F62"/>
    <w:rsid w:val="00494832"/>
    <w:rsid w:val="004957C2"/>
    <w:rsid w:val="00495AF1"/>
    <w:rsid w:val="00497A89"/>
    <w:rsid w:val="004A4CED"/>
    <w:rsid w:val="004A6BE6"/>
    <w:rsid w:val="004B0828"/>
    <w:rsid w:val="004B3304"/>
    <w:rsid w:val="004B3DF1"/>
    <w:rsid w:val="004B4858"/>
    <w:rsid w:val="004B4BC0"/>
    <w:rsid w:val="004B5555"/>
    <w:rsid w:val="004C0484"/>
    <w:rsid w:val="004C777E"/>
    <w:rsid w:val="004D16A4"/>
    <w:rsid w:val="004E6682"/>
    <w:rsid w:val="004E6D8A"/>
    <w:rsid w:val="004F15EF"/>
    <w:rsid w:val="004F22FE"/>
    <w:rsid w:val="004F774D"/>
    <w:rsid w:val="005013B0"/>
    <w:rsid w:val="005015E4"/>
    <w:rsid w:val="005017A6"/>
    <w:rsid w:val="0050291D"/>
    <w:rsid w:val="005064CD"/>
    <w:rsid w:val="00506C00"/>
    <w:rsid w:val="00511016"/>
    <w:rsid w:val="005159B3"/>
    <w:rsid w:val="00522C03"/>
    <w:rsid w:val="00525EA4"/>
    <w:rsid w:val="0052791F"/>
    <w:rsid w:val="00532CFF"/>
    <w:rsid w:val="00536880"/>
    <w:rsid w:val="00540AD0"/>
    <w:rsid w:val="00543A76"/>
    <w:rsid w:val="005523D1"/>
    <w:rsid w:val="0055532E"/>
    <w:rsid w:val="00555BC3"/>
    <w:rsid w:val="005572FD"/>
    <w:rsid w:val="00557C8E"/>
    <w:rsid w:val="005608C4"/>
    <w:rsid w:val="00561B2B"/>
    <w:rsid w:val="00562759"/>
    <w:rsid w:val="0056357E"/>
    <w:rsid w:val="00564952"/>
    <w:rsid w:val="0056498F"/>
    <w:rsid w:val="0056645F"/>
    <w:rsid w:val="00571AB1"/>
    <w:rsid w:val="00577E1C"/>
    <w:rsid w:val="00580DB1"/>
    <w:rsid w:val="005814AC"/>
    <w:rsid w:val="00582C3B"/>
    <w:rsid w:val="00584676"/>
    <w:rsid w:val="005854B7"/>
    <w:rsid w:val="00587AB1"/>
    <w:rsid w:val="0059070B"/>
    <w:rsid w:val="0059283C"/>
    <w:rsid w:val="005A0D95"/>
    <w:rsid w:val="005A155C"/>
    <w:rsid w:val="005A224B"/>
    <w:rsid w:val="005B1225"/>
    <w:rsid w:val="005B17D8"/>
    <w:rsid w:val="005B1D82"/>
    <w:rsid w:val="005B4077"/>
    <w:rsid w:val="005B527E"/>
    <w:rsid w:val="005C28B0"/>
    <w:rsid w:val="005C2F01"/>
    <w:rsid w:val="005C5F3C"/>
    <w:rsid w:val="005D01BE"/>
    <w:rsid w:val="005D1177"/>
    <w:rsid w:val="005D1D13"/>
    <w:rsid w:val="005D5460"/>
    <w:rsid w:val="005E08CD"/>
    <w:rsid w:val="005E37E8"/>
    <w:rsid w:val="005E74C5"/>
    <w:rsid w:val="005E79C8"/>
    <w:rsid w:val="005F219D"/>
    <w:rsid w:val="005F2437"/>
    <w:rsid w:val="005F318A"/>
    <w:rsid w:val="005F7710"/>
    <w:rsid w:val="006004F7"/>
    <w:rsid w:val="00603261"/>
    <w:rsid w:val="00607597"/>
    <w:rsid w:val="00610F93"/>
    <w:rsid w:val="006127CC"/>
    <w:rsid w:val="00616866"/>
    <w:rsid w:val="00620C52"/>
    <w:rsid w:val="006243C6"/>
    <w:rsid w:val="006273BC"/>
    <w:rsid w:val="00627A28"/>
    <w:rsid w:val="00632009"/>
    <w:rsid w:val="00633CF1"/>
    <w:rsid w:val="00635A6C"/>
    <w:rsid w:val="00637091"/>
    <w:rsid w:val="00642839"/>
    <w:rsid w:val="006457F8"/>
    <w:rsid w:val="00645CCB"/>
    <w:rsid w:val="0064700E"/>
    <w:rsid w:val="006478CB"/>
    <w:rsid w:val="00650B88"/>
    <w:rsid w:val="00652C58"/>
    <w:rsid w:val="006530EF"/>
    <w:rsid w:val="006554DD"/>
    <w:rsid w:val="00660951"/>
    <w:rsid w:val="006636E2"/>
    <w:rsid w:val="00666273"/>
    <w:rsid w:val="00667FA9"/>
    <w:rsid w:val="0067233D"/>
    <w:rsid w:val="00672B2E"/>
    <w:rsid w:val="00672C78"/>
    <w:rsid w:val="006745AE"/>
    <w:rsid w:val="00676870"/>
    <w:rsid w:val="00676AF3"/>
    <w:rsid w:val="00677895"/>
    <w:rsid w:val="00677BEF"/>
    <w:rsid w:val="006814A3"/>
    <w:rsid w:val="00682AFC"/>
    <w:rsid w:val="00683344"/>
    <w:rsid w:val="00684FC9"/>
    <w:rsid w:val="0069072B"/>
    <w:rsid w:val="0069174B"/>
    <w:rsid w:val="00693340"/>
    <w:rsid w:val="0069446A"/>
    <w:rsid w:val="00694BDF"/>
    <w:rsid w:val="006A04C7"/>
    <w:rsid w:val="006B05E3"/>
    <w:rsid w:val="006B09BC"/>
    <w:rsid w:val="006B6D5D"/>
    <w:rsid w:val="006B7B5A"/>
    <w:rsid w:val="006C0801"/>
    <w:rsid w:val="006C0C2C"/>
    <w:rsid w:val="006C1EAA"/>
    <w:rsid w:val="006C216F"/>
    <w:rsid w:val="006C45D4"/>
    <w:rsid w:val="006C721F"/>
    <w:rsid w:val="006D2042"/>
    <w:rsid w:val="006D66E3"/>
    <w:rsid w:val="006D7855"/>
    <w:rsid w:val="006E010C"/>
    <w:rsid w:val="006E1003"/>
    <w:rsid w:val="006E16BF"/>
    <w:rsid w:val="006E18F0"/>
    <w:rsid w:val="006E38AF"/>
    <w:rsid w:val="006E4F93"/>
    <w:rsid w:val="006F1174"/>
    <w:rsid w:val="006F3C46"/>
    <w:rsid w:val="00700135"/>
    <w:rsid w:val="00704ECB"/>
    <w:rsid w:val="0070500E"/>
    <w:rsid w:val="00705180"/>
    <w:rsid w:val="00711605"/>
    <w:rsid w:val="00711DF6"/>
    <w:rsid w:val="00716FBC"/>
    <w:rsid w:val="00717090"/>
    <w:rsid w:val="00720739"/>
    <w:rsid w:val="0072253E"/>
    <w:rsid w:val="00723E1F"/>
    <w:rsid w:val="0072443D"/>
    <w:rsid w:val="007247E5"/>
    <w:rsid w:val="007248B7"/>
    <w:rsid w:val="007254CA"/>
    <w:rsid w:val="00730CF8"/>
    <w:rsid w:val="00731A90"/>
    <w:rsid w:val="00732608"/>
    <w:rsid w:val="00733251"/>
    <w:rsid w:val="00733EFD"/>
    <w:rsid w:val="00736DCA"/>
    <w:rsid w:val="00745C47"/>
    <w:rsid w:val="0075003D"/>
    <w:rsid w:val="0075083B"/>
    <w:rsid w:val="00751D97"/>
    <w:rsid w:val="00752C55"/>
    <w:rsid w:val="007562D4"/>
    <w:rsid w:val="007573FA"/>
    <w:rsid w:val="00761DBF"/>
    <w:rsid w:val="00761FCF"/>
    <w:rsid w:val="0076293E"/>
    <w:rsid w:val="00765503"/>
    <w:rsid w:val="00767B7E"/>
    <w:rsid w:val="00771D7D"/>
    <w:rsid w:val="007745B7"/>
    <w:rsid w:val="007750C8"/>
    <w:rsid w:val="00776538"/>
    <w:rsid w:val="007802BE"/>
    <w:rsid w:val="00780EEF"/>
    <w:rsid w:val="0078134C"/>
    <w:rsid w:val="00781C47"/>
    <w:rsid w:val="007837C7"/>
    <w:rsid w:val="00784B44"/>
    <w:rsid w:val="00785465"/>
    <w:rsid w:val="00787656"/>
    <w:rsid w:val="00791767"/>
    <w:rsid w:val="0079268A"/>
    <w:rsid w:val="00794859"/>
    <w:rsid w:val="00797C88"/>
    <w:rsid w:val="007A1013"/>
    <w:rsid w:val="007A2F1D"/>
    <w:rsid w:val="007A4CA9"/>
    <w:rsid w:val="007A7D19"/>
    <w:rsid w:val="007A7EC2"/>
    <w:rsid w:val="007B042D"/>
    <w:rsid w:val="007B05BB"/>
    <w:rsid w:val="007B19E7"/>
    <w:rsid w:val="007B6E0A"/>
    <w:rsid w:val="007B764C"/>
    <w:rsid w:val="007C118A"/>
    <w:rsid w:val="007C636F"/>
    <w:rsid w:val="007D39EB"/>
    <w:rsid w:val="007D3B85"/>
    <w:rsid w:val="007E74E1"/>
    <w:rsid w:val="007E77A8"/>
    <w:rsid w:val="007F491C"/>
    <w:rsid w:val="007F7F2F"/>
    <w:rsid w:val="00803BF8"/>
    <w:rsid w:val="008061C9"/>
    <w:rsid w:val="008066D8"/>
    <w:rsid w:val="00811994"/>
    <w:rsid w:val="00811A18"/>
    <w:rsid w:val="008136BD"/>
    <w:rsid w:val="00813711"/>
    <w:rsid w:val="00821E64"/>
    <w:rsid w:val="008263C2"/>
    <w:rsid w:val="00826CDE"/>
    <w:rsid w:val="008307DB"/>
    <w:rsid w:val="00833398"/>
    <w:rsid w:val="00834CCF"/>
    <w:rsid w:val="00835D9D"/>
    <w:rsid w:val="00835FC9"/>
    <w:rsid w:val="008368F8"/>
    <w:rsid w:val="008370E3"/>
    <w:rsid w:val="008418FA"/>
    <w:rsid w:val="00842959"/>
    <w:rsid w:val="00843390"/>
    <w:rsid w:val="0085235A"/>
    <w:rsid w:val="00854138"/>
    <w:rsid w:val="00854410"/>
    <w:rsid w:val="008544DF"/>
    <w:rsid w:val="00860AAD"/>
    <w:rsid w:val="00861AA6"/>
    <w:rsid w:val="008708F3"/>
    <w:rsid w:val="00871354"/>
    <w:rsid w:val="00873611"/>
    <w:rsid w:val="00873C8F"/>
    <w:rsid w:val="00874FB3"/>
    <w:rsid w:val="00880BE3"/>
    <w:rsid w:val="00881359"/>
    <w:rsid w:val="00882093"/>
    <w:rsid w:val="00882588"/>
    <w:rsid w:val="00884ADE"/>
    <w:rsid w:val="008856CF"/>
    <w:rsid w:val="00885864"/>
    <w:rsid w:val="00890A1D"/>
    <w:rsid w:val="0089383B"/>
    <w:rsid w:val="0089534B"/>
    <w:rsid w:val="0089616F"/>
    <w:rsid w:val="008A0232"/>
    <w:rsid w:val="008B0470"/>
    <w:rsid w:val="008B06C5"/>
    <w:rsid w:val="008B164E"/>
    <w:rsid w:val="008B502A"/>
    <w:rsid w:val="008B57D8"/>
    <w:rsid w:val="008B7A65"/>
    <w:rsid w:val="008C1219"/>
    <w:rsid w:val="008C123E"/>
    <w:rsid w:val="008C137D"/>
    <w:rsid w:val="008C2111"/>
    <w:rsid w:val="008C22DD"/>
    <w:rsid w:val="008C3ED0"/>
    <w:rsid w:val="008C5E94"/>
    <w:rsid w:val="008D196A"/>
    <w:rsid w:val="008E3EF2"/>
    <w:rsid w:val="008E51C9"/>
    <w:rsid w:val="008E5BEB"/>
    <w:rsid w:val="008E6306"/>
    <w:rsid w:val="008F3961"/>
    <w:rsid w:val="008F68F7"/>
    <w:rsid w:val="009005A6"/>
    <w:rsid w:val="009006CF"/>
    <w:rsid w:val="00900C71"/>
    <w:rsid w:val="009014BD"/>
    <w:rsid w:val="00902A1C"/>
    <w:rsid w:val="009037B6"/>
    <w:rsid w:val="00906CBE"/>
    <w:rsid w:val="00910024"/>
    <w:rsid w:val="00910384"/>
    <w:rsid w:val="0091643D"/>
    <w:rsid w:val="00916E33"/>
    <w:rsid w:val="0092093B"/>
    <w:rsid w:val="00925FD2"/>
    <w:rsid w:val="00930669"/>
    <w:rsid w:val="00932C33"/>
    <w:rsid w:val="009427A1"/>
    <w:rsid w:val="00942FFE"/>
    <w:rsid w:val="009551E0"/>
    <w:rsid w:val="0095654E"/>
    <w:rsid w:val="00956F3C"/>
    <w:rsid w:val="00962268"/>
    <w:rsid w:val="0097199E"/>
    <w:rsid w:val="00971C34"/>
    <w:rsid w:val="00972488"/>
    <w:rsid w:val="009726D0"/>
    <w:rsid w:val="0097421D"/>
    <w:rsid w:val="00976117"/>
    <w:rsid w:val="00976A23"/>
    <w:rsid w:val="009800BC"/>
    <w:rsid w:val="009816F6"/>
    <w:rsid w:val="0098702F"/>
    <w:rsid w:val="009900F0"/>
    <w:rsid w:val="00990B9B"/>
    <w:rsid w:val="00991769"/>
    <w:rsid w:val="00993236"/>
    <w:rsid w:val="00993D8C"/>
    <w:rsid w:val="00994E3D"/>
    <w:rsid w:val="00995C2A"/>
    <w:rsid w:val="00996126"/>
    <w:rsid w:val="009A297E"/>
    <w:rsid w:val="009A6127"/>
    <w:rsid w:val="009A63BE"/>
    <w:rsid w:val="009B0CC1"/>
    <w:rsid w:val="009B12B8"/>
    <w:rsid w:val="009B713C"/>
    <w:rsid w:val="009C0F18"/>
    <w:rsid w:val="009C12C6"/>
    <w:rsid w:val="009C2555"/>
    <w:rsid w:val="009C7778"/>
    <w:rsid w:val="009D06AE"/>
    <w:rsid w:val="009D09E2"/>
    <w:rsid w:val="009D1DA0"/>
    <w:rsid w:val="009D1E42"/>
    <w:rsid w:val="009D7148"/>
    <w:rsid w:val="009E02FD"/>
    <w:rsid w:val="009E4C74"/>
    <w:rsid w:val="009E62B6"/>
    <w:rsid w:val="009E70D1"/>
    <w:rsid w:val="009F35DA"/>
    <w:rsid w:val="009F43D0"/>
    <w:rsid w:val="00A00568"/>
    <w:rsid w:val="00A00884"/>
    <w:rsid w:val="00A02F62"/>
    <w:rsid w:val="00A02FA3"/>
    <w:rsid w:val="00A030C3"/>
    <w:rsid w:val="00A04803"/>
    <w:rsid w:val="00A06513"/>
    <w:rsid w:val="00A10147"/>
    <w:rsid w:val="00A11150"/>
    <w:rsid w:val="00A11331"/>
    <w:rsid w:val="00A131E6"/>
    <w:rsid w:val="00A13843"/>
    <w:rsid w:val="00A146A5"/>
    <w:rsid w:val="00A17466"/>
    <w:rsid w:val="00A204B3"/>
    <w:rsid w:val="00A20576"/>
    <w:rsid w:val="00A21593"/>
    <w:rsid w:val="00A221F7"/>
    <w:rsid w:val="00A22C21"/>
    <w:rsid w:val="00A2604E"/>
    <w:rsid w:val="00A31CCE"/>
    <w:rsid w:val="00A33C95"/>
    <w:rsid w:val="00A34FF3"/>
    <w:rsid w:val="00A35351"/>
    <w:rsid w:val="00A361C7"/>
    <w:rsid w:val="00A36723"/>
    <w:rsid w:val="00A46DF5"/>
    <w:rsid w:val="00A5149A"/>
    <w:rsid w:val="00A53650"/>
    <w:rsid w:val="00A53E51"/>
    <w:rsid w:val="00A57183"/>
    <w:rsid w:val="00A6019C"/>
    <w:rsid w:val="00A60693"/>
    <w:rsid w:val="00A6196D"/>
    <w:rsid w:val="00A619C0"/>
    <w:rsid w:val="00A61ADF"/>
    <w:rsid w:val="00A624CB"/>
    <w:rsid w:val="00A62AC0"/>
    <w:rsid w:val="00A76BD2"/>
    <w:rsid w:val="00A8267D"/>
    <w:rsid w:val="00A82E14"/>
    <w:rsid w:val="00A8688E"/>
    <w:rsid w:val="00A8722B"/>
    <w:rsid w:val="00A901E9"/>
    <w:rsid w:val="00A917B6"/>
    <w:rsid w:val="00A91831"/>
    <w:rsid w:val="00A91B3B"/>
    <w:rsid w:val="00A93B4F"/>
    <w:rsid w:val="00A94F7A"/>
    <w:rsid w:val="00A95D3B"/>
    <w:rsid w:val="00A97341"/>
    <w:rsid w:val="00AA0081"/>
    <w:rsid w:val="00AA4E4D"/>
    <w:rsid w:val="00AB09ED"/>
    <w:rsid w:val="00AB3DC0"/>
    <w:rsid w:val="00AB4CBB"/>
    <w:rsid w:val="00AC125E"/>
    <w:rsid w:val="00AC45DF"/>
    <w:rsid w:val="00AC474D"/>
    <w:rsid w:val="00AC4DFD"/>
    <w:rsid w:val="00AC5663"/>
    <w:rsid w:val="00AC58FD"/>
    <w:rsid w:val="00AD0F6D"/>
    <w:rsid w:val="00AD1166"/>
    <w:rsid w:val="00AD19D2"/>
    <w:rsid w:val="00AD1A96"/>
    <w:rsid w:val="00AD2522"/>
    <w:rsid w:val="00AD3042"/>
    <w:rsid w:val="00AD793A"/>
    <w:rsid w:val="00AE0120"/>
    <w:rsid w:val="00AE3038"/>
    <w:rsid w:val="00AE3D4A"/>
    <w:rsid w:val="00AE5956"/>
    <w:rsid w:val="00AE619F"/>
    <w:rsid w:val="00AE7A88"/>
    <w:rsid w:val="00AF0AEA"/>
    <w:rsid w:val="00AF2A56"/>
    <w:rsid w:val="00AF63AB"/>
    <w:rsid w:val="00B01784"/>
    <w:rsid w:val="00B0388B"/>
    <w:rsid w:val="00B03BEE"/>
    <w:rsid w:val="00B0517E"/>
    <w:rsid w:val="00B11314"/>
    <w:rsid w:val="00B113E3"/>
    <w:rsid w:val="00B1156A"/>
    <w:rsid w:val="00B135AC"/>
    <w:rsid w:val="00B138E3"/>
    <w:rsid w:val="00B13FB5"/>
    <w:rsid w:val="00B15ED0"/>
    <w:rsid w:val="00B178FA"/>
    <w:rsid w:val="00B17D8E"/>
    <w:rsid w:val="00B207C3"/>
    <w:rsid w:val="00B231EA"/>
    <w:rsid w:val="00B23267"/>
    <w:rsid w:val="00B23906"/>
    <w:rsid w:val="00B257BF"/>
    <w:rsid w:val="00B27149"/>
    <w:rsid w:val="00B35B4D"/>
    <w:rsid w:val="00B362F0"/>
    <w:rsid w:val="00B36652"/>
    <w:rsid w:val="00B36BED"/>
    <w:rsid w:val="00B425AB"/>
    <w:rsid w:val="00B46273"/>
    <w:rsid w:val="00B47090"/>
    <w:rsid w:val="00B532D1"/>
    <w:rsid w:val="00B61E3E"/>
    <w:rsid w:val="00B67A79"/>
    <w:rsid w:val="00B72D62"/>
    <w:rsid w:val="00B767AF"/>
    <w:rsid w:val="00B80511"/>
    <w:rsid w:val="00B80798"/>
    <w:rsid w:val="00B80876"/>
    <w:rsid w:val="00B82C3C"/>
    <w:rsid w:val="00B82DE6"/>
    <w:rsid w:val="00B831CD"/>
    <w:rsid w:val="00B85329"/>
    <w:rsid w:val="00B91B9D"/>
    <w:rsid w:val="00BA5E20"/>
    <w:rsid w:val="00BA607C"/>
    <w:rsid w:val="00BA6734"/>
    <w:rsid w:val="00BB3E2A"/>
    <w:rsid w:val="00BB7121"/>
    <w:rsid w:val="00BC0479"/>
    <w:rsid w:val="00BC1032"/>
    <w:rsid w:val="00BC1651"/>
    <w:rsid w:val="00BC16F5"/>
    <w:rsid w:val="00BC18FF"/>
    <w:rsid w:val="00BC287D"/>
    <w:rsid w:val="00BC2A38"/>
    <w:rsid w:val="00BC46EB"/>
    <w:rsid w:val="00BC643B"/>
    <w:rsid w:val="00BD2CAF"/>
    <w:rsid w:val="00BD32E5"/>
    <w:rsid w:val="00BD36C4"/>
    <w:rsid w:val="00BE1095"/>
    <w:rsid w:val="00BE150A"/>
    <w:rsid w:val="00BE6767"/>
    <w:rsid w:val="00BE78EC"/>
    <w:rsid w:val="00BF46EE"/>
    <w:rsid w:val="00C0613C"/>
    <w:rsid w:val="00C10D05"/>
    <w:rsid w:val="00C14FBA"/>
    <w:rsid w:val="00C15EA1"/>
    <w:rsid w:val="00C17A8E"/>
    <w:rsid w:val="00C231B1"/>
    <w:rsid w:val="00C24F70"/>
    <w:rsid w:val="00C25DC2"/>
    <w:rsid w:val="00C26420"/>
    <w:rsid w:val="00C33479"/>
    <w:rsid w:val="00C40ED2"/>
    <w:rsid w:val="00C41F10"/>
    <w:rsid w:val="00C432DD"/>
    <w:rsid w:val="00C4423A"/>
    <w:rsid w:val="00C501FE"/>
    <w:rsid w:val="00C5784B"/>
    <w:rsid w:val="00C639FF"/>
    <w:rsid w:val="00C6442A"/>
    <w:rsid w:val="00C64483"/>
    <w:rsid w:val="00C64D15"/>
    <w:rsid w:val="00C66088"/>
    <w:rsid w:val="00C67C4C"/>
    <w:rsid w:val="00C74B5D"/>
    <w:rsid w:val="00C74F74"/>
    <w:rsid w:val="00C7554B"/>
    <w:rsid w:val="00C80951"/>
    <w:rsid w:val="00C8205E"/>
    <w:rsid w:val="00C82EB5"/>
    <w:rsid w:val="00C87966"/>
    <w:rsid w:val="00C902DE"/>
    <w:rsid w:val="00C916AE"/>
    <w:rsid w:val="00C93AAA"/>
    <w:rsid w:val="00C95FCD"/>
    <w:rsid w:val="00C97188"/>
    <w:rsid w:val="00CA0639"/>
    <w:rsid w:val="00CA11D0"/>
    <w:rsid w:val="00CA21CF"/>
    <w:rsid w:val="00CA2E02"/>
    <w:rsid w:val="00CA583A"/>
    <w:rsid w:val="00CA5EC6"/>
    <w:rsid w:val="00CB0D62"/>
    <w:rsid w:val="00CB5744"/>
    <w:rsid w:val="00CB7022"/>
    <w:rsid w:val="00CB7BC5"/>
    <w:rsid w:val="00CC2138"/>
    <w:rsid w:val="00CC49A6"/>
    <w:rsid w:val="00CC586D"/>
    <w:rsid w:val="00CC7DBC"/>
    <w:rsid w:val="00CD1BA3"/>
    <w:rsid w:val="00CD1D23"/>
    <w:rsid w:val="00CD3612"/>
    <w:rsid w:val="00CD3E69"/>
    <w:rsid w:val="00CD5658"/>
    <w:rsid w:val="00CD6B7D"/>
    <w:rsid w:val="00CD7D29"/>
    <w:rsid w:val="00CE0847"/>
    <w:rsid w:val="00CE0B6C"/>
    <w:rsid w:val="00CE11D0"/>
    <w:rsid w:val="00CE4708"/>
    <w:rsid w:val="00CE4C50"/>
    <w:rsid w:val="00CE6858"/>
    <w:rsid w:val="00CE7450"/>
    <w:rsid w:val="00CE770C"/>
    <w:rsid w:val="00CF0BC2"/>
    <w:rsid w:val="00CF50BE"/>
    <w:rsid w:val="00CF7625"/>
    <w:rsid w:val="00D04B2A"/>
    <w:rsid w:val="00D0506A"/>
    <w:rsid w:val="00D1289C"/>
    <w:rsid w:val="00D1666F"/>
    <w:rsid w:val="00D2071A"/>
    <w:rsid w:val="00D2682D"/>
    <w:rsid w:val="00D30F73"/>
    <w:rsid w:val="00D30F97"/>
    <w:rsid w:val="00D313A0"/>
    <w:rsid w:val="00D34DDD"/>
    <w:rsid w:val="00D36FE0"/>
    <w:rsid w:val="00D40799"/>
    <w:rsid w:val="00D41A06"/>
    <w:rsid w:val="00D42ABF"/>
    <w:rsid w:val="00D42F40"/>
    <w:rsid w:val="00D45B67"/>
    <w:rsid w:val="00D5034A"/>
    <w:rsid w:val="00D51F49"/>
    <w:rsid w:val="00D55EE8"/>
    <w:rsid w:val="00D562CB"/>
    <w:rsid w:val="00D569D1"/>
    <w:rsid w:val="00D56AD8"/>
    <w:rsid w:val="00D56C05"/>
    <w:rsid w:val="00D5785A"/>
    <w:rsid w:val="00D6375F"/>
    <w:rsid w:val="00D64C48"/>
    <w:rsid w:val="00D6680B"/>
    <w:rsid w:val="00D72F4F"/>
    <w:rsid w:val="00D731C4"/>
    <w:rsid w:val="00D74CF2"/>
    <w:rsid w:val="00D74EB4"/>
    <w:rsid w:val="00D801FC"/>
    <w:rsid w:val="00D85BE0"/>
    <w:rsid w:val="00D87FD7"/>
    <w:rsid w:val="00D91466"/>
    <w:rsid w:val="00D915ED"/>
    <w:rsid w:val="00D92300"/>
    <w:rsid w:val="00D94AFC"/>
    <w:rsid w:val="00D950E6"/>
    <w:rsid w:val="00D97047"/>
    <w:rsid w:val="00DA0AFC"/>
    <w:rsid w:val="00DA3619"/>
    <w:rsid w:val="00DB0B88"/>
    <w:rsid w:val="00DB1652"/>
    <w:rsid w:val="00DB58A6"/>
    <w:rsid w:val="00DB6B99"/>
    <w:rsid w:val="00DC001A"/>
    <w:rsid w:val="00DD4F44"/>
    <w:rsid w:val="00DD686C"/>
    <w:rsid w:val="00DE2AC3"/>
    <w:rsid w:val="00DE2E40"/>
    <w:rsid w:val="00DE3598"/>
    <w:rsid w:val="00DE3FBD"/>
    <w:rsid w:val="00DE43F5"/>
    <w:rsid w:val="00DE65FB"/>
    <w:rsid w:val="00DF420A"/>
    <w:rsid w:val="00E02472"/>
    <w:rsid w:val="00E041F0"/>
    <w:rsid w:val="00E128D8"/>
    <w:rsid w:val="00E130C3"/>
    <w:rsid w:val="00E17EDF"/>
    <w:rsid w:val="00E2082D"/>
    <w:rsid w:val="00E221E2"/>
    <w:rsid w:val="00E24303"/>
    <w:rsid w:val="00E27A16"/>
    <w:rsid w:val="00E40F7B"/>
    <w:rsid w:val="00E46D60"/>
    <w:rsid w:val="00E47C33"/>
    <w:rsid w:val="00E47F58"/>
    <w:rsid w:val="00E54BFC"/>
    <w:rsid w:val="00E56D9D"/>
    <w:rsid w:val="00E60E2E"/>
    <w:rsid w:val="00E71A2D"/>
    <w:rsid w:val="00E74A73"/>
    <w:rsid w:val="00E775E9"/>
    <w:rsid w:val="00E823C1"/>
    <w:rsid w:val="00E82DB7"/>
    <w:rsid w:val="00E8579C"/>
    <w:rsid w:val="00E865FE"/>
    <w:rsid w:val="00E91408"/>
    <w:rsid w:val="00E91759"/>
    <w:rsid w:val="00E95721"/>
    <w:rsid w:val="00E9654B"/>
    <w:rsid w:val="00EA18DB"/>
    <w:rsid w:val="00EA2FBA"/>
    <w:rsid w:val="00EA4DC5"/>
    <w:rsid w:val="00EA66DF"/>
    <w:rsid w:val="00EA6ADC"/>
    <w:rsid w:val="00EB13A7"/>
    <w:rsid w:val="00EB14DF"/>
    <w:rsid w:val="00EB1A4D"/>
    <w:rsid w:val="00EB3A07"/>
    <w:rsid w:val="00EB5539"/>
    <w:rsid w:val="00EC3F31"/>
    <w:rsid w:val="00EC52E7"/>
    <w:rsid w:val="00ED2FCB"/>
    <w:rsid w:val="00ED3698"/>
    <w:rsid w:val="00ED4794"/>
    <w:rsid w:val="00ED76EB"/>
    <w:rsid w:val="00EE265C"/>
    <w:rsid w:val="00EE5C63"/>
    <w:rsid w:val="00EF1D4B"/>
    <w:rsid w:val="00F0095C"/>
    <w:rsid w:val="00F01129"/>
    <w:rsid w:val="00F01CCA"/>
    <w:rsid w:val="00F01F2C"/>
    <w:rsid w:val="00F02104"/>
    <w:rsid w:val="00F04455"/>
    <w:rsid w:val="00F05CE4"/>
    <w:rsid w:val="00F06C17"/>
    <w:rsid w:val="00F1632B"/>
    <w:rsid w:val="00F20D4B"/>
    <w:rsid w:val="00F334CB"/>
    <w:rsid w:val="00F3495A"/>
    <w:rsid w:val="00F34E2C"/>
    <w:rsid w:val="00F3636B"/>
    <w:rsid w:val="00F370BC"/>
    <w:rsid w:val="00F37143"/>
    <w:rsid w:val="00F50562"/>
    <w:rsid w:val="00F50A92"/>
    <w:rsid w:val="00F50D01"/>
    <w:rsid w:val="00F50DB4"/>
    <w:rsid w:val="00F55F54"/>
    <w:rsid w:val="00F56BC1"/>
    <w:rsid w:val="00F618C4"/>
    <w:rsid w:val="00F65774"/>
    <w:rsid w:val="00F65A34"/>
    <w:rsid w:val="00F65F4C"/>
    <w:rsid w:val="00F71A60"/>
    <w:rsid w:val="00F725DA"/>
    <w:rsid w:val="00F7536E"/>
    <w:rsid w:val="00F75652"/>
    <w:rsid w:val="00F8168B"/>
    <w:rsid w:val="00F81CF2"/>
    <w:rsid w:val="00F81F93"/>
    <w:rsid w:val="00F857D1"/>
    <w:rsid w:val="00F91DCC"/>
    <w:rsid w:val="00F9323F"/>
    <w:rsid w:val="00F943FE"/>
    <w:rsid w:val="00F95814"/>
    <w:rsid w:val="00F95CE9"/>
    <w:rsid w:val="00F97100"/>
    <w:rsid w:val="00FA01D9"/>
    <w:rsid w:val="00FB0401"/>
    <w:rsid w:val="00FC1DFB"/>
    <w:rsid w:val="00FC1EF2"/>
    <w:rsid w:val="00FC3343"/>
    <w:rsid w:val="00FC33BA"/>
    <w:rsid w:val="00FC35AB"/>
    <w:rsid w:val="00FC6134"/>
    <w:rsid w:val="00FC654D"/>
    <w:rsid w:val="00FD0555"/>
    <w:rsid w:val="00FD5961"/>
    <w:rsid w:val="00FE3EFA"/>
    <w:rsid w:val="00FE5C56"/>
    <w:rsid w:val="00FE5E20"/>
    <w:rsid w:val="00FE7AAC"/>
    <w:rsid w:val="00FE7B06"/>
    <w:rsid w:val="00FE7E98"/>
    <w:rsid w:val="00FF06BC"/>
    <w:rsid w:val="00FF20AC"/>
    <w:rsid w:val="00FF3801"/>
    <w:rsid w:val="00FF3A27"/>
    <w:rsid w:val="00FF3B27"/>
    <w:rsid w:val="00FF52E3"/>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2" w:unhideWhenUsed="0" w:qFormat="1"/>
    <w:lsdException w:name="heading 2" w:semiHidden="0" w:uiPriority="2" w:unhideWhenUsed="0" w:qFormat="1"/>
    <w:lsdException w:name="heading 3" w:semiHidden="0" w:unhideWhenUsed="0" w:qFormat="1"/>
    <w:lsdException w:name="heading 4" w:semiHidden="0" w:unhideWhenUsed="0"/>
    <w:lsdException w:name="heading 5" w:semiHidden="0" w:unhideWhenUsed="0"/>
    <w:lsdException w:name="toc 1" w:uiPriority="39"/>
    <w:lsdException w:name="toc 2" w:uiPriority="39"/>
    <w:lsdException w:name="caption" w:qFormat="1"/>
    <w:lsdException w:name="List Bullet" w:uiPriority="2" w:qFormat="1"/>
    <w:lsdException w:name="List Number" w:semiHidden="0" w:uiPriority="3" w:unhideWhenUsed="0"/>
    <w:lsdException w:name="List 4" w:unhideWhenUsed="0"/>
    <w:lsdException w:name="List 5" w:unhideWhenUsed="0"/>
    <w:lsdException w:name="List Bullet 2" w:uiPriority="3"/>
    <w:lsdException w:name="List Bullet 3" w:uiPriority="3"/>
    <w:lsdException w:name="List Bullet 4" w:uiPriority="3"/>
    <w:lsdException w:name="List Bullet 5" w:uiPriority="3"/>
    <w:lsdException w:name="List Number 2" w:uiPriority="3"/>
    <w:lsdException w:name="List Number 3" w:uiPriority="3"/>
    <w:lsdException w:name="List Number 4" w:uiPriority="3"/>
    <w:lsdException w:name="List Number 5" w:uiPriority="3"/>
    <w:lsdException w:name="Title" w:semiHidden="0" w:unhideWhenUsed="0"/>
    <w:lsdException w:name="Subtitle" w:semiHidden="0" w:unhideWhenUsed="0"/>
    <w:lsdException w:name="Salutation" w:unhideWhenUsed="0"/>
    <w:lsdException w:name="Date" w:unhideWhenUsed="0"/>
    <w:lsdException w:name="Body Text First Indent" w:unhideWhenUsed="0"/>
    <w:lsdException w:name="Hyperlink" w:uiPriority="99"/>
    <w:lsdException w:name="Strong" w:semiHidden="0" w:uiPriority="22" w:unhideWhenUsed="0" w:qFormat="1"/>
    <w:lsdException w:name="Emphasis" w:semiHidden="0" w:unhideWhenUsed="0"/>
    <w:lsdException w:name="Normal (Web)" w:uiPriority="99"/>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B15ED0"/>
    <w:pPr>
      <w:spacing w:before="120" w:after="120" w:line="260" w:lineRule="atLeast"/>
    </w:pPr>
    <w:rPr>
      <w:rFonts w:ascii="Arial" w:hAnsi="Arial"/>
      <w:sz w:val="22"/>
      <w:szCs w:val="24"/>
    </w:rPr>
  </w:style>
  <w:style w:type="paragraph" w:styleId="Heading1">
    <w:name w:val="heading 1"/>
    <w:basedOn w:val="Normal"/>
    <w:next w:val="Normal"/>
    <w:autoRedefine/>
    <w:uiPriority w:val="2"/>
    <w:qFormat/>
    <w:rsid w:val="00161EBF"/>
    <w:pPr>
      <w:keepNext/>
      <w:keepLines/>
      <w:numPr>
        <w:numId w:val="36"/>
      </w:numPr>
      <w:spacing w:before="0" w:after="1080"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autoRedefine/>
    <w:uiPriority w:val="2"/>
    <w:qFormat/>
    <w:rsid w:val="00CB0D62"/>
    <w:pPr>
      <w:keepNext/>
      <w:keepLines/>
      <w:numPr>
        <w:ilvl w:val="1"/>
        <w:numId w:val="36"/>
      </w:numPr>
      <w:spacing w:before="360"/>
      <w:contextualSpacing/>
      <w:outlineLvl w:val="1"/>
    </w:pPr>
    <w:rPr>
      <w:rFonts w:asciiTheme="majorHAnsi" w:hAnsiTheme="majorHAnsi"/>
      <w:b/>
      <w:sz w:val="24"/>
      <w:szCs w:val="28"/>
    </w:rPr>
  </w:style>
  <w:style w:type="paragraph" w:styleId="Heading3">
    <w:name w:val="heading 3"/>
    <w:basedOn w:val="Normal"/>
    <w:next w:val="Normal"/>
    <w:autoRedefine/>
    <w:uiPriority w:val="2"/>
    <w:qFormat/>
    <w:rsid w:val="00620C52"/>
    <w:pPr>
      <w:keepNext/>
      <w:keepLines/>
      <w:numPr>
        <w:ilvl w:val="2"/>
        <w:numId w:val="36"/>
      </w:numPr>
      <w:spacing w:before="240" w:line="240" w:lineRule="auto"/>
      <w:contextualSpacing/>
      <w:outlineLvl w:val="2"/>
    </w:pPr>
    <w:rPr>
      <w:b/>
      <w:color w:val="004200" w:themeColor="accent1"/>
    </w:rPr>
  </w:style>
  <w:style w:type="paragraph" w:styleId="Heading4">
    <w:name w:val="heading 4"/>
    <w:basedOn w:val="Normal"/>
    <w:next w:val="Normal"/>
    <w:autoRedefine/>
    <w:uiPriority w:val="2"/>
    <w:rsid w:val="00EB13A7"/>
    <w:pPr>
      <w:keepNext/>
      <w:keepLines/>
      <w:numPr>
        <w:ilvl w:val="3"/>
        <w:numId w:val="36"/>
      </w:numPr>
      <w:spacing w:before="240"/>
      <w:contextualSpacing/>
      <w:outlineLvl w:val="3"/>
    </w:pPr>
    <w:rPr>
      <w:color w:val="636466" w:themeColor="accent4"/>
    </w:rPr>
  </w:style>
  <w:style w:type="paragraph" w:styleId="Heading5">
    <w:name w:val="heading 5"/>
    <w:basedOn w:val="Normal"/>
    <w:next w:val="Normal"/>
    <w:link w:val="Heading5Char"/>
    <w:autoRedefine/>
    <w:semiHidden/>
    <w:rsid w:val="002672F1"/>
    <w:pPr>
      <w:keepNext/>
      <w:numPr>
        <w:ilvl w:val="4"/>
        <w:numId w:val="36"/>
      </w:numPr>
      <w:spacing w:before="240"/>
      <w:contextualSpacing/>
      <w:outlineLvl w:val="4"/>
    </w:pPr>
    <w:rPr>
      <w:b/>
      <w:szCs w:val="22"/>
    </w:rPr>
  </w:style>
  <w:style w:type="paragraph" w:styleId="Heading6">
    <w:name w:val="heading 6"/>
    <w:basedOn w:val="Normal"/>
    <w:next w:val="Normal"/>
    <w:link w:val="Heading6Char"/>
    <w:autoRedefine/>
    <w:semiHidden/>
    <w:rsid w:val="002672F1"/>
    <w:pPr>
      <w:keepNext/>
      <w:numPr>
        <w:ilvl w:val="5"/>
        <w:numId w:val="36"/>
      </w:numPr>
      <w:spacing w:before="240"/>
      <w:contextualSpacing/>
      <w:outlineLvl w:val="5"/>
    </w:pPr>
    <w:rPr>
      <w:b/>
      <w:sz w:val="20"/>
      <w:szCs w:val="22"/>
    </w:rPr>
  </w:style>
  <w:style w:type="paragraph" w:styleId="Heading7">
    <w:name w:val="heading 7"/>
    <w:basedOn w:val="Normal"/>
    <w:next w:val="Normal"/>
    <w:link w:val="Heading7Char"/>
    <w:autoRedefine/>
    <w:semiHidden/>
    <w:unhideWhenUsed/>
    <w:rsid w:val="00465398"/>
    <w:pPr>
      <w:keepNext/>
      <w:keepLines/>
      <w:numPr>
        <w:ilvl w:val="6"/>
        <w:numId w:val="3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autoRedefine/>
    <w:semiHidden/>
    <w:unhideWhenUsed/>
    <w:rsid w:val="00465398"/>
    <w:pPr>
      <w:keepNext/>
      <w:keepLines/>
      <w:numPr>
        <w:ilvl w:val="7"/>
        <w:numId w:val="3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autoRedefine/>
    <w:semiHidden/>
    <w:unhideWhenUsed/>
    <w:rsid w:val="00465398"/>
    <w:pPr>
      <w:keepNext/>
      <w:keepLines/>
      <w:numPr>
        <w:ilvl w:val="8"/>
        <w:numId w:val="3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uiPriority w:val="99"/>
    <w:rsid w:val="005F219D"/>
    <w:pPr>
      <w:tabs>
        <w:tab w:val="right" w:pos="10319"/>
      </w:tabs>
      <w:spacing w:before="0" w:after="0" w:line="240" w:lineRule="auto"/>
    </w:pPr>
    <w:rPr>
      <w:b/>
      <w:sz w:val="16"/>
    </w:rPr>
  </w:style>
  <w:style w:type="paragraph" w:styleId="Title">
    <w:name w:val="Title"/>
    <w:basedOn w:val="Normal"/>
    <w:next w:val="Subtitle"/>
    <w:link w:val="TitleChar"/>
    <w:autoRedefine/>
    <w:rsid w:val="00161EBF"/>
    <w:pPr>
      <w:spacing w:before="480" w:after="360" w:line="204" w:lineRule="auto"/>
      <w:contextualSpacing/>
    </w:pPr>
    <w:rPr>
      <w:rFonts w:ascii="Arial Bold" w:hAnsi="Arial Bold" w:cs="Arial"/>
      <w:b/>
      <w:bCs/>
      <w:color w:val="004200" w:themeColor="accent1"/>
      <w:kern w:val="28"/>
      <w:sz w:val="84"/>
      <w:szCs w:val="32"/>
    </w:rPr>
  </w:style>
  <w:style w:type="paragraph" w:styleId="ListBullet">
    <w:name w:val="List Bullet"/>
    <w:basedOn w:val="Normal"/>
    <w:autoRedefine/>
    <w:uiPriority w:val="2"/>
    <w:qFormat/>
    <w:rsid w:val="00620C52"/>
    <w:pPr>
      <w:numPr>
        <w:numId w:val="35"/>
      </w:numPr>
      <w:spacing w:before="0" w:after="200" w:line="240" w:lineRule="auto"/>
      <w:contextualSpacing/>
    </w:pPr>
  </w:style>
  <w:style w:type="paragraph" w:styleId="Footer">
    <w:name w:val="footer"/>
    <w:basedOn w:val="Header"/>
    <w:autoRedefine/>
    <w:uiPriority w:val="99"/>
    <w:rsid w:val="00733251"/>
    <w:pPr>
      <w:tabs>
        <w:tab w:val="right" w:pos="9639"/>
      </w:tabs>
    </w:pPr>
  </w:style>
  <w:style w:type="paragraph" w:styleId="Index1">
    <w:name w:val="index 1"/>
    <w:basedOn w:val="Normal"/>
    <w:next w:val="Normal"/>
    <w:autoRedefine/>
    <w:semiHidden/>
    <w:unhideWhenUsed/>
    <w:rsid w:val="00465398"/>
    <w:pPr>
      <w:spacing w:before="0" w:after="0" w:line="240" w:lineRule="auto"/>
      <w:ind w:left="220" w:hanging="220"/>
    </w:pPr>
  </w:style>
  <w:style w:type="character" w:customStyle="1" w:styleId="Heading5Char">
    <w:name w:val="Heading 5 Char"/>
    <w:basedOn w:val="DefaultParagraphFont"/>
    <w:link w:val="Heading5"/>
    <w:semiHidden/>
    <w:rsid w:val="001D2904"/>
    <w:rPr>
      <w:rFonts w:ascii="Arial" w:hAnsi="Arial"/>
      <w:b/>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rsid w:val="00797C88"/>
    <w:rPr>
      <w:rFonts w:ascii="Arial" w:hAnsi="Arial"/>
      <w:sz w:val="22"/>
    </w:rPr>
  </w:style>
  <w:style w:type="character" w:styleId="FootnoteReference">
    <w:name w:val="footnote reference"/>
    <w:aliases w:val="Footnote text"/>
    <w:basedOn w:val="DefaultParagraphFont"/>
    <w:rsid w:val="00843390"/>
    <w:rPr>
      <w:vertAlign w:val="superscript"/>
    </w:rPr>
  </w:style>
  <w:style w:type="paragraph" w:styleId="ListParagraph">
    <w:name w:val="List Paragraph"/>
    <w:basedOn w:val="Normal"/>
    <w:link w:val="ListParagraphChar"/>
    <w:autoRedefine/>
    <w:uiPriority w:val="34"/>
    <w:qFormat/>
    <w:rsid w:val="00010D84"/>
    <w:pPr>
      <w:ind w:left="720"/>
    </w:pPr>
  </w:style>
  <w:style w:type="character" w:customStyle="1" w:styleId="Heading2Char">
    <w:name w:val="Heading 2 Char"/>
    <w:basedOn w:val="DefaultParagraphFont"/>
    <w:link w:val="Heading2"/>
    <w:uiPriority w:val="2"/>
    <w:rsid w:val="00CB0D62"/>
    <w:rPr>
      <w:rFonts w:asciiTheme="majorHAnsi" w:hAnsiTheme="majorHAnsi"/>
      <w:b/>
      <w:sz w:val="24"/>
      <w:szCs w:val="28"/>
    </w:rPr>
  </w:style>
  <w:style w:type="paragraph" w:styleId="TOC1">
    <w:name w:val="toc 1"/>
    <w:basedOn w:val="Normal"/>
    <w:next w:val="Normal"/>
    <w:autoRedefine/>
    <w:uiPriority w:val="39"/>
    <w:rsid w:val="00733EFD"/>
    <w:pPr>
      <w:spacing w:before="240" w:after="60" w:line="240" w:lineRule="auto"/>
      <w:ind w:right="567"/>
    </w:pPr>
    <w:rPr>
      <w:b/>
      <w:noProof/>
    </w:rPr>
  </w:style>
  <w:style w:type="paragraph" w:styleId="TOC2">
    <w:name w:val="toc 2"/>
    <w:basedOn w:val="Normal"/>
    <w:next w:val="Normal"/>
    <w:autoRedefine/>
    <w:uiPriority w:val="39"/>
    <w:rsid w:val="00733EFD"/>
    <w:pPr>
      <w:spacing w:before="60" w:after="60" w:line="240" w:lineRule="auto"/>
      <w:ind w:right="567"/>
    </w:pPr>
    <w:rPr>
      <w:noProof/>
    </w:rPr>
  </w:style>
  <w:style w:type="paragraph" w:customStyle="1" w:styleId="TableText">
    <w:name w:val="Table Text"/>
    <w:basedOn w:val="Normal"/>
    <w:autoRedefine/>
    <w:uiPriority w:val="99"/>
    <w:qFormat/>
    <w:rsid w:val="009005A6"/>
    <w:pPr>
      <w:spacing w:before="80" w:after="80" w:line="240" w:lineRule="atLeast"/>
    </w:pPr>
    <w:rPr>
      <w:sz w:val="20"/>
    </w:rPr>
  </w:style>
  <w:style w:type="character" w:styleId="Emphasis">
    <w:name w:val="Emphasis"/>
    <w:basedOn w:val="DefaultParagraphFon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542"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autoRedefine/>
    <w:uiPriority w:val="39"/>
    <w:qFormat/>
    <w:rsid w:val="002256A8"/>
    <w:pPr>
      <w:outlineLvl w:val="9"/>
    </w:pPr>
    <w:rPr>
      <w:rFonts w:eastAsiaTheme="majorEastAsia" w:cstheme="majorBidi"/>
      <w:bCs/>
      <w:szCs w:val="28"/>
    </w:rPr>
  </w:style>
  <w:style w:type="paragraph" w:customStyle="1" w:styleId="SourceNotesText">
    <w:name w:val="Source/Notes Text"/>
    <w:basedOn w:val="Normal"/>
    <w:autoRedefine/>
    <w:uiPriority w:val="9"/>
    <w:qFormat/>
    <w:rsid w:val="007802BE"/>
    <w:pPr>
      <w:spacing w:line="240" w:lineRule="auto"/>
    </w:pPr>
    <w:rPr>
      <w:sz w:val="18"/>
      <w:szCs w:val="16"/>
    </w:rPr>
  </w:style>
  <w:style w:type="character" w:styleId="Strong">
    <w:name w:val="Strong"/>
    <w:basedOn w:val="DefaultParagraphFont"/>
    <w:uiPriority w:val="22"/>
    <w:qFormat/>
    <w:rsid w:val="00D45B67"/>
    <w:rPr>
      <w:b/>
      <w:bCs/>
    </w:rPr>
  </w:style>
  <w:style w:type="paragraph" w:customStyle="1" w:styleId="Intro">
    <w:name w:val="Intro"/>
    <w:basedOn w:val="Normal"/>
    <w:autoRedefine/>
    <w:uiPriority w:val="2"/>
    <w:qFormat/>
    <w:rsid w:val="000624D8"/>
    <w:pPr>
      <w:numPr>
        <w:numId w:val="37"/>
      </w:numPr>
    </w:pPr>
    <w:rPr>
      <w:color w:val="008542" w:themeColor="accent2"/>
      <w:szCs w:val="30"/>
    </w:rPr>
  </w:style>
  <w:style w:type="paragraph" w:styleId="BalloonText">
    <w:name w:val="Balloon Text"/>
    <w:basedOn w:val="Normal"/>
    <w:link w:val="BalloonTextChar"/>
    <w:autoRedefine/>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autoRedefine/>
    <w:qFormat/>
    <w:rsid w:val="00406578"/>
    <w:rPr>
      <w:rFonts w:ascii="Arial" w:hAnsi="Arial"/>
      <w:sz w:val="22"/>
      <w:szCs w:val="24"/>
    </w:rPr>
  </w:style>
  <w:style w:type="paragraph" w:styleId="EndnoteText">
    <w:name w:val="endnote text"/>
    <w:basedOn w:val="Normal"/>
    <w:link w:val="EndnoteTextChar"/>
    <w:autoRedefine/>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link w:val="SubtitleChar"/>
    <w:autoRedefine/>
    <w:rsid w:val="00043CF6"/>
    <w:pPr>
      <w:numPr>
        <w:ilvl w:val="1"/>
      </w:numPr>
      <w:spacing w:before="480" w:after="360"/>
      <w:contextualSpacing/>
    </w:pPr>
    <w:rPr>
      <w:rFonts w:asciiTheme="majorHAnsi" w:eastAsiaTheme="majorEastAsia" w:hAnsiTheme="majorHAnsi" w:cstheme="majorBidi"/>
      <w:b/>
      <w:iCs/>
      <w:color w:val="004200" w:themeColor="accent1"/>
      <w:sz w:val="40"/>
    </w:rPr>
  </w:style>
  <w:style w:type="character" w:customStyle="1" w:styleId="SubtitleChar">
    <w:name w:val="Subtitle Char"/>
    <w:basedOn w:val="DefaultParagraphFont"/>
    <w:link w:val="Subtitle"/>
    <w:rsid w:val="00043CF6"/>
    <w:rPr>
      <w:rFonts w:asciiTheme="majorHAnsi" w:eastAsiaTheme="majorEastAsia" w:hAnsiTheme="majorHAnsi" w:cstheme="majorBidi"/>
      <w:b/>
      <w:iCs/>
      <w:color w:val="004200" w:themeColor="accent1"/>
      <w:sz w:val="40"/>
      <w:szCs w:val="24"/>
    </w:rPr>
  </w:style>
  <w:style w:type="paragraph" w:customStyle="1" w:styleId="TableHeading">
    <w:name w:val="Table Heading"/>
    <w:basedOn w:val="Normal"/>
    <w:next w:val="TableText"/>
    <w:autoRedefine/>
    <w:uiPriority w:val="99"/>
    <w:rsid w:val="000624D8"/>
    <w:pPr>
      <w:keepNext/>
      <w:keepLines/>
      <w:spacing w:before="360" w:after="360"/>
      <w:contextualSpacing/>
    </w:pPr>
    <w:rPr>
      <w:b/>
      <w:szCs w:val="20"/>
    </w:rPr>
  </w:style>
  <w:style w:type="paragraph" w:customStyle="1" w:styleId="FigureHeading">
    <w:name w:val="Figure Heading"/>
    <w:basedOn w:val="Normal"/>
    <w:next w:val="Normal"/>
    <w:autoRedefine/>
    <w:uiPriority w:val="99"/>
    <w:qFormat/>
    <w:rsid w:val="000624D8"/>
    <w:pPr>
      <w:keepNext/>
      <w:keepLines/>
      <w:tabs>
        <w:tab w:val="left" w:pos="907"/>
      </w:tabs>
      <w:spacing w:before="240"/>
      <w:contextualSpacing/>
    </w:pPr>
    <w:rPr>
      <w:rFonts w:eastAsia="Arial" w:cs="Arial"/>
      <w:b/>
      <w:color w:val="004200" w:themeColor="accent1"/>
      <w:szCs w:val="18"/>
      <w:lang w:eastAsia="zh-CN"/>
    </w:rPr>
  </w:style>
  <w:style w:type="paragraph" w:customStyle="1" w:styleId="FinancialsH1">
    <w:name w:val="Financials H1"/>
    <w:basedOn w:val="Heading1"/>
    <w:next w:val="Normal"/>
    <w:autoRedefine/>
    <w:uiPriority w:val="1"/>
    <w:semiHidden/>
    <w:rsid w:val="00CC2138"/>
    <w:pPr>
      <w:spacing w:after="360"/>
    </w:pPr>
    <w:rPr>
      <w:color w:val="008542" w:themeColor="accent2"/>
      <w:sz w:val="44"/>
    </w:rPr>
  </w:style>
  <w:style w:type="paragraph" w:customStyle="1" w:styleId="FinancialsH2">
    <w:name w:val="Financials H2"/>
    <w:basedOn w:val="Heading2"/>
    <w:next w:val="Normal"/>
    <w:autoRedefine/>
    <w:uiPriority w:val="1"/>
    <w:semiHidden/>
    <w:rsid w:val="00FC654D"/>
    <w:pPr>
      <w:spacing w:after="0" w:line="240" w:lineRule="auto"/>
    </w:pPr>
    <w:rPr>
      <w:rFonts w:ascii="Arial Bold" w:hAnsi="Arial Bold"/>
      <w:caps/>
      <w:szCs w:val="24"/>
    </w:rPr>
  </w:style>
  <w:style w:type="paragraph" w:customStyle="1" w:styleId="FinancialsH3">
    <w:name w:val="Financials H3"/>
    <w:basedOn w:val="Heading3"/>
    <w:autoRedefine/>
    <w:uiPriority w:val="1"/>
    <w:semiHidden/>
    <w:rsid w:val="00CC2138"/>
    <w:rPr>
      <w:szCs w:val="22"/>
      <w:lang w:val="en-GB"/>
    </w:rPr>
  </w:style>
  <w:style w:type="paragraph" w:customStyle="1" w:styleId="FinancialsH4">
    <w:name w:val="Financials H4"/>
    <w:basedOn w:val="Heading4"/>
    <w:autoRedefine/>
    <w:uiPriority w:val="1"/>
    <w:semiHidden/>
    <w:rsid w:val="00A00568"/>
    <w:pPr>
      <w:spacing w:before="120"/>
    </w:pPr>
    <w:rPr>
      <w:rFonts w:ascii="Arial Bold" w:hAnsi="Arial Bold"/>
      <w:lang w:val="en-GB"/>
    </w:rPr>
  </w:style>
  <w:style w:type="paragraph" w:customStyle="1" w:styleId="FinancialsH5">
    <w:name w:val="Financials H5"/>
    <w:basedOn w:val="Heading5"/>
    <w:autoRedefine/>
    <w:uiPriority w:val="1"/>
    <w:semiHidden/>
    <w:rsid w:val="00A00568"/>
    <w:pPr>
      <w:spacing w:before="120"/>
    </w:pPr>
    <w:rPr>
      <w:bCs/>
      <w:lang w:val="en-GB"/>
    </w:rPr>
  </w:style>
  <w:style w:type="paragraph" w:customStyle="1" w:styleId="FinancialsTableH2">
    <w:name w:val="Financials Table H2"/>
    <w:basedOn w:val="TableText"/>
    <w:autoRedefine/>
    <w:uiPriority w:val="1"/>
    <w:semiHidden/>
    <w:rsid w:val="00660951"/>
    <w:pPr>
      <w:spacing w:before="120" w:after="40" w:line="240" w:lineRule="auto"/>
    </w:pPr>
    <w:rPr>
      <w:b/>
      <w:color w:val="008542" w:themeColor="accent2"/>
    </w:rPr>
  </w:style>
  <w:style w:type="paragraph" w:customStyle="1" w:styleId="FinancialsTableText">
    <w:name w:val="Financials Table Text"/>
    <w:basedOn w:val="TableText"/>
    <w:autoRedefine/>
    <w:uiPriority w:val="1"/>
    <w:semiHidden/>
    <w:rsid w:val="00660951"/>
    <w:pPr>
      <w:spacing w:before="40" w:after="40" w:line="240" w:lineRule="auto"/>
    </w:pPr>
  </w:style>
  <w:style w:type="paragraph" w:customStyle="1" w:styleId="FinancialsTableTextIndented">
    <w:name w:val="Financials Table Text Indented"/>
    <w:basedOn w:val="TableText"/>
    <w:autoRedefine/>
    <w:uiPriority w:val="1"/>
    <w:semiHidden/>
    <w:rsid w:val="00F3495A"/>
    <w:pPr>
      <w:spacing w:before="40" w:after="40" w:line="240" w:lineRule="auto"/>
      <w:ind w:left="170"/>
    </w:pPr>
    <w:rPr>
      <w:i/>
    </w:rPr>
  </w:style>
  <w:style w:type="paragraph" w:customStyle="1" w:styleId="FinancialsTableH1">
    <w:name w:val="Financials Table H1"/>
    <w:basedOn w:val="TableText"/>
    <w:autoRedefine/>
    <w:uiPriority w:val="1"/>
    <w:semiHidden/>
    <w:rsid w:val="007A7D19"/>
    <w:pPr>
      <w:spacing w:before="160" w:after="40" w:line="240" w:lineRule="auto"/>
    </w:pPr>
    <w:rPr>
      <w:rFonts w:ascii="Arial Bold" w:hAnsi="Arial Bold"/>
      <w:b/>
      <w:caps/>
    </w:rPr>
  </w:style>
  <w:style w:type="paragraph" w:customStyle="1" w:styleId="NoParagraphStyle">
    <w:name w:val="[No Paragraph Style]"/>
    <w:autoRedefin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autoRedefine/>
    <w:uiPriority w:val="1"/>
    <w:semiHidden/>
    <w:rsid w:val="00CC2138"/>
  </w:style>
  <w:style w:type="paragraph" w:customStyle="1" w:styleId="AppendixH2">
    <w:name w:val="Appendix H2"/>
    <w:basedOn w:val="FinancialsH2"/>
    <w:autoRedefine/>
    <w:uiPriority w:val="1"/>
    <w:semiHidden/>
    <w:rsid w:val="00FC6134"/>
  </w:style>
  <w:style w:type="character" w:styleId="PageNumber">
    <w:name w:val="page number"/>
    <w:basedOn w:val="DefaultParagraphFont"/>
    <w:semiHidden/>
    <w:unhideWhenUsed/>
    <w:rsid w:val="005F219D"/>
    <w:rPr>
      <w:rFonts w:asciiTheme="minorHAnsi" w:hAnsiTheme="minorHAnsi"/>
      <w:b/>
      <w:color w:val="008542" w:themeColor="accent2"/>
      <w:sz w:val="16"/>
    </w:rPr>
  </w:style>
  <w:style w:type="paragraph" w:customStyle="1" w:styleId="Address">
    <w:name w:val="Address"/>
    <w:basedOn w:val="Normal"/>
    <w:autoRedefine/>
    <w:uiPriority w:val="1"/>
    <w:rsid w:val="00562759"/>
    <w:pPr>
      <w:spacing w:before="0" w:after="0" w:line="192" w:lineRule="exact"/>
    </w:pPr>
    <w:rPr>
      <w:b/>
      <w:bCs/>
      <w:color w:val="FFFFFF" w:themeColor="background1"/>
      <w:sz w:val="16"/>
      <w:szCs w:val="16"/>
    </w:rPr>
  </w:style>
  <w:style w:type="paragraph" w:customStyle="1" w:styleId="Organisation">
    <w:name w:val="Organisation"/>
    <w:basedOn w:val="Normal"/>
    <w:next w:val="Title"/>
    <w:autoRedefine/>
    <w:uiPriority w:val="1"/>
    <w:qFormat/>
    <w:rsid w:val="00043CF6"/>
    <w:pPr>
      <w:spacing w:before="0" w:after="1320"/>
    </w:pPr>
    <w:rPr>
      <w:b/>
      <w:noProof/>
      <w:color w:val="004200" w:themeColor="accent1"/>
      <w:sz w:val="20"/>
      <w:szCs w:val="16"/>
    </w:rPr>
  </w:style>
  <w:style w:type="paragraph" w:customStyle="1" w:styleId="Versionanddate">
    <w:name w:val="Version and date"/>
    <w:basedOn w:val="Subtitle"/>
    <w:next w:val="Normal"/>
    <w:autoRedefine/>
    <w:uiPriority w:val="1"/>
    <w:qFormat/>
    <w:rsid w:val="00043CF6"/>
    <w:rPr>
      <w:color w:val="008542" w:themeColor="accent2"/>
      <w:sz w:val="28"/>
    </w:rPr>
  </w:style>
  <w:style w:type="paragraph" w:customStyle="1" w:styleId="Act">
    <w:name w:val="Act"/>
    <w:basedOn w:val="Normal"/>
    <w:next w:val="Normal"/>
    <w:uiPriority w:val="1"/>
    <w:qFormat/>
    <w:rsid w:val="00BC1032"/>
    <w:rPr>
      <w:i/>
    </w:rPr>
  </w:style>
  <w:style w:type="paragraph" w:customStyle="1" w:styleId="Disclaimer">
    <w:name w:val="Disclaimer"/>
    <w:basedOn w:val="Normal"/>
    <w:autoRedefine/>
    <w:uiPriority w:val="1"/>
    <w:rsid w:val="00BC1032"/>
    <w:rPr>
      <w:i/>
    </w:rPr>
  </w:style>
  <w:style w:type="paragraph" w:styleId="Quote">
    <w:name w:val="Quote"/>
    <w:basedOn w:val="Normal"/>
    <w:next w:val="Normal"/>
    <w:link w:val="QuoteChar"/>
    <w:autoRedefine/>
    <w:uiPriority w:val="29"/>
    <w:rsid w:val="00BC1032"/>
    <w:rPr>
      <w:i/>
      <w:iCs/>
      <w:color w:val="000000" w:themeColor="text1"/>
    </w:rPr>
  </w:style>
  <w:style w:type="character" w:customStyle="1" w:styleId="QuoteChar">
    <w:name w:val="Quote Char"/>
    <w:basedOn w:val="DefaultParagraphFont"/>
    <w:link w:val="Quote"/>
    <w:uiPriority w:val="29"/>
    <w:rsid w:val="00BC1032"/>
    <w:rPr>
      <w:rFonts w:ascii="Arial" w:hAnsi="Arial"/>
      <w:i/>
      <w:iCs/>
      <w:color w:val="000000" w:themeColor="text1"/>
      <w:sz w:val="22"/>
      <w:szCs w:val="24"/>
    </w:rPr>
  </w:style>
  <w:style w:type="paragraph" w:customStyle="1" w:styleId="Report">
    <w:name w:val="Report"/>
    <w:basedOn w:val="Normal"/>
    <w:next w:val="Normal"/>
    <w:autoRedefine/>
    <w:uiPriority w:val="1"/>
    <w:qFormat/>
    <w:rsid w:val="00BC1032"/>
    <w:pPr>
      <w:spacing w:before="4000" w:after="200" w:line="276" w:lineRule="auto"/>
    </w:pPr>
    <w:rPr>
      <w:b/>
    </w:rPr>
  </w:style>
  <w:style w:type="paragraph" w:styleId="NormalIndent">
    <w:name w:val="Normal Indent"/>
    <w:basedOn w:val="Normal"/>
    <w:autoRedefine/>
    <w:unhideWhenUsed/>
    <w:rsid w:val="00BC1032"/>
    <w:pPr>
      <w:ind w:left="720"/>
    </w:pPr>
  </w:style>
  <w:style w:type="paragraph" w:styleId="Bibliography">
    <w:name w:val="Bibliography"/>
    <w:basedOn w:val="Normal"/>
    <w:next w:val="Normal"/>
    <w:autoRedefine/>
    <w:uiPriority w:val="37"/>
    <w:semiHidden/>
    <w:unhideWhenUsed/>
    <w:rsid w:val="00CC2138"/>
  </w:style>
  <w:style w:type="paragraph" w:styleId="BlockText">
    <w:name w:val="Block Text"/>
    <w:basedOn w:val="Normal"/>
    <w:autoRedefine/>
    <w:semiHidden/>
    <w:unhideWhenUsed/>
    <w:rsid w:val="00CC2138"/>
    <w:pPr>
      <w:pBdr>
        <w:top w:val="single" w:sz="2" w:space="10" w:color="004200" w:themeColor="accent1" w:frame="1"/>
        <w:left w:val="single" w:sz="2" w:space="10" w:color="004200" w:themeColor="accent1" w:frame="1"/>
        <w:bottom w:val="single" w:sz="2" w:space="10" w:color="004200" w:themeColor="accent1" w:frame="1"/>
        <w:right w:val="single" w:sz="2" w:space="10" w:color="004200" w:themeColor="accent1" w:frame="1"/>
      </w:pBdr>
      <w:ind w:left="1152" w:right="1152"/>
    </w:pPr>
    <w:rPr>
      <w:rFonts w:asciiTheme="minorHAnsi" w:eastAsiaTheme="minorEastAsia" w:hAnsiTheme="minorHAnsi" w:cstheme="minorBidi"/>
      <w:i/>
      <w:iCs/>
      <w:color w:val="004200" w:themeColor="accent1"/>
    </w:rPr>
  </w:style>
  <w:style w:type="paragraph" w:styleId="BodyText">
    <w:name w:val="Body Text"/>
    <w:basedOn w:val="Normal"/>
    <w:link w:val="BodyTextChar"/>
    <w:autoRedefine/>
    <w:semiHidden/>
    <w:unhideWhenUsed/>
    <w:rsid w:val="00CC2138"/>
  </w:style>
  <w:style w:type="character" w:customStyle="1" w:styleId="BodyTextChar">
    <w:name w:val="Body Text Char"/>
    <w:basedOn w:val="DefaultParagraphFont"/>
    <w:link w:val="BodyText"/>
    <w:semiHidden/>
    <w:rsid w:val="00CC2138"/>
    <w:rPr>
      <w:rFonts w:ascii="Arial" w:hAnsi="Arial"/>
      <w:sz w:val="22"/>
      <w:szCs w:val="24"/>
    </w:rPr>
  </w:style>
  <w:style w:type="paragraph" w:styleId="BodyText2">
    <w:name w:val="Body Text 2"/>
    <w:basedOn w:val="Normal"/>
    <w:link w:val="BodyText2Char"/>
    <w:autoRedefine/>
    <w:semiHidden/>
    <w:unhideWhenUsed/>
    <w:rsid w:val="00CC2138"/>
    <w:pPr>
      <w:spacing w:line="480" w:lineRule="auto"/>
    </w:pPr>
  </w:style>
  <w:style w:type="character" w:customStyle="1" w:styleId="BodyText2Char">
    <w:name w:val="Body Text 2 Char"/>
    <w:basedOn w:val="DefaultParagraphFont"/>
    <w:link w:val="BodyText2"/>
    <w:semiHidden/>
    <w:rsid w:val="00CC2138"/>
    <w:rPr>
      <w:rFonts w:ascii="Arial" w:hAnsi="Arial"/>
      <w:sz w:val="22"/>
      <w:szCs w:val="24"/>
    </w:rPr>
  </w:style>
  <w:style w:type="paragraph" w:styleId="BodyText3">
    <w:name w:val="Body Text 3"/>
    <w:basedOn w:val="Normal"/>
    <w:link w:val="BodyText3Char"/>
    <w:autoRedefine/>
    <w:semiHidden/>
    <w:unhideWhenUsed/>
    <w:rsid w:val="00CC2138"/>
    <w:rPr>
      <w:sz w:val="16"/>
      <w:szCs w:val="16"/>
    </w:rPr>
  </w:style>
  <w:style w:type="character" w:customStyle="1" w:styleId="BodyText3Char">
    <w:name w:val="Body Text 3 Char"/>
    <w:basedOn w:val="DefaultParagraphFont"/>
    <w:link w:val="BodyText3"/>
    <w:semiHidden/>
    <w:rsid w:val="00CC2138"/>
    <w:rPr>
      <w:rFonts w:ascii="Arial" w:hAnsi="Arial"/>
      <w:sz w:val="16"/>
      <w:szCs w:val="16"/>
    </w:rPr>
  </w:style>
  <w:style w:type="paragraph" w:styleId="BodyTextFirstIndent">
    <w:name w:val="Body Text First Indent"/>
    <w:basedOn w:val="BodyText"/>
    <w:link w:val="BodyTextFirstIndentChar"/>
    <w:autoRedefine/>
    <w:semiHidden/>
    <w:rsid w:val="00CC2138"/>
    <w:pPr>
      <w:ind w:firstLine="360"/>
    </w:pPr>
  </w:style>
  <w:style w:type="character" w:customStyle="1" w:styleId="BodyTextFirstIndentChar">
    <w:name w:val="Body Text First Indent Char"/>
    <w:basedOn w:val="BodyTextChar"/>
    <w:link w:val="BodyTextFirstIndent"/>
    <w:semiHidden/>
    <w:rsid w:val="00CC2138"/>
    <w:rPr>
      <w:rFonts w:ascii="Arial" w:hAnsi="Arial"/>
      <w:sz w:val="22"/>
      <w:szCs w:val="24"/>
    </w:rPr>
  </w:style>
  <w:style w:type="paragraph" w:styleId="BodyTextIndent">
    <w:name w:val="Body Text Indent"/>
    <w:basedOn w:val="Normal"/>
    <w:link w:val="BodyTextIndentChar"/>
    <w:autoRedefine/>
    <w:semiHidden/>
    <w:unhideWhenUsed/>
    <w:rsid w:val="00CC2138"/>
    <w:pPr>
      <w:ind w:left="283"/>
    </w:pPr>
  </w:style>
  <w:style w:type="character" w:customStyle="1" w:styleId="BodyTextIndentChar">
    <w:name w:val="Body Text Indent Char"/>
    <w:basedOn w:val="DefaultParagraphFont"/>
    <w:link w:val="BodyTextIndent"/>
    <w:semiHidden/>
    <w:rsid w:val="00CC2138"/>
    <w:rPr>
      <w:rFonts w:ascii="Arial" w:hAnsi="Arial"/>
      <w:sz w:val="22"/>
      <w:szCs w:val="24"/>
    </w:rPr>
  </w:style>
  <w:style w:type="paragraph" w:styleId="BodyTextFirstIndent2">
    <w:name w:val="Body Text First Indent 2"/>
    <w:basedOn w:val="BodyTextIndent"/>
    <w:link w:val="BodyTextFirstIndent2Char"/>
    <w:autoRedefine/>
    <w:semiHidden/>
    <w:unhideWhenUsed/>
    <w:rsid w:val="00CC2138"/>
    <w:pPr>
      <w:ind w:left="360" w:firstLine="360"/>
    </w:pPr>
  </w:style>
  <w:style w:type="character" w:customStyle="1" w:styleId="BodyTextFirstIndent2Char">
    <w:name w:val="Body Text First Indent 2 Char"/>
    <w:basedOn w:val="BodyTextIndentChar"/>
    <w:link w:val="BodyTextFirstIndent2"/>
    <w:semiHidden/>
    <w:rsid w:val="00CC2138"/>
    <w:rPr>
      <w:rFonts w:ascii="Arial" w:hAnsi="Arial"/>
      <w:sz w:val="22"/>
      <w:szCs w:val="24"/>
    </w:rPr>
  </w:style>
  <w:style w:type="paragraph" w:styleId="BodyTextIndent2">
    <w:name w:val="Body Text Indent 2"/>
    <w:basedOn w:val="Normal"/>
    <w:link w:val="BodyTextIndent2Char"/>
    <w:autoRedefine/>
    <w:semiHidden/>
    <w:unhideWhenUsed/>
    <w:rsid w:val="00CC2138"/>
    <w:pPr>
      <w:spacing w:line="480" w:lineRule="auto"/>
      <w:ind w:left="283"/>
    </w:pPr>
  </w:style>
  <w:style w:type="character" w:customStyle="1" w:styleId="BodyTextIndent2Char">
    <w:name w:val="Body Text Indent 2 Char"/>
    <w:basedOn w:val="DefaultParagraphFont"/>
    <w:link w:val="BodyTextIndent2"/>
    <w:semiHidden/>
    <w:rsid w:val="00CC2138"/>
    <w:rPr>
      <w:rFonts w:ascii="Arial" w:hAnsi="Arial"/>
      <w:sz w:val="22"/>
      <w:szCs w:val="24"/>
    </w:rPr>
  </w:style>
  <w:style w:type="paragraph" w:styleId="BodyTextIndent3">
    <w:name w:val="Body Text Indent 3"/>
    <w:basedOn w:val="Normal"/>
    <w:link w:val="BodyTextIndent3Char"/>
    <w:autoRedefine/>
    <w:semiHidden/>
    <w:unhideWhenUsed/>
    <w:rsid w:val="00CC2138"/>
    <w:pPr>
      <w:ind w:left="283"/>
    </w:pPr>
    <w:rPr>
      <w:sz w:val="16"/>
      <w:szCs w:val="16"/>
    </w:rPr>
  </w:style>
  <w:style w:type="character" w:customStyle="1" w:styleId="BodyTextIndent3Char">
    <w:name w:val="Body Text Indent 3 Char"/>
    <w:basedOn w:val="DefaultParagraphFont"/>
    <w:link w:val="BodyTextIndent3"/>
    <w:semiHidden/>
    <w:rsid w:val="00CC2138"/>
    <w:rPr>
      <w:rFonts w:ascii="Arial" w:hAnsi="Arial"/>
      <w:sz w:val="16"/>
      <w:szCs w:val="16"/>
    </w:rPr>
  </w:style>
  <w:style w:type="character" w:styleId="BookTitle">
    <w:name w:val="Book Title"/>
    <w:basedOn w:val="DefaultParagraphFont"/>
    <w:uiPriority w:val="33"/>
    <w:rsid w:val="00CC2138"/>
    <w:rPr>
      <w:b/>
      <w:bCs/>
      <w:smallCaps/>
      <w:spacing w:val="5"/>
    </w:rPr>
  </w:style>
  <w:style w:type="paragraph" w:styleId="Caption">
    <w:name w:val="caption"/>
    <w:basedOn w:val="Normal"/>
    <w:next w:val="Normal"/>
    <w:autoRedefine/>
    <w:unhideWhenUsed/>
    <w:qFormat/>
    <w:rsid w:val="00D34DDD"/>
    <w:pPr>
      <w:spacing w:before="0" w:after="80" w:line="240" w:lineRule="auto"/>
    </w:pPr>
    <w:rPr>
      <w:b/>
      <w:bCs/>
      <w:sz w:val="18"/>
      <w:szCs w:val="18"/>
    </w:rPr>
  </w:style>
  <w:style w:type="paragraph" w:styleId="Closing">
    <w:name w:val="Closing"/>
    <w:basedOn w:val="Normal"/>
    <w:link w:val="ClosingChar"/>
    <w:autoRedefine/>
    <w:semiHidden/>
    <w:unhideWhenUsed/>
    <w:rsid w:val="00CC2138"/>
    <w:pPr>
      <w:spacing w:before="0" w:after="0" w:line="240" w:lineRule="auto"/>
      <w:ind w:left="4252"/>
    </w:pPr>
  </w:style>
  <w:style w:type="character" w:customStyle="1" w:styleId="ClosingChar">
    <w:name w:val="Closing Char"/>
    <w:basedOn w:val="DefaultParagraphFont"/>
    <w:link w:val="Closing"/>
    <w:semiHidden/>
    <w:rsid w:val="00CC2138"/>
    <w:rPr>
      <w:rFonts w:ascii="Arial" w:hAnsi="Arial"/>
      <w:sz w:val="22"/>
      <w:szCs w:val="24"/>
    </w:rPr>
  </w:style>
  <w:style w:type="character" w:styleId="CommentReference">
    <w:name w:val="annotation reference"/>
    <w:basedOn w:val="DefaultParagraphFont"/>
    <w:semiHidden/>
    <w:unhideWhenUsed/>
    <w:rsid w:val="00CC2138"/>
    <w:rPr>
      <w:sz w:val="16"/>
      <w:szCs w:val="16"/>
    </w:rPr>
  </w:style>
  <w:style w:type="paragraph" w:styleId="CommentText">
    <w:name w:val="annotation text"/>
    <w:basedOn w:val="Normal"/>
    <w:link w:val="CommentTextChar"/>
    <w:autoRedefine/>
    <w:semiHidden/>
    <w:unhideWhenUsed/>
    <w:rsid w:val="00CC2138"/>
    <w:pPr>
      <w:spacing w:line="240" w:lineRule="auto"/>
    </w:pPr>
    <w:rPr>
      <w:sz w:val="20"/>
      <w:szCs w:val="20"/>
    </w:rPr>
  </w:style>
  <w:style w:type="character" w:customStyle="1" w:styleId="CommentTextChar">
    <w:name w:val="Comment Text Char"/>
    <w:basedOn w:val="DefaultParagraphFont"/>
    <w:link w:val="CommentText"/>
    <w:semiHidden/>
    <w:rsid w:val="00CC2138"/>
    <w:rPr>
      <w:rFonts w:ascii="Arial" w:hAnsi="Arial"/>
    </w:rPr>
  </w:style>
  <w:style w:type="paragraph" w:styleId="CommentSubject">
    <w:name w:val="annotation subject"/>
    <w:basedOn w:val="CommentText"/>
    <w:next w:val="CommentText"/>
    <w:link w:val="CommentSubjectChar"/>
    <w:autoRedefine/>
    <w:semiHidden/>
    <w:unhideWhenUsed/>
    <w:rsid w:val="00CC2138"/>
    <w:rPr>
      <w:b/>
      <w:bCs/>
    </w:rPr>
  </w:style>
  <w:style w:type="character" w:customStyle="1" w:styleId="CommentSubjectChar">
    <w:name w:val="Comment Subject Char"/>
    <w:basedOn w:val="CommentTextChar"/>
    <w:link w:val="CommentSubject"/>
    <w:semiHidden/>
    <w:rsid w:val="00CC2138"/>
    <w:rPr>
      <w:rFonts w:ascii="Arial" w:hAnsi="Arial"/>
      <w:b/>
      <w:bCs/>
    </w:rPr>
  </w:style>
  <w:style w:type="paragraph" w:styleId="Date">
    <w:name w:val="Date"/>
    <w:basedOn w:val="Normal"/>
    <w:next w:val="Normal"/>
    <w:link w:val="DateChar"/>
    <w:autoRedefine/>
    <w:semiHidden/>
    <w:rsid w:val="00CC2138"/>
  </w:style>
  <w:style w:type="character" w:customStyle="1" w:styleId="DateChar">
    <w:name w:val="Date Char"/>
    <w:basedOn w:val="DefaultParagraphFont"/>
    <w:link w:val="Date"/>
    <w:semiHidden/>
    <w:rsid w:val="00CC2138"/>
    <w:rPr>
      <w:rFonts w:ascii="Arial" w:hAnsi="Arial"/>
      <w:sz w:val="22"/>
      <w:szCs w:val="24"/>
    </w:rPr>
  </w:style>
  <w:style w:type="paragraph" w:styleId="DocumentMap">
    <w:name w:val="Document Map"/>
    <w:basedOn w:val="Normal"/>
    <w:link w:val="DocumentMapChar"/>
    <w:autoRedefine/>
    <w:semiHidden/>
    <w:unhideWhenUsed/>
    <w:rsid w:val="00CC2138"/>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CC2138"/>
    <w:rPr>
      <w:rFonts w:ascii="Tahoma" w:hAnsi="Tahoma" w:cs="Tahoma"/>
      <w:sz w:val="16"/>
      <w:szCs w:val="16"/>
    </w:rPr>
  </w:style>
  <w:style w:type="paragraph" w:styleId="E-mailSignature">
    <w:name w:val="E-mail Signature"/>
    <w:basedOn w:val="Normal"/>
    <w:link w:val="E-mailSignatureChar"/>
    <w:autoRedefine/>
    <w:semiHidden/>
    <w:unhideWhenUsed/>
    <w:rsid w:val="00CC2138"/>
    <w:pPr>
      <w:spacing w:before="0" w:after="0" w:line="240" w:lineRule="auto"/>
    </w:pPr>
  </w:style>
  <w:style w:type="character" w:customStyle="1" w:styleId="E-mailSignatureChar">
    <w:name w:val="E-mail Signature Char"/>
    <w:basedOn w:val="DefaultParagraphFont"/>
    <w:link w:val="E-mailSignature"/>
    <w:semiHidden/>
    <w:rsid w:val="00CC2138"/>
    <w:rPr>
      <w:rFonts w:ascii="Arial" w:hAnsi="Arial"/>
      <w:sz w:val="22"/>
      <w:szCs w:val="24"/>
    </w:rPr>
  </w:style>
  <w:style w:type="paragraph" w:styleId="EnvelopeAddress">
    <w:name w:val="envelope address"/>
    <w:basedOn w:val="Normal"/>
    <w:autoRedefine/>
    <w:semiHidden/>
    <w:unhideWhenUsed/>
    <w:rsid w:val="00CC2138"/>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autoRedefine/>
    <w:semiHidden/>
    <w:unhideWhenUsed/>
    <w:rsid w:val="00CC2138"/>
    <w:pPr>
      <w:spacing w:before="0" w:after="0" w:line="240" w:lineRule="auto"/>
    </w:pPr>
    <w:rPr>
      <w:rFonts w:asciiTheme="majorHAnsi" w:eastAsiaTheme="majorEastAsia" w:hAnsiTheme="majorHAnsi" w:cstheme="majorBidi"/>
      <w:sz w:val="20"/>
      <w:szCs w:val="20"/>
    </w:rPr>
  </w:style>
  <w:style w:type="character" w:customStyle="1" w:styleId="Heading7Char">
    <w:name w:val="Heading 7 Char"/>
    <w:basedOn w:val="DefaultParagraphFont"/>
    <w:link w:val="Heading7"/>
    <w:semiHidden/>
    <w:rsid w:val="00465398"/>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46539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465398"/>
    <w:rPr>
      <w:rFonts w:asciiTheme="majorHAnsi" w:eastAsiaTheme="majorEastAsia" w:hAnsiTheme="majorHAnsi" w:cstheme="majorBidi"/>
      <w:i/>
      <w:iCs/>
      <w:color w:val="404040" w:themeColor="text1" w:themeTint="BF"/>
    </w:rPr>
  </w:style>
  <w:style w:type="character" w:styleId="HTMLAcronym">
    <w:name w:val="HTML Acronym"/>
    <w:basedOn w:val="DefaultParagraphFont"/>
    <w:semiHidden/>
    <w:unhideWhenUsed/>
    <w:rsid w:val="00465398"/>
  </w:style>
  <w:style w:type="paragraph" w:styleId="HTMLAddress">
    <w:name w:val="HTML Address"/>
    <w:basedOn w:val="Normal"/>
    <w:link w:val="HTMLAddressChar"/>
    <w:autoRedefine/>
    <w:semiHidden/>
    <w:unhideWhenUsed/>
    <w:rsid w:val="00465398"/>
    <w:pPr>
      <w:spacing w:before="0" w:after="0" w:line="240" w:lineRule="auto"/>
    </w:pPr>
    <w:rPr>
      <w:i/>
      <w:iCs/>
    </w:rPr>
  </w:style>
  <w:style w:type="character" w:customStyle="1" w:styleId="HTMLAddressChar">
    <w:name w:val="HTML Address Char"/>
    <w:basedOn w:val="DefaultParagraphFont"/>
    <w:link w:val="HTMLAddress"/>
    <w:semiHidden/>
    <w:rsid w:val="00465398"/>
    <w:rPr>
      <w:rFonts w:ascii="Arial" w:hAnsi="Arial"/>
      <w:i/>
      <w:iCs/>
      <w:sz w:val="22"/>
      <w:szCs w:val="24"/>
    </w:rPr>
  </w:style>
  <w:style w:type="character" w:styleId="HTMLCite">
    <w:name w:val="HTML Cite"/>
    <w:basedOn w:val="DefaultParagraphFont"/>
    <w:semiHidden/>
    <w:unhideWhenUsed/>
    <w:rsid w:val="00465398"/>
    <w:rPr>
      <w:i/>
      <w:iCs/>
    </w:rPr>
  </w:style>
  <w:style w:type="character" w:styleId="HTMLCode">
    <w:name w:val="HTML Code"/>
    <w:basedOn w:val="DefaultParagraphFont"/>
    <w:semiHidden/>
    <w:unhideWhenUsed/>
    <w:rsid w:val="00465398"/>
    <w:rPr>
      <w:rFonts w:ascii="Consolas" w:hAnsi="Consolas"/>
      <w:sz w:val="20"/>
      <w:szCs w:val="20"/>
    </w:rPr>
  </w:style>
  <w:style w:type="character" w:styleId="HTMLDefinition">
    <w:name w:val="HTML Definition"/>
    <w:basedOn w:val="DefaultParagraphFont"/>
    <w:semiHidden/>
    <w:unhideWhenUsed/>
    <w:rsid w:val="00465398"/>
    <w:rPr>
      <w:i/>
      <w:iCs/>
    </w:rPr>
  </w:style>
  <w:style w:type="character" w:styleId="HTMLKeyboard">
    <w:name w:val="HTML Keyboard"/>
    <w:basedOn w:val="DefaultParagraphFont"/>
    <w:semiHidden/>
    <w:unhideWhenUsed/>
    <w:rsid w:val="00465398"/>
    <w:rPr>
      <w:rFonts w:ascii="Consolas" w:hAnsi="Consolas" w:cs="Consolas"/>
      <w:sz w:val="20"/>
      <w:szCs w:val="20"/>
    </w:rPr>
  </w:style>
  <w:style w:type="paragraph" w:styleId="HTMLPreformatted">
    <w:name w:val="HTML Preformatted"/>
    <w:basedOn w:val="Normal"/>
    <w:link w:val="HTMLPreformattedChar"/>
    <w:autoRedefine/>
    <w:semiHidden/>
    <w:unhideWhenUsed/>
    <w:rsid w:val="00465398"/>
    <w:pPr>
      <w:spacing w:before="0"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465398"/>
    <w:rPr>
      <w:rFonts w:ascii="Consolas" w:hAnsi="Consolas" w:cs="Consolas"/>
    </w:rPr>
  </w:style>
  <w:style w:type="character" w:styleId="HTMLSample">
    <w:name w:val="HTML Sample"/>
    <w:basedOn w:val="DefaultParagraphFont"/>
    <w:semiHidden/>
    <w:unhideWhenUsed/>
    <w:rsid w:val="00465398"/>
    <w:rPr>
      <w:rFonts w:ascii="Consolas" w:hAnsi="Consolas" w:cs="Consolas"/>
      <w:sz w:val="24"/>
      <w:szCs w:val="24"/>
    </w:rPr>
  </w:style>
  <w:style w:type="character" w:styleId="HTMLTypewriter">
    <w:name w:val="HTML Typewriter"/>
    <w:basedOn w:val="DefaultParagraphFont"/>
    <w:semiHidden/>
    <w:unhideWhenUsed/>
    <w:rsid w:val="00465398"/>
    <w:rPr>
      <w:rFonts w:ascii="Consolas" w:hAnsi="Consolas" w:cs="Consolas"/>
      <w:sz w:val="20"/>
      <w:szCs w:val="20"/>
    </w:rPr>
  </w:style>
  <w:style w:type="character" w:styleId="HTMLVariable">
    <w:name w:val="HTML Variable"/>
    <w:basedOn w:val="DefaultParagraphFont"/>
    <w:semiHidden/>
    <w:unhideWhenUsed/>
    <w:rsid w:val="00465398"/>
    <w:rPr>
      <w:i/>
      <w:iCs/>
    </w:rPr>
  </w:style>
  <w:style w:type="paragraph" w:styleId="Index2">
    <w:name w:val="index 2"/>
    <w:basedOn w:val="Normal"/>
    <w:next w:val="Normal"/>
    <w:autoRedefine/>
    <w:semiHidden/>
    <w:unhideWhenUsed/>
    <w:rsid w:val="00465398"/>
    <w:pPr>
      <w:spacing w:before="0" w:after="0" w:line="240" w:lineRule="auto"/>
      <w:ind w:left="440" w:hanging="220"/>
    </w:pPr>
  </w:style>
  <w:style w:type="paragraph" w:styleId="Index3">
    <w:name w:val="index 3"/>
    <w:basedOn w:val="Normal"/>
    <w:next w:val="Normal"/>
    <w:autoRedefine/>
    <w:semiHidden/>
    <w:unhideWhenUsed/>
    <w:rsid w:val="00465398"/>
    <w:pPr>
      <w:spacing w:before="0" w:after="0" w:line="240" w:lineRule="auto"/>
      <w:ind w:left="660" w:hanging="220"/>
    </w:pPr>
  </w:style>
  <w:style w:type="paragraph" w:styleId="Index4">
    <w:name w:val="index 4"/>
    <w:basedOn w:val="Normal"/>
    <w:next w:val="Normal"/>
    <w:autoRedefine/>
    <w:semiHidden/>
    <w:unhideWhenUsed/>
    <w:rsid w:val="00465398"/>
    <w:pPr>
      <w:spacing w:before="0" w:after="0" w:line="240" w:lineRule="auto"/>
      <w:ind w:left="880" w:hanging="220"/>
    </w:pPr>
  </w:style>
  <w:style w:type="paragraph" w:styleId="Index5">
    <w:name w:val="index 5"/>
    <w:basedOn w:val="Normal"/>
    <w:next w:val="Normal"/>
    <w:autoRedefine/>
    <w:semiHidden/>
    <w:unhideWhenUsed/>
    <w:rsid w:val="00465398"/>
    <w:pPr>
      <w:spacing w:before="0" w:after="0" w:line="240" w:lineRule="auto"/>
      <w:ind w:left="1100" w:hanging="220"/>
    </w:pPr>
  </w:style>
  <w:style w:type="paragraph" w:styleId="Index6">
    <w:name w:val="index 6"/>
    <w:basedOn w:val="Normal"/>
    <w:next w:val="Normal"/>
    <w:autoRedefine/>
    <w:semiHidden/>
    <w:unhideWhenUsed/>
    <w:rsid w:val="00465398"/>
    <w:pPr>
      <w:spacing w:before="0" w:after="0" w:line="240" w:lineRule="auto"/>
      <w:ind w:left="1320" w:hanging="220"/>
    </w:pPr>
  </w:style>
  <w:style w:type="paragraph" w:styleId="Index7">
    <w:name w:val="index 7"/>
    <w:basedOn w:val="Normal"/>
    <w:next w:val="Normal"/>
    <w:autoRedefine/>
    <w:semiHidden/>
    <w:unhideWhenUsed/>
    <w:rsid w:val="00465398"/>
    <w:pPr>
      <w:spacing w:before="0" w:after="0" w:line="240" w:lineRule="auto"/>
      <w:ind w:left="1540" w:hanging="220"/>
    </w:pPr>
  </w:style>
  <w:style w:type="paragraph" w:styleId="Index8">
    <w:name w:val="index 8"/>
    <w:basedOn w:val="Normal"/>
    <w:next w:val="Normal"/>
    <w:autoRedefine/>
    <w:semiHidden/>
    <w:unhideWhenUsed/>
    <w:rsid w:val="00465398"/>
    <w:pPr>
      <w:spacing w:before="0" w:after="0" w:line="240" w:lineRule="auto"/>
      <w:ind w:left="1760" w:hanging="220"/>
    </w:pPr>
  </w:style>
  <w:style w:type="paragraph" w:styleId="Index9">
    <w:name w:val="index 9"/>
    <w:basedOn w:val="Normal"/>
    <w:next w:val="Normal"/>
    <w:autoRedefine/>
    <w:semiHidden/>
    <w:unhideWhenUsed/>
    <w:rsid w:val="00465398"/>
    <w:pPr>
      <w:spacing w:before="0" w:after="0" w:line="240" w:lineRule="auto"/>
      <w:ind w:left="1980" w:hanging="220"/>
    </w:pPr>
  </w:style>
  <w:style w:type="paragraph" w:styleId="IndexHeading">
    <w:name w:val="index heading"/>
    <w:basedOn w:val="Normal"/>
    <w:next w:val="Index1"/>
    <w:autoRedefine/>
    <w:semiHidden/>
    <w:unhideWhenUsed/>
    <w:rsid w:val="00465398"/>
    <w:rPr>
      <w:rFonts w:asciiTheme="majorHAnsi" w:eastAsiaTheme="majorEastAsia" w:hAnsiTheme="majorHAnsi" w:cstheme="majorBidi"/>
      <w:b/>
      <w:bCs/>
    </w:rPr>
  </w:style>
  <w:style w:type="character" w:styleId="IntenseEmphasis">
    <w:name w:val="Intense Emphasis"/>
    <w:basedOn w:val="DefaultParagraphFont"/>
    <w:uiPriority w:val="21"/>
    <w:rsid w:val="00465398"/>
    <w:rPr>
      <w:b/>
      <w:bCs/>
      <w:i/>
      <w:iCs/>
      <w:color w:val="004200" w:themeColor="accent1"/>
    </w:rPr>
  </w:style>
  <w:style w:type="paragraph" w:styleId="IntenseQuote">
    <w:name w:val="Intense Quote"/>
    <w:basedOn w:val="Normal"/>
    <w:next w:val="Normal"/>
    <w:link w:val="IntenseQuoteChar"/>
    <w:autoRedefine/>
    <w:uiPriority w:val="30"/>
    <w:rsid w:val="00465398"/>
    <w:pPr>
      <w:pBdr>
        <w:bottom w:val="single" w:sz="4" w:space="4" w:color="004200" w:themeColor="accent1"/>
      </w:pBdr>
      <w:spacing w:before="200" w:after="280"/>
      <w:ind w:left="936" w:right="936"/>
    </w:pPr>
    <w:rPr>
      <w:b/>
      <w:bCs/>
      <w:i/>
      <w:iCs/>
      <w:color w:val="004200" w:themeColor="accent1"/>
    </w:rPr>
  </w:style>
  <w:style w:type="character" w:customStyle="1" w:styleId="IntenseQuoteChar">
    <w:name w:val="Intense Quote Char"/>
    <w:basedOn w:val="DefaultParagraphFont"/>
    <w:link w:val="IntenseQuote"/>
    <w:uiPriority w:val="30"/>
    <w:rsid w:val="00465398"/>
    <w:rPr>
      <w:rFonts w:ascii="Arial" w:hAnsi="Arial"/>
      <w:b/>
      <w:bCs/>
      <w:i/>
      <w:iCs/>
      <w:color w:val="004200" w:themeColor="accent1"/>
      <w:sz w:val="22"/>
      <w:szCs w:val="24"/>
    </w:rPr>
  </w:style>
  <w:style w:type="character" w:styleId="IntenseReference">
    <w:name w:val="Intense Reference"/>
    <w:basedOn w:val="DefaultParagraphFont"/>
    <w:uiPriority w:val="32"/>
    <w:rsid w:val="00465398"/>
    <w:rPr>
      <w:b/>
      <w:bCs/>
      <w:smallCaps/>
      <w:color w:val="008542" w:themeColor="accent2"/>
      <w:spacing w:val="5"/>
      <w:u w:val="single"/>
    </w:rPr>
  </w:style>
  <w:style w:type="character" w:styleId="LineNumber">
    <w:name w:val="line number"/>
    <w:basedOn w:val="DefaultParagraphFont"/>
    <w:unhideWhenUsed/>
    <w:rsid w:val="00465398"/>
  </w:style>
  <w:style w:type="paragraph" w:styleId="List">
    <w:name w:val="List"/>
    <w:basedOn w:val="Normal"/>
    <w:autoRedefine/>
    <w:semiHidden/>
    <w:unhideWhenUsed/>
    <w:rsid w:val="00465398"/>
    <w:pPr>
      <w:ind w:left="283" w:hanging="283"/>
      <w:contextualSpacing/>
    </w:pPr>
  </w:style>
  <w:style w:type="paragraph" w:styleId="List2">
    <w:name w:val="List 2"/>
    <w:basedOn w:val="Normal"/>
    <w:autoRedefine/>
    <w:semiHidden/>
    <w:unhideWhenUsed/>
    <w:rsid w:val="00465398"/>
    <w:pPr>
      <w:ind w:left="566" w:hanging="283"/>
      <w:contextualSpacing/>
    </w:pPr>
  </w:style>
  <w:style w:type="paragraph" w:styleId="List3">
    <w:name w:val="List 3"/>
    <w:basedOn w:val="Normal"/>
    <w:autoRedefine/>
    <w:semiHidden/>
    <w:unhideWhenUsed/>
    <w:rsid w:val="00465398"/>
    <w:pPr>
      <w:ind w:left="849" w:hanging="283"/>
      <w:contextualSpacing/>
    </w:pPr>
  </w:style>
  <w:style w:type="paragraph" w:styleId="List4">
    <w:name w:val="List 4"/>
    <w:basedOn w:val="Normal"/>
    <w:autoRedefine/>
    <w:semiHidden/>
    <w:rsid w:val="00465398"/>
    <w:pPr>
      <w:ind w:left="1132" w:hanging="283"/>
      <w:contextualSpacing/>
    </w:pPr>
  </w:style>
  <w:style w:type="paragraph" w:styleId="List5">
    <w:name w:val="List 5"/>
    <w:basedOn w:val="Normal"/>
    <w:autoRedefine/>
    <w:semiHidden/>
    <w:rsid w:val="00465398"/>
    <w:pPr>
      <w:ind w:left="1415" w:hanging="283"/>
      <w:contextualSpacing/>
    </w:pPr>
  </w:style>
  <w:style w:type="paragraph" w:styleId="ListBullet2">
    <w:name w:val="List Bullet 2"/>
    <w:basedOn w:val="Normal"/>
    <w:autoRedefine/>
    <w:uiPriority w:val="3"/>
    <w:semiHidden/>
    <w:unhideWhenUsed/>
    <w:rsid w:val="00465398"/>
    <w:pPr>
      <w:numPr>
        <w:numId w:val="2"/>
      </w:numPr>
      <w:contextualSpacing/>
    </w:pPr>
  </w:style>
  <w:style w:type="paragraph" w:styleId="ListBullet3">
    <w:name w:val="List Bullet 3"/>
    <w:basedOn w:val="Normal"/>
    <w:autoRedefine/>
    <w:uiPriority w:val="3"/>
    <w:semiHidden/>
    <w:unhideWhenUsed/>
    <w:rsid w:val="00465398"/>
    <w:pPr>
      <w:numPr>
        <w:numId w:val="3"/>
      </w:numPr>
      <w:contextualSpacing/>
    </w:pPr>
  </w:style>
  <w:style w:type="paragraph" w:styleId="ListBullet4">
    <w:name w:val="List Bullet 4"/>
    <w:basedOn w:val="Normal"/>
    <w:autoRedefine/>
    <w:uiPriority w:val="3"/>
    <w:semiHidden/>
    <w:unhideWhenUsed/>
    <w:rsid w:val="00465398"/>
    <w:pPr>
      <w:numPr>
        <w:numId w:val="4"/>
      </w:numPr>
      <w:contextualSpacing/>
    </w:pPr>
  </w:style>
  <w:style w:type="paragraph" w:styleId="ListBullet5">
    <w:name w:val="List Bullet 5"/>
    <w:basedOn w:val="Normal"/>
    <w:autoRedefine/>
    <w:uiPriority w:val="3"/>
    <w:semiHidden/>
    <w:unhideWhenUsed/>
    <w:rsid w:val="00465398"/>
    <w:pPr>
      <w:numPr>
        <w:numId w:val="5"/>
      </w:numPr>
      <w:contextualSpacing/>
    </w:pPr>
  </w:style>
  <w:style w:type="paragraph" w:styleId="ListContinue">
    <w:name w:val="List Continue"/>
    <w:basedOn w:val="Normal"/>
    <w:autoRedefine/>
    <w:semiHidden/>
    <w:unhideWhenUsed/>
    <w:rsid w:val="00465398"/>
    <w:pPr>
      <w:ind w:left="283"/>
      <w:contextualSpacing/>
    </w:pPr>
  </w:style>
  <w:style w:type="paragraph" w:styleId="ListContinue2">
    <w:name w:val="List Continue 2"/>
    <w:basedOn w:val="Normal"/>
    <w:autoRedefine/>
    <w:semiHidden/>
    <w:unhideWhenUsed/>
    <w:rsid w:val="00465398"/>
    <w:pPr>
      <w:ind w:left="566"/>
      <w:contextualSpacing/>
    </w:pPr>
  </w:style>
  <w:style w:type="paragraph" w:styleId="ListContinue3">
    <w:name w:val="List Continue 3"/>
    <w:basedOn w:val="Normal"/>
    <w:autoRedefine/>
    <w:semiHidden/>
    <w:unhideWhenUsed/>
    <w:rsid w:val="00465398"/>
    <w:pPr>
      <w:ind w:left="849"/>
      <w:contextualSpacing/>
    </w:pPr>
  </w:style>
  <w:style w:type="paragraph" w:styleId="ListContinue4">
    <w:name w:val="List Continue 4"/>
    <w:basedOn w:val="Normal"/>
    <w:autoRedefine/>
    <w:semiHidden/>
    <w:unhideWhenUsed/>
    <w:rsid w:val="00465398"/>
    <w:pPr>
      <w:ind w:left="1132"/>
      <w:contextualSpacing/>
    </w:pPr>
  </w:style>
  <w:style w:type="paragraph" w:styleId="ListContinue5">
    <w:name w:val="List Continue 5"/>
    <w:basedOn w:val="Normal"/>
    <w:autoRedefine/>
    <w:semiHidden/>
    <w:unhideWhenUsed/>
    <w:rsid w:val="00465398"/>
    <w:pPr>
      <w:ind w:left="1415"/>
      <w:contextualSpacing/>
    </w:pPr>
  </w:style>
  <w:style w:type="paragraph" w:styleId="ListNumber">
    <w:name w:val="List Number"/>
    <w:basedOn w:val="Normal"/>
    <w:autoRedefine/>
    <w:uiPriority w:val="3"/>
    <w:rsid w:val="00465398"/>
    <w:pPr>
      <w:numPr>
        <w:numId w:val="6"/>
      </w:numPr>
      <w:contextualSpacing/>
    </w:pPr>
  </w:style>
  <w:style w:type="paragraph" w:styleId="ListNumber2">
    <w:name w:val="List Number 2"/>
    <w:basedOn w:val="Normal"/>
    <w:autoRedefine/>
    <w:uiPriority w:val="3"/>
    <w:semiHidden/>
    <w:unhideWhenUsed/>
    <w:rsid w:val="00465398"/>
    <w:pPr>
      <w:numPr>
        <w:numId w:val="7"/>
      </w:numPr>
      <w:contextualSpacing/>
    </w:pPr>
  </w:style>
  <w:style w:type="paragraph" w:styleId="ListNumber3">
    <w:name w:val="List Number 3"/>
    <w:basedOn w:val="Normal"/>
    <w:autoRedefine/>
    <w:uiPriority w:val="3"/>
    <w:semiHidden/>
    <w:unhideWhenUsed/>
    <w:rsid w:val="00465398"/>
    <w:pPr>
      <w:numPr>
        <w:numId w:val="8"/>
      </w:numPr>
      <w:contextualSpacing/>
    </w:pPr>
  </w:style>
  <w:style w:type="paragraph" w:styleId="ListNumber4">
    <w:name w:val="List Number 4"/>
    <w:basedOn w:val="Normal"/>
    <w:autoRedefine/>
    <w:uiPriority w:val="3"/>
    <w:semiHidden/>
    <w:unhideWhenUsed/>
    <w:rsid w:val="00465398"/>
    <w:pPr>
      <w:numPr>
        <w:numId w:val="9"/>
      </w:numPr>
      <w:contextualSpacing/>
    </w:pPr>
  </w:style>
  <w:style w:type="paragraph" w:styleId="ListNumber5">
    <w:name w:val="List Number 5"/>
    <w:basedOn w:val="Normal"/>
    <w:autoRedefine/>
    <w:uiPriority w:val="3"/>
    <w:semiHidden/>
    <w:unhideWhenUsed/>
    <w:rsid w:val="00465398"/>
    <w:pPr>
      <w:numPr>
        <w:numId w:val="10"/>
      </w:numPr>
      <w:contextualSpacing/>
    </w:pPr>
  </w:style>
  <w:style w:type="paragraph" w:styleId="MacroText">
    <w:name w:val="macro"/>
    <w:link w:val="MacroTextChar"/>
    <w:autoRedefine/>
    <w:semiHidden/>
    <w:unhideWhenUsed/>
    <w:rsid w:val="00465398"/>
    <w:pPr>
      <w:tabs>
        <w:tab w:val="left" w:pos="480"/>
        <w:tab w:val="left" w:pos="960"/>
        <w:tab w:val="left" w:pos="1440"/>
        <w:tab w:val="left" w:pos="1920"/>
        <w:tab w:val="left" w:pos="2400"/>
        <w:tab w:val="left" w:pos="2880"/>
        <w:tab w:val="left" w:pos="3360"/>
        <w:tab w:val="left" w:pos="3840"/>
        <w:tab w:val="left" w:pos="4320"/>
      </w:tabs>
      <w:spacing w:before="120" w:line="260" w:lineRule="atLeast"/>
    </w:pPr>
    <w:rPr>
      <w:rFonts w:ascii="Consolas" w:hAnsi="Consolas" w:cs="Consolas"/>
    </w:rPr>
  </w:style>
  <w:style w:type="character" w:customStyle="1" w:styleId="MacroTextChar">
    <w:name w:val="Macro Text Char"/>
    <w:basedOn w:val="DefaultParagraphFont"/>
    <w:link w:val="MacroText"/>
    <w:semiHidden/>
    <w:rsid w:val="00465398"/>
    <w:rPr>
      <w:rFonts w:ascii="Consolas" w:hAnsi="Consolas" w:cs="Consolas"/>
    </w:rPr>
  </w:style>
  <w:style w:type="paragraph" w:styleId="MessageHeader">
    <w:name w:val="Message Header"/>
    <w:basedOn w:val="Normal"/>
    <w:link w:val="MessageHeaderChar"/>
    <w:autoRedefine/>
    <w:semiHidden/>
    <w:unhideWhenUsed/>
    <w:rsid w:val="00465398"/>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65398"/>
    <w:rPr>
      <w:rFonts w:asciiTheme="majorHAnsi" w:eastAsiaTheme="majorEastAsia" w:hAnsiTheme="majorHAnsi" w:cstheme="majorBidi"/>
      <w:sz w:val="24"/>
      <w:szCs w:val="24"/>
      <w:shd w:val="pct20" w:color="auto" w:fill="auto"/>
    </w:rPr>
  </w:style>
  <w:style w:type="paragraph" w:styleId="NormalWeb">
    <w:name w:val="Normal (Web)"/>
    <w:basedOn w:val="Normal"/>
    <w:autoRedefine/>
    <w:uiPriority w:val="99"/>
    <w:semiHidden/>
    <w:unhideWhenUsed/>
    <w:rsid w:val="00465398"/>
    <w:rPr>
      <w:rFonts w:ascii="Times New Roman" w:hAnsi="Times New Roman"/>
      <w:sz w:val="24"/>
    </w:rPr>
  </w:style>
  <w:style w:type="paragraph" w:styleId="NoteHeading">
    <w:name w:val="Note Heading"/>
    <w:basedOn w:val="Normal"/>
    <w:next w:val="Normal"/>
    <w:link w:val="NoteHeadingChar"/>
    <w:autoRedefine/>
    <w:semiHidden/>
    <w:unhideWhenUsed/>
    <w:rsid w:val="00465398"/>
    <w:pPr>
      <w:spacing w:before="0" w:after="0" w:line="240" w:lineRule="auto"/>
    </w:pPr>
  </w:style>
  <w:style w:type="character" w:customStyle="1" w:styleId="NoteHeadingChar">
    <w:name w:val="Note Heading Char"/>
    <w:basedOn w:val="DefaultParagraphFont"/>
    <w:link w:val="NoteHeading"/>
    <w:semiHidden/>
    <w:rsid w:val="00465398"/>
    <w:rPr>
      <w:rFonts w:ascii="Arial" w:hAnsi="Arial"/>
      <w:sz w:val="22"/>
      <w:szCs w:val="24"/>
    </w:rPr>
  </w:style>
  <w:style w:type="character" w:styleId="PlaceholderText">
    <w:name w:val="Placeholder Text"/>
    <w:basedOn w:val="DefaultParagraphFont"/>
    <w:uiPriority w:val="99"/>
    <w:semiHidden/>
    <w:rsid w:val="00465398"/>
    <w:rPr>
      <w:color w:val="808080"/>
    </w:rPr>
  </w:style>
  <w:style w:type="paragraph" w:styleId="PlainText">
    <w:name w:val="Plain Text"/>
    <w:basedOn w:val="Normal"/>
    <w:link w:val="PlainTextChar"/>
    <w:autoRedefine/>
    <w:semiHidden/>
    <w:unhideWhenUsed/>
    <w:rsid w:val="00465398"/>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465398"/>
    <w:rPr>
      <w:rFonts w:ascii="Consolas" w:hAnsi="Consolas" w:cs="Consolas"/>
      <w:sz w:val="21"/>
      <w:szCs w:val="21"/>
    </w:rPr>
  </w:style>
  <w:style w:type="paragraph" w:styleId="Salutation">
    <w:name w:val="Salutation"/>
    <w:basedOn w:val="Normal"/>
    <w:next w:val="Normal"/>
    <w:link w:val="SalutationChar"/>
    <w:autoRedefine/>
    <w:semiHidden/>
    <w:rsid w:val="00465398"/>
  </w:style>
  <w:style w:type="character" w:customStyle="1" w:styleId="SalutationChar">
    <w:name w:val="Salutation Char"/>
    <w:basedOn w:val="DefaultParagraphFont"/>
    <w:link w:val="Salutation"/>
    <w:semiHidden/>
    <w:rsid w:val="00465398"/>
    <w:rPr>
      <w:rFonts w:ascii="Arial" w:hAnsi="Arial"/>
      <w:sz w:val="22"/>
      <w:szCs w:val="24"/>
    </w:rPr>
  </w:style>
  <w:style w:type="paragraph" w:styleId="Signature">
    <w:name w:val="Signature"/>
    <w:basedOn w:val="Normal"/>
    <w:link w:val="SignatureChar"/>
    <w:autoRedefine/>
    <w:semiHidden/>
    <w:unhideWhenUsed/>
    <w:rsid w:val="00465398"/>
    <w:pPr>
      <w:spacing w:before="0" w:after="0" w:line="240" w:lineRule="auto"/>
      <w:ind w:left="4252"/>
    </w:pPr>
  </w:style>
  <w:style w:type="character" w:customStyle="1" w:styleId="SignatureChar">
    <w:name w:val="Signature Char"/>
    <w:basedOn w:val="DefaultParagraphFont"/>
    <w:link w:val="Signature"/>
    <w:semiHidden/>
    <w:rsid w:val="00465398"/>
    <w:rPr>
      <w:rFonts w:ascii="Arial" w:hAnsi="Arial"/>
      <w:sz w:val="22"/>
      <w:szCs w:val="24"/>
    </w:rPr>
  </w:style>
  <w:style w:type="character" w:styleId="SubtleReference">
    <w:name w:val="Subtle Reference"/>
    <w:basedOn w:val="DefaultParagraphFont"/>
    <w:uiPriority w:val="31"/>
    <w:rsid w:val="00465398"/>
    <w:rPr>
      <w:smallCaps/>
      <w:color w:val="008542" w:themeColor="accent2"/>
      <w:u w:val="single"/>
    </w:rPr>
  </w:style>
  <w:style w:type="paragraph" w:styleId="TableofAuthorities">
    <w:name w:val="table of authorities"/>
    <w:basedOn w:val="Normal"/>
    <w:next w:val="Normal"/>
    <w:autoRedefine/>
    <w:semiHidden/>
    <w:unhideWhenUsed/>
    <w:rsid w:val="00465398"/>
    <w:pPr>
      <w:spacing w:after="0"/>
      <w:ind w:left="220" w:hanging="220"/>
    </w:pPr>
  </w:style>
  <w:style w:type="paragraph" w:styleId="TableofFigures">
    <w:name w:val="table of figures"/>
    <w:basedOn w:val="Normal"/>
    <w:next w:val="Normal"/>
    <w:autoRedefine/>
    <w:semiHidden/>
    <w:unhideWhenUsed/>
    <w:rsid w:val="00465398"/>
    <w:pPr>
      <w:spacing w:after="0"/>
    </w:pPr>
  </w:style>
  <w:style w:type="paragraph" w:styleId="TOAHeading">
    <w:name w:val="toa heading"/>
    <w:basedOn w:val="Normal"/>
    <w:next w:val="Normal"/>
    <w:autoRedefine/>
    <w:semiHidden/>
    <w:unhideWhenUsed/>
    <w:rsid w:val="00465398"/>
    <w:rPr>
      <w:rFonts w:asciiTheme="majorHAnsi" w:eastAsiaTheme="majorEastAsia" w:hAnsiTheme="majorHAnsi" w:cstheme="majorBidi"/>
      <w:b/>
      <w:bCs/>
      <w:sz w:val="24"/>
    </w:rPr>
  </w:style>
  <w:style w:type="paragraph" w:styleId="TOC3">
    <w:name w:val="toc 3"/>
    <w:basedOn w:val="Normal"/>
    <w:next w:val="Normal"/>
    <w:autoRedefine/>
    <w:semiHidden/>
    <w:unhideWhenUsed/>
    <w:rsid w:val="00733EFD"/>
    <w:pPr>
      <w:spacing w:after="100"/>
      <w:ind w:left="440"/>
    </w:pPr>
  </w:style>
  <w:style w:type="paragraph" w:styleId="TOC4">
    <w:name w:val="toc 4"/>
    <w:basedOn w:val="Normal"/>
    <w:next w:val="Normal"/>
    <w:autoRedefine/>
    <w:semiHidden/>
    <w:unhideWhenUsed/>
    <w:rsid w:val="00465398"/>
    <w:pPr>
      <w:spacing w:after="100"/>
      <w:ind w:left="660"/>
    </w:pPr>
  </w:style>
  <w:style w:type="paragraph" w:styleId="TOC5">
    <w:name w:val="toc 5"/>
    <w:basedOn w:val="Normal"/>
    <w:next w:val="Normal"/>
    <w:autoRedefine/>
    <w:unhideWhenUsed/>
    <w:rsid w:val="00465398"/>
    <w:pPr>
      <w:spacing w:after="100"/>
      <w:ind w:left="880"/>
    </w:pPr>
  </w:style>
  <w:style w:type="paragraph" w:styleId="TOC6">
    <w:name w:val="toc 6"/>
    <w:basedOn w:val="Normal"/>
    <w:next w:val="Normal"/>
    <w:autoRedefine/>
    <w:semiHidden/>
    <w:unhideWhenUsed/>
    <w:rsid w:val="00465398"/>
    <w:pPr>
      <w:spacing w:after="100"/>
      <w:ind w:left="1100"/>
    </w:pPr>
  </w:style>
  <w:style w:type="paragraph" w:styleId="TOC7">
    <w:name w:val="toc 7"/>
    <w:basedOn w:val="Normal"/>
    <w:next w:val="Normal"/>
    <w:autoRedefine/>
    <w:semiHidden/>
    <w:unhideWhenUsed/>
    <w:rsid w:val="00465398"/>
    <w:pPr>
      <w:spacing w:after="100"/>
      <w:ind w:left="1320"/>
    </w:pPr>
  </w:style>
  <w:style w:type="paragraph" w:styleId="TOC8">
    <w:name w:val="toc 8"/>
    <w:basedOn w:val="Normal"/>
    <w:next w:val="Normal"/>
    <w:autoRedefine/>
    <w:semiHidden/>
    <w:unhideWhenUsed/>
    <w:rsid w:val="00465398"/>
    <w:pPr>
      <w:spacing w:after="100"/>
      <w:ind w:left="1540"/>
    </w:pPr>
  </w:style>
  <w:style w:type="paragraph" w:styleId="TOC9">
    <w:name w:val="toc 9"/>
    <w:basedOn w:val="Normal"/>
    <w:next w:val="Normal"/>
    <w:autoRedefine/>
    <w:unhideWhenUsed/>
    <w:rsid w:val="00465398"/>
    <w:pPr>
      <w:spacing w:after="100"/>
      <w:ind w:left="1760"/>
    </w:pPr>
  </w:style>
  <w:style w:type="character" w:styleId="Hyperlink">
    <w:name w:val="Hyperlink"/>
    <w:basedOn w:val="DefaultParagraphFont"/>
    <w:uiPriority w:val="99"/>
    <w:unhideWhenUsed/>
    <w:rsid w:val="00562759"/>
    <w:rPr>
      <w:color w:val="000000" w:themeColor="hyperlink"/>
      <w:u w:val="single"/>
    </w:rPr>
  </w:style>
  <w:style w:type="character" w:customStyle="1" w:styleId="TitleChar">
    <w:name w:val="Title Char"/>
    <w:basedOn w:val="DefaultParagraphFont"/>
    <w:link w:val="Title"/>
    <w:rsid w:val="00161EBF"/>
    <w:rPr>
      <w:rFonts w:ascii="Arial Bold" w:hAnsi="Arial Bold" w:cs="Arial"/>
      <w:b/>
      <w:bCs/>
      <w:color w:val="004200" w:themeColor="accent1"/>
      <w:kern w:val="28"/>
      <w:sz w:val="84"/>
      <w:szCs w:val="32"/>
    </w:rPr>
  </w:style>
  <w:style w:type="character" w:customStyle="1" w:styleId="ListParagraphChar">
    <w:name w:val="List Paragraph Char"/>
    <w:link w:val="ListParagraph"/>
    <w:uiPriority w:val="34"/>
    <w:locked/>
    <w:rsid w:val="002A1AA3"/>
    <w:rPr>
      <w:rFonts w:ascii="Arial" w:hAnsi="Arial"/>
      <w:sz w:val="22"/>
      <w:szCs w:val="24"/>
    </w:rPr>
  </w:style>
  <w:style w:type="paragraph" w:customStyle="1" w:styleId="NormalArial">
    <w:name w:val="Normal + Arial"/>
    <w:aliases w:val="11 pt"/>
    <w:basedOn w:val="Normal"/>
    <w:rsid w:val="0006691C"/>
    <w:pPr>
      <w:spacing w:before="0" w:after="0" w:line="240" w:lineRule="auto"/>
      <w:ind w:left="550"/>
    </w:pPr>
    <w:rPr>
      <w:rFonts w:cs="Arial"/>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2" w:unhideWhenUsed="0" w:qFormat="1"/>
    <w:lsdException w:name="heading 2" w:semiHidden="0" w:uiPriority="2" w:unhideWhenUsed="0" w:qFormat="1"/>
    <w:lsdException w:name="heading 3" w:semiHidden="0" w:unhideWhenUsed="0" w:qFormat="1"/>
    <w:lsdException w:name="heading 4" w:semiHidden="0" w:unhideWhenUsed="0"/>
    <w:lsdException w:name="heading 5" w:semiHidden="0" w:unhideWhenUsed="0"/>
    <w:lsdException w:name="toc 1" w:uiPriority="39"/>
    <w:lsdException w:name="toc 2" w:uiPriority="39"/>
    <w:lsdException w:name="caption" w:qFormat="1"/>
    <w:lsdException w:name="List Bullet" w:uiPriority="2" w:qFormat="1"/>
    <w:lsdException w:name="List Number" w:semiHidden="0" w:uiPriority="3" w:unhideWhenUsed="0"/>
    <w:lsdException w:name="List 4" w:unhideWhenUsed="0"/>
    <w:lsdException w:name="List 5" w:unhideWhenUsed="0"/>
    <w:lsdException w:name="List Bullet 2" w:uiPriority="3"/>
    <w:lsdException w:name="List Bullet 3" w:uiPriority="3"/>
    <w:lsdException w:name="List Bullet 4" w:uiPriority="3"/>
    <w:lsdException w:name="List Bullet 5" w:uiPriority="3"/>
    <w:lsdException w:name="List Number 2" w:uiPriority="3"/>
    <w:lsdException w:name="List Number 3" w:uiPriority="3"/>
    <w:lsdException w:name="List Number 4" w:uiPriority="3"/>
    <w:lsdException w:name="List Number 5" w:uiPriority="3"/>
    <w:lsdException w:name="Title" w:semiHidden="0" w:unhideWhenUsed="0"/>
    <w:lsdException w:name="Subtitle" w:semiHidden="0" w:unhideWhenUsed="0"/>
    <w:lsdException w:name="Salutation" w:unhideWhenUsed="0"/>
    <w:lsdException w:name="Date" w:unhideWhenUsed="0"/>
    <w:lsdException w:name="Body Text First Indent" w:unhideWhenUsed="0"/>
    <w:lsdException w:name="Hyperlink" w:uiPriority="99"/>
    <w:lsdException w:name="Strong" w:semiHidden="0" w:uiPriority="22" w:unhideWhenUsed="0" w:qFormat="1"/>
    <w:lsdException w:name="Emphasis" w:semiHidden="0" w:unhideWhenUsed="0"/>
    <w:lsdException w:name="Normal (Web)" w:uiPriority="99"/>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B15ED0"/>
    <w:pPr>
      <w:spacing w:before="120" w:after="120" w:line="260" w:lineRule="atLeast"/>
    </w:pPr>
    <w:rPr>
      <w:rFonts w:ascii="Arial" w:hAnsi="Arial"/>
      <w:sz w:val="22"/>
      <w:szCs w:val="24"/>
    </w:rPr>
  </w:style>
  <w:style w:type="paragraph" w:styleId="Heading1">
    <w:name w:val="heading 1"/>
    <w:basedOn w:val="Normal"/>
    <w:next w:val="Normal"/>
    <w:autoRedefine/>
    <w:uiPriority w:val="2"/>
    <w:qFormat/>
    <w:rsid w:val="00161EBF"/>
    <w:pPr>
      <w:keepNext/>
      <w:keepLines/>
      <w:numPr>
        <w:numId w:val="36"/>
      </w:numPr>
      <w:spacing w:before="0" w:after="1080"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autoRedefine/>
    <w:uiPriority w:val="2"/>
    <w:qFormat/>
    <w:rsid w:val="00CB0D62"/>
    <w:pPr>
      <w:keepNext/>
      <w:keepLines/>
      <w:numPr>
        <w:ilvl w:val="1"/>
        <w:numId w:val="36"/>
      </w:numPr>
      <w:spacing w:before="360"/>
      <w:contextualSpacing/>
      <w:outlineLvl w:val="1"/>
    </w:pPr>
    <w:rPr>
      <w:rFonts w:asciiTheme="majorHAnsi" w:hAnsiTheme="majorHAnsi"/>
      <w:b/>
      <w:sz w:val="24"/>
      <w:szCs w:val="28"/>
    </w:rPr>
  </w:style>
  <w:style w:type="paragraph" w:styleId="Heading3">
    <w:name w:val="heading 3"/>
    <w:basedOn w:val="Normal"/>
    <w:next w:val="Normal"/>
    <w:autoRedefine/>
    <w:uiPriority w:val="2"/>
    <w:qFormat/>
    <w:rsid w:val="00620C52"/>
    <w:pPr>
      <w:keepNext/>
      <w:keepLines/>
      <w:numPr>
        <w:ilvl w:val="2"/>
        <w:numId w:val="36"/>
      </w:numPr>
      <w:spacing w:before="240" w:line="240" w:lineRule="auto"/>
      <w:contextualSpacing/>
      <w:outlineLvl w:val="2"/>
    </w:pPr>
    <w:rPr>
      <w:b/>
      <w:color w:val="004200" w:themeColor="accent1"/>
    </w:rPr>
  </w:style>
  <w:style w:type="paragraph" w:styleId="Heading4">
    <w:name w:val="heading 4"/>
    <w:basedOn w:val="Normal"/>
    <w:next w:val="Normal"/>
    <w:autoRedefine/>
    <w:uiPriority w:val="2"/>
    <w:rsid w:val="00EB13A7"/>
    <w:pPr>
      <w:keepNext/>
      <w:keepLines/>
      <w:numPr>
        <w:ilvl w:val="3"/>
        <w:numId w:val="36"/>
      </w:numPr>
      <w:spacing w:before="240"/>
      <w:contextualSpacing/>
      <w:outlineLvl w:val="3"/>
    </w:pPr>
    <w:rPr>
      <w:color w:val="636466" w:themeColor="accent4"/>
    </w:rPr>
  </w:style>
  <w:style w:type="paragraph" w:styleId="Heading5">
    <w:name w:val="heading 5"/>
    <w:basedOn w:val="Normal"/>
    <w:next w:val="Normal"/>
    <w:link w:val="Heading5Char"/>
    <w:autoRedefine/>
    <w:semiHidden/>
    <w:rsid w:val="002672F1"/>
    <w:pPr>
      <w:keepNext/>
      <w:numPr>
        <w:ilvl w:val="4"/>
        <w:numId w:val="36"/>
      </w:numPr>
      <w:spacing w:before="240"/>
      <w:contextualSpacing/>
      <w:outlineLvl w:val="4"/>
    </w:pPr>
    <w:rPr>
      <w:b/>
      <w:szCs w:val="22"/>
    </w:rPr>
  </w:style>
  <w:style w:type="paragraph" w:styleId="Heading6">
    <w:name w:val="heading 6"/>
    <w:basedOn w:val="Normal"/>
    <w:next w:val="Normal"/>
    <w:link w:val="Heading6Char"/>
    <w:autoRedefine/>
    <w:semiHidden/>
    <w:rsid w:val="002672F1"/>
    <w:pPr>
      <w:keepNext/>
      <w:numPr>
        <w:ilvl w:val="5"/>
        <w:numId w:val="36"/>
      </w:numPr>
      <w:spacing w:before="240"/>
      <w:contextualSpacing/>
      <w:outlineLvl w:val="5"/>
    </w:pPr>
    <w:rPr>
      <w:b/>
      <w:sz w:val="20"/>
      <w:szCs w:val="22"/>
    </w:rPr>
  </w:style>
  <w:style w:type="paragraph" w:styleId="Heading7">
    <w:name w:val="heading 7"/>
    <w:basedOn w:val="Normal"/>
    <w:next w:val="Normal"/>
    <w:link w:val="Heading7Char"/>
    <w:autoRedefine/>
    <w:semiHidden/>
    <w:unhideWhenUsed/>
    <w:rsid w:val="00465398"/>
    <w:pPr>
      <w:keepNext/>
      <w:keepLines/>
      <w:numPr>
        <w:ilvl w:val="6"/>
        <w:numId w:val="3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autoRedefine/>
    <w:semiHidden/>
    <w:unhideWhenUsed/>
    <w:rsid w:val="00465398"/>
    <w:pPr>
      <w:keepNext/>
      <w:keepLines/>
      <w:numPr>
        <w:ilvl w:val="7"/>
        <w:numId w:val="3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autoRedefine/>
    <w:semiHidden/>
    <w:unhideWhenUsed/>
    <w:rsid w:val="00465398"/>
    <w:pPr>
      <w:keepNext/>
      <w:keepLines/>
      <w:numPr>
        <w:ilvl w:val="8"/>
        <w:numId w:val="3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uiPriority w:val="99"/>
    <w:rsid w:val="005F219D"/>
    <w:pPr>
      <w:tabs>
        <w:tab w:val="right" w:pos="10319"/>
      </w:tabs>
      <w:spacing w:before="0" w:after="0" w:line="240" w:lineRule="auto"/>
    </w:pPr>
    <w:rPr>
      <w:b/>
      <w:sz w:val="16"/>
    </w:rPr>
  </w:style>
  <w:style w:type="paragraph" w:styleId="Title">
    <w:name w:val="Title"/>
    <w:basedOn w:val="Normal"/>
    <w:next w:val="Subtitle"/>
    <w:link w:val="TitleChar"/>
    <w:autoRedefine/>
    <w:rsid w:val="00161EBF"/>
    <w:pPr>
      <w:spacing w:before="480" w:after="360" w:line="204" w:lineRule="auto"/>
      <w:contextualSpacing/>
    </w:pPr>
    <w:rPr>
      <w:rFonts w:ascii="Arial Bold" w:hAnsi="Arial Bold" w:cs="Arial"/>
      <w:b/>
      <w:bCs/>
      <w:color w:val="004200" w:themeColor="accent1"/>
      <w:kern w:val="28"/>
      <w:sz w:val="84"/>
      <w:szCs w:val="32"/>
    </w:rPr>
  </w:style>
  <w:style w:type="paragraph" w:styleId="ListBullet">
    <w:name w:val="List Bullet"/>
    <w:basedOn w:val="Normal"/>
    <w:autoRedefine/>
    <w:uiPriority w:val="2"/>
    <w:qFormat/>
    <w:rsid w:val="00620C52"/>
    <w:pPr>
      <w:numPr>
        <w:numId w:val="35"/>
      </w:numPr>
      <w:spacing w:before="0" w:after="200" w:line="240" w:lineRule="auto"/>
      <w:contextualSpacing/>
    </w:pPr>
  </w:style>
  <w:style w:type="paragraph" w:styleId="Footer">
    <w:name w:val="footer"/>
    <w:basedOn w:val="Header"/>
    <w:autoRedefine/>
    <w:uiPriority w:val="99"/>
    <w:rsid w:val="00733251"/>
    <w:pPr>
      <w:tabs>
        <w:tab w:val="right" w:pos="9639"/>
      </w:tabs>
    </w:pPr>
  </w:style>
  <w:style w:type="paragraph" w:styleId="Index1">
    <w:name w:val="index 1"/>
    <w:basedOn w:val="Normal"/>
    <w:next w:val="Normal"/>
    <w:autoRedefine/>
    <w:semiHidden/>
    <w:unhideWhenUsed/>
    <w:rsid w:val="00465398"/>
    <w:pPr>
      <w:spacing w:before="0" w:after="0" w:line="240" w:lineRule="auto"/>
      <w:ind w:left="220" w:hanging="220"/>
    </w:pPr>
  </w:style>
  <w:style w:type="character" w:customStyle="1" w:styleId="Heading5Char">
    <w:name w:val="Heading 5 Char"/>
    <w:basedOn w:val="DefaultParagraphFont"/>
    <w:link w:val="Heading5"/>
    <w:semiHidden/>
    <w:rsid w:val="001D2904"/>
    <w:rPr>
      <w:rFonts w:ascii="Arial" w:hAnsi="Arial"/>
      <w:b/>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rsid w:val="00797C88"/>
    <w:rPr>
      <w:rFonts w:ascii="Arial" w:hAnsi="Arial"/>
      <w:sz w:val="22"/>
    </w:rPr>
  </w:style>
  <w:style w:type="character" w:styleId="FootnoteReference">
    <w:name w:val="footnote reference"/>
    <w:aliases w:val="Footnote text"/>
    <w:basedOn w:val="DefaultParagraphFont"/>
    <w:rsid w:val="00843390"/>
    <w:rPr>
      <w:vertAlign w:val="superscript"/>
    </w:rPr>
  </w:style>
  <w:style w:type="paragraph" w:styleId="ListParagraph">
    <w:name w:val="List Paragraph"/>
    <w:basedOn w:val="Normal"/>
    <w:link w:val="ListParagraphChar"/>
    <w:autoRedefine/>
    <w:uiPriority w:val="34"/>
    <w:qFormat/>
    <w:rsid w:val="00010D84"/>
    <w:pPr>
      <w:ind w:left="720"/>
    </w:pPr>
  </w:style>
  <w:style w:type="character" w:customStyle="1" w:styleId="Heading2Char">
    <w:name w:val="Heading 2 Char"/>
    <w:basedOn w:val="DefaultParagraphFont"/>
    <w:link w:val="Heading2"/>
    <w:uiPriority w:val="2"/>
    <w:rsid w:val="00CB0D62"/>
    <w:rPr>
      <w:rFonts w:asciiTheme="majorHAnsi" w:hAnsiTheme="majorHAnsi"/>
      <w:b/>
      <w:sz w:val="24"/>
      <w:szCs w:val="28"/>
    </w:rPr>
  </w:style>
  <w:style w:type="paragraph" w:styleId="TOC1">
    <w:name w:val="toc 1"/>
    <w:basedOn w:val="Normal"/>
    <w:next w:val="Normal"/>
    <w:autoRedefine/>
    <w:uiPriority w:val="39"/>
    <w:rsid w:val="00733EFD"/>
    <w:pPr>
      <w:spacing w:before="240" w:after="60" w:line="240" w:lineRule="auto"/>
      <w:ind w:right="567"/>
    </w:pPr>
    <w:rPr>
      <w:b/>
      <w:noProof/>
    </w:rPr>
  </w:style>
  <w:style w:type="paragraph" w:styleId="TOC2">
    <w:name w:val="toc 2"/>
    <w:basedOn w:val="Normal"/>
    <w:next w:val="Normal"/>
    <w:autoRedefine/>
    <w:uiPriority w:val="39"/>
    <w:rsid w:val="00733EFD"/>
    <w:pPr>
      <w:spacing w:before="60" w:after="60" w:line="240" w:lineRule="auto"/>
      <w:ind w:right="567"/>
    </w:pPr>
    <w:rPr>
      <w:noProof/>
    </w:rPr>
  </w:style>
  <w:style w:type="paragraph" w:customStyle="1" w:styleId="TableText">
    <w:name w:val="Table Text"/>
    <w:basedOn w:val="Normal"/>
    <w:autoRedefine/>
    <w:uiPriority w:val="99"/>
    <w:qFormat/>
    <w:rsid w:val="009005A6"/>
    <w:pPr>
      <w:spacing w:before="80" w:after="80" w:line="240" w:lineRule="atLeast"/>
    </w:pPr>
    <w:rPr>
      <w:sz w:val="20"/>
    </w:rPr>
  </w:style>
  <w:style w:type="character" w:styleId="Emphasis">
    <w:name w:val="Emphasis"/>
    <w:basedOn w:val="DefaultParagraphFon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542"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autoRedefine/>
    <w:uiPriority w:val="39"/>
    <w:qFormat/>
    <w:rsid w:val="002256A8"/>
    <w:pPr>
      <w:outlineLvl w:val="9"/>
    </w:pPr>
    <w:rPr>
      <w:rFonts w:eastAsiaTheme="majorEastAsia" w:cstheme="majorBidi"/>
      <w:bCs/>
      <w:szCs w:val="28"/>
    </w:rPr>
  </w:style>
  <w:style w:type="paragraph" w:customStyle="1" w:styleId="SourceNotesText">
    <w:name w:val="Source/Notes Text"/>
    <w:basedOn w:val="Normal"/>
    <w:autoRedefine/>
    <w:uiPriority w:val="9"/>
    <w:qFormat/>
    <w:rsid w:val="007802BE"/>
    <w:pPr>
      <w:spacing w:line="240" w:lineRule="auto"/>
    </w:pPr>
    <w:rPr>
      <w:sz w:val="18"/>
      <w:szCs w:val="16"/>
    </w:rPr>
  </w:style>
  <w:style w:type="character" w:styleId="Strong">
    <w:name w:val="Strong"/>
    <w:basedOn w:val="DefaultParagraphFont"/>
    <w:uiPriority w:val="22"/>
    <w:qFormat/>
    <w:rsid w:val="00D45B67"/>
    <w:rPr>
      <w:b/>
      <w:bCs/>
    </w:rPr>
  </w:style>
  <w:style w:type="paragraph" w:customStyle="1" w:styleId="Intro">
    <w:name w:val="Intro"/>
    <w:basedOn w:val="Normal"/>
    <w:autoRedefine/>
    <w:uiPriority w:val="2"/>
    <w:qFormat/>
    <w:rsid w:val="000624D8"/>
    <w:pPr>
      <w:numPr>
        <w:numId w:val="37"/>
      </w:numPr>
    </w:pPr>
    <w:rPr>
      <w:color w:val="008542" w:themeColor="accent2"/>
      <w:szCs w:val="30"/>
    </w:rPr>
  </w:style>
  <w:style w:type="paragraph" w:styleId="BalloonText">
    <w:name w:val="Balloon Text"/>
    <w:basedOn w:val="Normal"/>
    <w:link w:val="BalloonTextChar"/>
    <w:autoRedefine/>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autoRedefine/>
    <w:qFormat/>
    <w:rsid w:val="00406578"/>
    <w:rPr>
      <w:rFonts w:ascii="Arial" w:hAnsi="Arial"/>
      <w:sz w:val="22"/>
      <w:szCs w:val="24"/>
    </w:rPr>
  </w:style>
  <w:style w:type="paragraph" w:styleId="EndnoteText">
    <w:name w:val="endnote text"/>
    <w:basedOn w:val="Normal"/>
    <w:link w:val="EndnoteTextChar"/>
    <w:autoRedefine/>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link w:val="SubtitleChar"/>
    <w:autoRedefine/>
    <w:rsid w:val="00043CF6"/>
    <w:pPr>
      <w:numPr>
        <w:ilvl w:val="1"/>
      </w:numPr>
      <w:spacing w:before="480" w:after="360"/>
      <w:contextualSpacing/>
    </w:pPr>
    <w:rPr>
      <w:rFonts w:asciiTheme="majorHAnsi" w:eastAsiaTheme="majorEastAsia" w:hAnsiTheme="majorHAnsi" w:cstheme="majorBidi"/>
      <w:b/>
      <w:iCs/>
      <w:color w:val="004200" w:themeColor="accent1"/>
      <w:sz w:val="40"/>
    </w:rPr>
  </w:style>
  <w:style w:type="character" w:customStyle="1" w:styleId="SubtitleChar">
    <w:name w:val="Subtitle Char"/>
    <w:basedOn w:val="DefaultParagraphFont"/>
    <w:link w:val="Subtitle"/>
    <w:rsid w:val="00043CF6"/>
    <w:rPr>
      <w:rFonts w:asciiTheme="majorHAnsi" w:eastAsiaTheme="majorEastAsia" w:hAnsiTheme="majorHAnsi" w:cstheme="majorBidi"/>
      <w:b/>
      <w:iCs/>
      <w:color w:val="004200" w:themeColor="accent1"/>
      <w:sz w:val="40"/>
      <w:szCs w:val="24"/>
    </w:rPr>
  </w:style>
  <w:style w:type="paragraph" w:customStyle="1" w:styleId="TableHeading">
    <w:name w:val="Table Heading"/>
    <w:basedOn w:val="Normal"/>
    <w:next w:val="TableText"/>
    <w:autoRedefine/>
    <w:uiPriority w:val="99"/>
    <w:rsid w:val="000624D8"/>
    <w:pPr>
      <w:keepNext/>
      <w:keepLines/>
      <w:spacing w:before="360" w:after="360"/>
      <w:contextualSpacing/>
    </w:pPr>
    <w:rPr>
      <w:b/>
      <w:szCs w:val="20"/>
    </w:rPr>
  </w:style>
  <w:style w:type="paragraph" w:customStyle="1" w:styleId="FigureHeading">
    <w:name w:val="Figure Heading"/>
    <w:basedOn w:val="Normal"/>
    <w:next w:val="Normal"/>
    <w:autoRedefine/>
    <w:uiPriority w:val="99"/>
    <w:qFormat/>
    <w:rsid w:val="000624D8"/>
    <w:pPr>
      <w:keepNext/>
      <w:keepLines/>
      <w:tabs>
        <w:tab w:val="left" w:pos="907"/>
      </w:tabs>
      <w:spacing w:before="240"/>
      <w:contextualSpacing/>
    </w:pPr>
    <w:rPr>
      <w:rFonts w:eastAsia="Arial" w:cs="Arial"/>
      <w:b/>
      <w:color w:val="004200" w:themeColor="accent1"/>
      <w:szCs w:val="18"/>
      <w:lang w:eastAsia="zh-CN"/>
    </w:rPr>
  </w:style>
  <w:style w:type="paragraph" w:customStyle="1" w:styleId="FinancialsH1">
    <w:name w:val="Financials H1"/>
    <w:basedOn w:val="Heading1"/>
    <w:next w:val="Normal"/>
    <w:autoRedefine/>
    <w:uiPriority w:val="1"/>
    <w:semiHidden/>
    <w:rsid w:val="00CC2138"/>
    <w:pPr>
      <w:spacing w:after="360"/>
    </w:pPr>
    <w:rPr>
      <w:color w:val="008542" w:themeColor="accent2"/>
      <w:sz w:val="44"/>
    </w:rPr>
  </w:style>
  <w:style w:type="paragraph" w:customStyle="1" w:styleId="FinancialsH2">
    <w:name w:val="Financials H2"/>
    <w:basedOn w:val="Heading2"/>
    <w:next w:val="Normal"/>
    <w:autoRedefine/>
    <w:uiPriority w:val="1"/>
    <w:semiHidden/>
    <w:rsid w:val="00FC654D"/>
    <w:pPr>
      <w:spacing w:after="0" w:line="240" w:lineRule="auto"/>
    </w:pPr>
    <w:rPr>
      <w:rFonts w:ascii="Arial Bold" w:hAnsi="Arial Bold"/>
      <w:caps/>
      <w:szCs w:val="24"/>
    </w:rPr>
  </w:style>
  <w:style w:type="paragraph" w:customStyle="1" w:styleId="FinancialsH3">
    <w:name w:val="Financials H3"/>
    <w:basedOn w:val="Heading3"/>
    <w:autoRedefine/>
    <w:uiPriority w:val="1"/>
    <w:semiHidden/>
    <w:rsid w:val="00CC2138"/>
    <w:rPr>
      <w:szCs w:val="22"/>
      <w:lang w:val="en-GB"/>
    </w:rPr>
  </w:style>
  <w:style w:type="paragraph" w:customStyle="1" w:styleId="FinancialsH4">
    <w:name w:val="Financials H4"/>
    <w:basedOn w:val="Heading4"/>
    <w:autoRedefine/>
    <w:uiPriority w:val="1"/>
    <w:semiHidden/>
    <w:rsid w:val="00A00568"/>
    <w:pPr>
      <w:spacing w:before="120"/>
    </w:pPr>
    <w:rPr>
      <w:rFonts w:ascii="Arial Bold" w:hAnsi="Arial Bold"/>
      <w:lang w:val="en-GB"/>
    </w:rPr>
  </w:style>
  <w:style w:type="paragraph" w:customStyle="1" w:styleId="FinancialsH5">
    <w:name w:val="Financials H5"/>
    <w:basedOn w:val="Heading5"/>
    <w:autoRedefine/>
    <w:uiPriority w:val="1"/>
    <w:semiHidden/>
    <w:rsid w:val="00A00568"/>
    <w:pPr>
      <w:spacing w:before="120"/>
    </w:pPr>
    <w:rPr>
      <w:bCs/>
      <w:lang w:val="en-GB"/>
    </w:rPr>
  </w:style>
  <w:style w:type="paragraph" w:customStyle="1" w:styleId="FinancialsTableH2">
    <w:name w:val="Financials Table H2"/>
    <w:basedOn w:val="TableText"/>
    <w:autoRedefine/>
    <w:uiPriority w:val="1"/>
    <w:semiHidden/>
    <w:rsid w:val="00660951"/>
    <w:pPr>
      <w:spacing w:before="120" w:after="40" w:line="240" w:lineRule="auto"/>
    </w:pPr>
    <w:rPr>
      <w:b/>
      <w:color w:val="008542" w:themeColor="accent2"/>
    </w:rPr>
  </w:style>
  <w:style w:type="paragraph" w:customStyle="1" w:styleId="FinancialsTableText">
    <w:name w:val="Financials Table Text"/>
    <w:basedOn w:val="TableText"/>
    <w:autoRedefine/>
    <w:uiPriority w:val="1"/>
    <w:semiHidden/>
    <w:rsid w:val="00660951"/>
    <w:pPr>
      <w:spacing w:before="40" w:after="40" w:line="240" w:lineRule="auto"/>
    </w:pPr>
  </w:style>
  <w:style w:type="paragraph" w:customStyle="1" w:styleId="FinancialsTableTextIndented">
    <w:name w:val="Financials Table Text Indented"/>
    <w:basedOn w:val="TableText"/>
    <w:autoRedefine/>
    <w:uiPriority w:val="1"/>
    <w:semiHidden/>
    <w:rsid w:val="00F3495A"/>
    <w:pPr>
      <w:spacing w:before="40" w:after="40" w:line="240" w:lineRule="auto"/>
      <w:ind w:left="170"/>
    </w:pPr>
    <w:rPr>
      <w:i/>
    </w:rPr>
  </w:style>
  <w:style w:type="paragraph" w:customStyle="1" w:styleId="FinancialsTableH1">
    <w:name w:val="Financials Table H1"/>
    <w:basedOn w:val="TableText"/>
    <w:autoRedefine/>
    <w:uiPriority w:val="1"/>
    <w:semiHidden/>
    <w:rsid w:val="007A7D19"/>
    <w:pPr>
      <w:spacing w:before="160" w:after="40" w:line="240" w:lineRule="auto"/>
    </w:pPr>
    <w:rPr>
      <w:rFonts w:ascii="Arial Bold" w:hAnsi="Arial Bold"/>
      <w:b/>
      <w:caps/>
    </w:rPr>
  </w:style>
  <w:style w:type="paragraph" w:customStyle="1" w:styleId="NoParagraphStyle">
    <w:name w:val="[No Paragraph Style]"/>
    <w:autoRedefin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autoRedefine/>
    <w:uiPriority w:val="1"/>
    <w:semiHidden/>
    <w:rsid w:val="00CC2138"/>
  </w:style>
  <w:style w:type="paragraph" w:customStyle="1" w:styleId="AppendixH2">
    <w:name w:val="Appendix H2"/>
    <w:basedOn w:val="FinancialsH2"/>
    <w:autoRedefine/>
    <w:uiPriority w:val="1"/>
    <w:semiHidden/>
    <w:rsid w:val="00FC6134"/>
  </w:style>
  <w:style w:type="character" w:styleId="PageNumber">
    <w:name w:val="page number"/>
    <w:basedOn w:val="DefaultParagraphFont"/>
    <w:semiHidden/>
    <w:unhideWhenUsed/>
    <w:rsid w:val="005F219D"/>
    <w:rPr>
      <w:rFonts w:asciiTheme="minorHAnsi" w:hAnsiTheme="minorHAnsi"/>
      <w:b/>
      <w:color w:val="008542" w:themeColor="accent2"/>
      <w:sz w:val="16"/>
    </w:rPr>
  </w:style>
  <w:style w:type="paragraph" w:customStyle="1" w:styleId="Address">
    <w:name w:val="Address"/>
    <w:basedOn w:val="Normal"/>
    <w:autoRedefine/>
    <w:uiPriority w:val="1"/>
    <w:rsid w:val="00562759"/>
    <w:pPr>
      <w:spacing w:before="0" w:after="0" w:line="192" w:lineRule="exact"/>
    </w:pPr>
    <w:rPr>
      <w:b/>
      <w:bCs/>
      <w:color w:val="FFFFFF" w:themeColor="background1"/>
      <w:sz w:val="16"/>
      <w:szCs w:val="16"/>
    </w:rPr>
  </w:style>
  <w:style w:type="paragraph" w:customStyle="1" w:styleId="Organisation">
    <w:name w:val="Organisation"/>
    <w:basedOn w:val="Normal"/>
    <w:next w:val="Title"/>
    <w:autoRedefine/>
    <w:uiPriority w:val="1"/>
    <w:qFormat/>
    <w:rsid w:val="00043CF6"/>
    <w:pPr>
      <w:spacing w:before="0" w:after="1320"/>
    </w:pPr>
    <w:rPr>
      <w:b/>
      <w:noProof/>
      <w:color w:val="004200" w:themeColor="accent1"/>
      <w:sz w:val="20"/>
      <w:szCs w:val="16"/>
    </w:rPr>
  </w:style>
  <w:style w:type="paragraph" w:customStyle="1" w:styleId="Versionanddate">
    <w:name w:val="Version and date"/>
    <w:basedOn w:val="Subtitle"/>
    <w:next w:val="Normal"/>
    <w:autoRedefine/>
    <w:uiPriority w:val="1"/>
    <w:qFormat/>
    <w:rsid w:val="00043CF6"/>
    <w:rPr>
      <w:color w:val="008542" w:themeColor="accent2"/>
      <w:sz w:val="28"/>
    </w:rPr>
  </w:style>
  <w:style w:type="paragraph" w:customStyle="1" w:styleId="Act">
    <w:name w:val="Act"/>
    <w:basedOn w:val="Normal"/>
    <w:next w:val="Normal"/>
    <w:uiPriority w:val="1"/>
    <w:qFormat/>
    <w:rsid w:val="00BC1032"/>
    <w:rPr>
      <w:i/>
    </w:rPr>
  </w:style>
  <w:style w:type="paragraph" w:customStyle="1" w:styleId="Disclaimer">
    <w:name w:val="Disclaimer"/>
    <w:basedOn w:val="Normal"/>
    <w:autoRedefine/>
    <w:uiPriority w:val="1"/>
    <w:rsid w:val="00BC1032"/>
    <w:rPr>
      <w:i/>
    </w:rPr>
  </w:style>
  <w:style w:type="paragraph" w:styleId="Quote">
    <w:name w:val="Quote"/>
    <w:basedOn w:val="Normal"/>
    <w:next w:val="Normal"/>
    <w:link w:val="QuoteChar"/>
    <w:autoRedefine/>
    <w:uiPriority w:val="29"/>
    <w:rsid w:val="00BC1032"/>
    <w:rPr>
      <w:i/>
      <w:iCs/>
      <w:color w:val="000000" w:themeColor="text1"/>
    </w:rPr>
  </w:style>
  <w:style w:type="character" w:customStyle="1" w:styleId="QuoteChar">
    <w:name w:val="Quote Char"/>
    <w:basedOn w:val="DefaultParagraphFont"/>
    <w:link w:val="Quote"/>
    <w:uiPriority w:val="29"/>
    <w:rsid w:val="00BC1032"/>
    <w:rPr>
      <w:rFonts w:ascii="Arial" w:hAnsi="Arial"/>
      <w:i/>
      <w:iCs/>
      <w:color w:val="000000" w:themeColor="text1"/>
      <w:sz w:val="22"/>
      <w:szCs w:val="24"/>
    </w:rPr>
  </w:style>
  <w:style w:type="paragraph" w:customStyle="1" w:styleId="Report">
    <w:name w:val="Report"/>
    <w:basedOn w:val="Normal"/>
    <w:next w:val="Normal"/>
    <w:autoRedefine/>
    <w:uiPriority w:val="1"/>
    <w:qFormat/>
    <w:rsid w:val="00BC1032"/>
    <w:pPr>
      <w:spacing w:before="4000" w:after="200" w:line="276" w:lineRule="auto"/>
    </w:pPr>
    <w:rPr>
      <w:b/>
    </w:rPr>
  </w:style>
  <w:style w:type="paragraph" w:styleId="NormalIndent">
    <w:name w:val="Normal Indent"/>
    <w:basedOn w:val="Normal"/>
    <w:autoRedefine/>
    <w:unhideWhenUsed/>
    <w:rsid w:val="00BC1032"/>
    <w:pPr>
      <w:ind w:left="720"/>
    </w:pPr>
  </w:style>
  <w:style w:type="paragraph" w:styleId="Bibliography">
    <w:name w:val="Bibliography"/>
    <w:basedOn w:val="Normal"/>
    <w:next w:val="Normal"/>
    <w:autoRedefine/>
    <w:uiPriority w:val="37"/>
    <w:semiHidden/>
    <w:unhideWhenUsed/>
    <w:rsid w:val="00CC2138"/>
  </w:style>
  <w:style w:type="paragraph" w:styleId="BlockText">
    <w:name w:val="Block Text"/>
    <w:basedOn w:val="Normal"/>
    <w:autoRedefine/>
    <w:semiHidden/>
    <w:unhideWhenUsed/>
    <w:rsid w:val="00CC2138"/>
    <w:pPr>
      <w:pBdr>
        <w:top w:val="single" w:sz="2" w:space="10" w:color="004200" w:themeColor="accent1" w:frame="1"/>
        <w:left w:val="single" w:sz="2" w:space="10" w:color="004200" w:themeColor="accent1" w:frame="1"/>
        <w:bottom w:val="single" w:sz="2" w:space="10" w:color="004200" w:themeColor="accent1" w:frame="1"/>
        <w:right w:val="single" w:sz="2" w:space="10" w:color="004200" w:themeColor="accent1" w:frame="1"/>
      </w:pBdr>
      <w:ind w:left="1152" w:right="1152"/>
    </w:pPr>
    <w:rPr>
      <w:rFonts w:asciiTheme="minorHAnsi" w:eastAsiaTheme="minorEastAsia" w:hAnsiTheme="minorHAnsi" w:cstheme="minorBidi"/>
      <w:i/>
      <w:iCs/>
      <w:color w:val="004200" w:themeColor="accent1"/>
    </w:rPr>
  </w:style>
  <w:style w:type="paragraph" w:styleId="BodyText">
    <w:name w:val="Body Text"/>
    <w:basedOn w:val="Normal"/>
    <w:link w:val="BodyTextChar"/>
    <w:autoRedefine/>
    <w:semiHidden/>
    <w:unhideWhenUsed/>
    <w:rsid w:val="00CC2138"/>
  </w:style>
  <w:style w:type="character" w:customStyle="1" w:styleId="BodyTextChar">
    <w:name w:val="Body Text Char"/>
    <w:basedOn w:val="DefaultParagraphFont"/>
    <w:link w:val="BodyText"/>
    <w:semiHidden/>
    <w:rsid w:val="00CC2138"/>
    <w:rPr>
      <w:rFonts w:ascii="Arial" w:hAnsi="Arial"/>
      <w:sz w:val="22"/>
      <w:szCs w:val="24"/>
    </w:rPr>
  </w:style>
  <w:style w:type="paragraph" w:styleId="BodyText2">
    <w:name w:val="Body Text 2"/>
    <w:basedOn w:val="Normal"/>
    <w:link w:val="BodyText2Char"/>
    <w:autoRedefine/>
    <w:semiHidden/>
    <w:unhideWhenUsed/>
    <w:rsid w:val="00CC2138"/>
    <w:pPr>
      <w:spacing w:line="480" w:lineRule="auto"/>
    </w:pPr>
  </w:style>
  <w:style w:type="character" w:customStyle="1" w:styleId="BodyText2Char">
    <w:name w:val="Body Text 2 Char"/>
    <w:basedOn w:val="DefaultParagraphFont"/>
    <w:link w:val="BodyText2"/>
    <w:semiHidden/>
    <w:rsid w:val="00CC2138"/>
    <w:rPr>
      <w:rFonts w:ascii="Arial" w:hAnsi="Arial"/>
      <w:sz w:val="22"/>
      <w:szCs w:val="24"/>
    </w:rPr>
  </w:style>
  <w:style w:type="paragraph" w:styleId="BodyText3">
    <w:name w:val="Body Text 3"/>
    <w:basedOn w:val="Normal"/>
    <w:link w:val="BodyText3Char"/>
    <w:autoRedefine/>
    <w:semiHidden/>
    <w:unhideWhenUsed/>
    <w:rsid w:val="00CC2138"/>
    <w:rPr>
      <w:sz w:val="16"/>
      <w:szCs w:val="16"/>
    </w:rPr>
  </w:style>
  <w:style w:type="character" w:customStyle="1" w:styleId="BodyText3Char">
    <w:name w:val="Body Text 3 Char"/>
    <w:basedOn w:val="DefaultParagraphFont"/>
    <w:link w:val="BodyText3"/>
    <w:semiHidden/>
    <w:rsid w:val="00CC2138"/>
    <w:rPr>
      <w:rFonts w:ascii="Arial" w:hAnsi="Arial"/>
      <w:sz w:val="16"/>
      <w:szCs w:val="16"/>
    </w:rPr>
  </w:style>
  <w:style w:type="paragraph" w:styleId="BodyTextFirstIndent">
    <w:name w:val="Body Text First Indent"/>
    <w:basedOn w:val="BodyText"/>
    <w:link w:val="BodyTextFirstIndentChar"/>
    <w:autoRedefine/>
    <w:semiHidden/>
    <w:rsid w:val="00CC2138"/>
    <w:pPr>
      <w:ind w:firstLine="360"/>
    </w:pPr>
  </w:style>
  <w:style w:type="character" w:customStyle="1" w:styleId="BodyTextFirstIndentChar">
    <w:name w:val="Body Text First Indent Char"/>
    <w:basedOn w:val="BodyTextChar"/>
    <w:link w:val="BodyTextFirstIndent"/>
    <w:semiHidden/>
    <w:rsid w:val="00CC2138"/>
    <w:rPr>
      <w:rFonts w:ascii="Arial" w:hAnsi="Arial"/>
      <w:sz w:val="22"/>
      <w:szCs w:val="24"/>
    </w:rPr>
  </w:style>
  <w:style w:type="paragraph" w:styleId="BodyTextIndent">
    <w:name w:val="Body Text Indent"/>
    <w:basedOn w:val="Normal"/>
    <w:link w:val="BodyTextIndentChar"/>
    <w:autoRedefine/>
    <w:semiHidden/>
    <w:unhideWhenUsed/>
    <w:rsid w:val="00CC2138"/>
    <w:pPr>
      <w:ind w:left="283"/>
    </w:pPr>
  </w:style>
  <w:style w:type="character" w:customStyle="1" w:styleId="BodyTextIndentChar">
    <w:name w:val="Body Text Indent Char"/>
    <w:basedOn w:val="DefaultParagraphFont"/>
    <w:link w:val="BodyTextIndent"/>
    <w:semiHidden/>
    <w:rsid w:val="00CC2138"/>
    <w:rPr>
      <w:rFonts w:ascii="Arial" w:hAnsi="Arial"/>
      <w:sz w:val="22"/>
      <w:szCs w:val="24"/>
    </w:rPr>
  </w:style>
  <w:style w:type="paragraph" w:styleId="BodyTextFirstIndent2">
    <w:name w:val="Body Text First Indent 2"/>
    <w:basedOn w:val="BodyTextIndent"/>
    <w:link w:val="BodyTextFirstIndent2Char"/>
    <w:autoRedefine/>
    <w:semiHidden/>
    <w:unhideWhenUsed/>
    <w:rsid w:val="00CC2138"/>
    <w:pPr>
      <w:ind w:left="360" w:firstLine="360"/>
    </w:pPr>
  </w:style>
  <w:style w:type="character" w:customStyle="1" w:styleId="BodyTextFirstIndent2Char">
    <w:name w:val="Body Text First Indent 2 Char"/>
    <w:basedOn w:val="BodyTextIndentChar"/>
    <w:link w:val="BodyTextFirstIndent2"/>
    <w:semiHidden/>
    <w:rsid w:val="00CC2138"/>
    <w:rPr>
      <w:rFonts w:ascii="Arial" w:hAnsi="Arial"/>
      <w:sz w:val="22"/>
      <w:szCs w:val="24"/>
    </w:rPr>
  </w:style>
  <w:style w:type="paragraph" w:styleId="BodyTextIndent2">
    <w:name w:val="Body Text Indent 2"/>
    <w:basedOn w:val="Normal"/>
    <w:link w:val="BodyTextIndent2Char"/>
    <w:autoRedefine/>
    <w:semiHidden/>
    <w:unhideWhenUsed/>
    <w:rsid w:val="00CC2138"/>
    <w:pPr>
      <w:spacing w:line="480" w:lineRule="auto"/>
      <w:ind w:left="283"/>
    </w:pPr>
  </w:style>
  <w:style w:type="character" w:customStyle="1" w:styleId="BodyTextIndent2Char">
    <w:name w:val="Body Text Indent 2 Char"/>
    <w:basedOn w:val="DefaultParagraphFont"/>
    <w:link w:val="BodyTextIndent2"/>
    <w:semiHidden/>
    <w:rsid w:val="00CC2138"/>
    <w:rPr>
      <w:rFonts w:ascii="Arial" w:hAnsi="Arial"/>
      <w:sz w:val="22"/>
      <w:szCs w:val="24"/>
    </w:rPr>
  </w:style>
  <w:style w:type="paragraph" w:styleId="BodyTextIndent3">
    <w:name w:val="Body Text Indent 3"/>
    <w:basedOn w:val="Normal"/>
    <w:link w:val="BodyTextIndent3Char"/>
    <w:autoRedefine/>
    <w:semiHidden/>
    <w:unhideWhenUsed/>
    <w:rsid w:val="00CC2138"/>
    <w:pPr>
      <w:ind w:left="283"/>
    </w:pPr>
    <w:rPr>
      <w:sz w:val="16"/>
      <w:szCs w:val="16"/>
    </w:rPr>
  </w:style>
  <w:style w:type="character" w:customStyle="1" w:styleId="BodyTextIndent3Char">
    <w:name w:val="Body Text Indent 3 Char"/>
    <w:basedOn w:val="DefaultParagraphFont"/>
    <w:link w:val="BodyTextIndent3"/>
    <w:semiHidden/>
    <w:rsid w:val="00CC2138"/>
    <w:rPr>
      <w:rFonts w:ascii="Arial" w:hAnsi="Arial"/>
      <w:sz w:val="16"/>
      <w:szCs w:val="16"/>
    </w:rPr>
  </w:style>
  <w:style w:type="character" w:styleId="BookTitle">
    <w:name w:val="Book Title"/>
    <w:basedOn w:val="DefaultParagraphFont"/>
    <w:uiPriority w:val="33"/>
    <w:rsid w:val="00CC2138"/>
    <w:rPr>
      <w:b/>
      <w:bCs/>
      <w:smallCaps/>
      <w:spacing w:val="5"/>
    </w:rPr>
  </w:style>
  <w:style w:type="paragraph" w:styleId="Caption">
    <w:name w:val="caption"/>
    <w:basedOn w:val="Normal"/>
    <w:next w:val="Normal"/>
    <w:autoRedefine/>
    <w:unhideWhenUsed/>
    <w:qFormat/>
    <w:rsid w:val="00D34DDD"/>
    <w:pPr>
      <w:spacing w:before="0" w:after="80" w:line="240" w:lineRule="auto"/>
    </w:pPr>
    <w:rPr>
      <w:b/>
      <w:bCs/>
      <w:sz w:val="18"/>
      <w:szCs w:val="18"/>
    </w:rPr>
  </w:style>
  <w:style w:type="paragraph" w:styleId="Closing">
    <w:name w:val="Closing"/>
    <w:basedOn w:val="Normal"/>
    <w:link w:val="ClosingChar"/>
    <w:autoRedefine/>
    <w:semiHidden/>
    <w:unhideWhenUsed/>
    <w:rsid w:val="00CC2138"/>
    <w:pPr>
      <w:spacing w:before="0" w:after="0" w:line="240" w:lineRule="auto"/>
      <w:ind w:left="4252"/>
    </w:pPr>
  </w:style>
  <w:style w:type="character" w:customStyle="1" w:styleId="ClosingChar">
    <w:name w:val="Closing Char"/>
    <w:basedOn w:val="DefaultParagraphFont"/>
    <w:link w:val="Closing"/>
    <w:semiHidden/>
    <w:rsid w:val="00CC2138"/>
    <w:rPr>
      <w:rFonts w:ascii="Arial" w:hAnsi="Arial"/>
      <w:sz w:val="22"/>
      <w:szCs w:val="24"/>
    </w:rPr>
  </w:style>
  <w:style w:type="character" w:styleId="CommentReference">
    <w:name w:val="annotation reference"/>
    <w:basedOn w:val="DefaultParagraphFont"/>
    <w:semiHidden/>
    <w:unhideWhenUsed/>
    <w:rsid w:val="00CC2138"/>
    <w:rPr>
      <w:sz w:val="16"/>
      <w:szCs w:val="16"/>
    </w:rPr>
  </w:style>
  <w:style w:type="paragraph" w:styleId="CommentText">
    <w:name w:val="annotation text"/>
    <w:basedOn w:val="Normal"/>
    <w:link w:val="CommentTextChar"/>
    <w:autoRedefine/>
    <w:semiHidden/>
    <w:unhideWhenUsed/>
    <w:rsid w:val="00CC2138"/>
    <w:pPr>
      <w:spacing w:line="240" w:lineRule="auto"/>
    </w:pPr>
    <w:rPr>
      <w:sz w:val="20"/>
      <w:szCs w:val="20"/>
    </w:rPr>
  </w:style>
  <w:style w:type="character" w:customStyle="1" w:styleId="CommentTextChar">
    <w:name w:val="Comment Text Char"/>
    <w:basedOn w:val="DefaultParagraphFont"/>
    <w:link w:val="CommentText"/>
    <w:semiHidden/>
    <w:rsid w:val="00CC2138"/>
    <w:rPr>
      <w:rFonts w:ascii="Arial" w:hAnsi="Arial"/>
    </w:rPr>
  </w:style>
  <w:style w:type="paragraph" w:styleId="CommentSubject">
    <w:name w:val="annotation subject"/>
    <w:basedOn w:val="CommentText"/>
    <w:next w:val="CommentText"/>
    <w:link w:val="CommentSubjectChar"/>
    <w:autoRedefine/>
    <w:semiHidden/>
    <w:unhideWhenUsed/>
    <w:rsid w:val="00CC2138"/>
    <w:rPr>
      <w:b/>
      <w:bCs/>
    </w:rPr>
  </w:style>
  <w:style w:type="character" w:customStyle="1" w:styleId="CommentSubjectChar">
    <w:name w:val="Comment Subject Char"/>
    <w:basedOn w:val="CommentTextChar"/>
    <w:link w:val="CommentSubject"/>
    <w:semiHidden/>
    <w:rsid w:val="00CC2138"/>
    <w:rPr>
      <w:rFonts w:ascii="Arial" w:hAnsi="Arial"/>
      <w:b/>
      <w:bCs/>
    </w:rPr>
  </w:style>
  <w:style w:type="paragraph" w:styleId="Date">
    <w:name w:val="Date"/>
    <w:basedOn w:val="Normal"/>
    <w:next w:val="Normal"/>
    <w:link w:val="DateChar"/>
    <w:autoRedefine/>
    <w:semiHidden/>
    <w:rsid w:val="00CC2138"/>
  </w:style>
  <w:style w:type="character" w:customStyle="1" w:styleId="DateChar">
    <w:name w:val="Date Char"/>
    <w:basedOn w:val="DefaultParagraphFont"/>
    <w:link w:val="Date"/>
    <w:semiHidden/>
    <w:rsid w:val="00CC2138"/>
    <w:rPr>
      <w:rFonts w:ascii="Arial" w:hAnsi="Arial"/>
      <w:sz w:val="22"/>
      <w:szCs w:val="24"/>
    </w:rPr>
  </w:style>
  <w:style w:type="paragraph" w:styleId="DocumentMap">
    <w:name w:val="Document Map"/>
    <w:basedOn w:val="Normal"/>
    <w:link w:val="DocumentMapChar"/>
    <w:autoRedefine/>
    <w:semiHidden/>
    <w:unhideWhenUsed/>
    <w:rsid w:val="00CC2138"/>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CC2138"/>
    <w:rPr>
      <w:rFonts w:ascii="Tahoma" w:hAnsi="Tahoma" w:cs="Tahoma"/>
      <w:sz w:val="16"/>
      <w:szCs w:val="16"/>
    </w:rPr>
  </w:style>
  <w:style w:type="paragraph" w:styleId="E-mailSignature">
    <w:name w:val="E-mail Signature"/>
    <w:basedOn w:val="Normal"/>
    <w:link w:val="E-mailSignatureChar"/>
    <w:autoRedefine/>
    <w:semiHidden/>
    <w:unhideWhenUsed/>
    <w:rsid w:val="00CC2138"/>
    <w:pPr>
      <w:spacing w:before="0" w:after="0" w:line="240" w:lineRule="auto"/>
    </w:pPr>
  </w:style>
  <w:style w:type="character" w:customStyle="1" w:styleId="E-mailSignatureChar">
    <w:name w:val="E-mail Signature Char"/>
    <w:basedOn w:val="DefaultParagraphFont"/>
    <w:link w:val="E-mailSignature"/>
    <w:semiHidden/>
    <w:rsid w:val="00CC2138"/>
    <w:rPr>
      <w:rFonts w:ascii="Arial" w:hAnsi="Arial"/>
      <w:sz w:val="22"/>
      <w:szCs w:val="24"/>
    </w:rPr>
  </w:style>
  <w:style w:type="paragraph" w:styleId="EnvelopeAddress">
    <w:name w:val="envelope address"/>
    <w:basedOn w:val="Normal"/>
    <w:autoRedefine/>
    <w:semiHidden/>
    <w:unhideWhenUsed/>
    <w:rsid w:val="00CC2138"/>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autoRedefine/>
    <w:semiHidden/>
    <w:unhideWhenUsed/>
    <w:rsid w:val="00CC2138"/>
    <w:pPr>
      <w:spacing w:before="0" w:after="0" w:line="240" w:lineRule="auto"/>
    </w:pPr>
    <w:rPr>
      <w:rFonts w:asciiTheme="majorHAnsi" w:eastAsiaTheme="majorEastAsia" w:hAnsiTheme="majorHAnsi" w:cstheme="majorBidi"/>
      <w:sz w:val="20"/>
      <w:szCs w:val="20"/>
    </w:rPr>
  </w:style>
  <w:style w:type="character" w:customStyle="1" w:styleId="Heading7Char">
    <w:name w:val="Heading 7 Char"/>
    <w:basedOn w:val="DefaultParagraphFont"/>
    <w:link w:val="Heading7"/>
    <w:semiHidden/>
    <w:rsid w:val="00465398"/>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46539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465398"/>
    <w:rPr>
      <w:rFonts w:asciiTheme="majorHAnsi" w:eastAsiaTheme="majorEastAsia" w:hAnsiTheme="majorHAnsi" w:cstheme="majorBidi"/>
      <w:i/>
      <w:iCs/>
      <w:color w:val="404040" w:themeColor="text1" w:themeTint="BF"/>
    </w:rPr>
  </w:style>
  <w:style w:type="character" w:styleId="HTMLAcronym">
    <w:name w:val="HTML Acronym"/>
    <w:basedOn w:val="DefaultParagraphFont"/>
    <w:semiHidden/>
    <w:unhideWhenUsed/>
    <w:rsid w:val="00465398"/>
  </w:style>
  <w:style w:type="paragraph" w:styleId="HTMLAddress">
    <w:name w:val="HTML Address"/>
    <w:basedOn w:val="Normal"/>
    <w:link w:val="HTMLAddressChar"/>
    <w:autoRedefine/>
    <w:semiHidden/>
    <w:unhideWhenUsed/>
    <w:rsid w:val="00465398"/>
    <w:pPr>
      <w:spacing w:before="0" w:after="0" w:line="240" w:lineRule="auto"/>
    </w:pPr>
    <w:rPr>
      <w:i/>
      <w:iCs/>
    </w:rPr>
  </w:style>
  <w:style w:type="character" w:customStyle="1" w:styleId="HTMLAddressChar">
    <w:name w:val="HTML Address Char"/>
    <w:basedOn w:val="DefaultParagraphFont"/>
    <w:link w:val="HTMLAddress"/>
    <w:semiHidden/>
    <w:rsid w:val="00465398"/>
    <w:rPr>
      <w:rFonts w:ascii="Arial" w:hAnsi="Arial"/>
      <w:i/>
      <w:iCs/>
      <w:sz w:val="22"/>
      <w:szCs w:val="24"/>
    </w:rPr>
  </w:style>
  <w:style w:type="character" w:styleId="HTMLCite">
    <w:name w:val="HTML Cite"/>
    <w:basedOn w:val="DefaultParagraphFont"/>
    <w:semiHidden/>
    <w:unhideWhenUsed/>
    <w:rsid w:val="00465398"/>
    <w:rPr>
      <w:i/>
      <w:iCs/>
    </w:rPr>
  </w:style>
  <w:style w:type="character" w:styleId="HTMLCode">
    <w:name w:val="HTML Code"/>
    <w:basedOn w:val="DefaultParagraphFont"/>
    <w:semiHidden/>
    <w:unhideWhenUsed/>
    <w:rsid w:val="00465398"/>
    <w:rPr>
      <w:rFonts w:ascii="Consolas" w:hAnsi="Consolas"/>
      <w:sz w:val="20"/>
      <w:szCs w:val="20"/>
    </w:rPr>
  </w:style>
  <w:style w:type="character" w:styleId="HTMLDefinition">
    <w:name w:val="HTML Definition"/>
    <w:basedOn w:val="DefaultParagraphFont"/>
    <w:semiHidden/>
    <w:unhideWhenUsed/>
    <w:rsid w:val="00465398"/>
    <w:rPr>
      <w:i/>
      <w:iCs/>
    </w:rPr>
  </w:style>
  <w:style w:type="character" w:styleId="HTMLKeyboard">
    <w:name w:val="HTML Keyboard"/>
    <w:basedOn w:val="DefaultParagraphFont"/>
    <w:semiHidden/>
    <w:unhideWhenUsed/>
    <w:rsid w:val="00465398"/>
    <w:rPr>
      <w:rFonts w:ascii="Consolas" w:hAnsi="Consolas" w:cs="Consolas"/>
      <w:sz w:val="20"/>
      <w:szCs w:val="20"/>
    </w:rPr>
  </w:style>
  <w:style w:type="paragraph" w:styleId="HTMLPreformatted">
    <w:name w:val="HTML Preformatted"/>
    <w:basedOn w:val="Normal"/>
    <w:link w:val="HTMLPreformattedChar"/>
    <w:autoRedefine/>
    <w:semiHidden/>
    <w:unhideWhenUsed/>
    <w:rsid w:val="00465398"/>
    <w:pPr>
      <w:spacing w:before="0"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465398"/>
    <w:rPr>
      <w:rFonts w:ascii="Consolas" w:hAnsi="Consolas" w:cs="Consolas"/>
    </w:rPr>
  </w:style>
  <w:style w:type="character" w:styleId="HTMLSample">
    <w:name w:val="HTML Sample"/>
    <w:basedOn w:val="DefaultParagraphFont"/>
    <w:semiHidden/>
    <w:unhideWhenUsed/>
    <w:rsid w:val="00465398"/>
    <w:rPr>
      <w:rFonts w:ascii="Consolas" w:hAnsi="Consolas" w:cs="Consolas"/>
      <w:sz w:val="24"/>
      <w:szCs w:val="24"/>
    </w:rPr>
  </w:style>
  <w:style w:type="character" w:styleId="HTMLTypewriter">
    <w:name w:val="HTML Typewriter"/>
    <w:basedOn w:val="DefaultParagraphFont"/>
    <w:semiHidden/>
    <w:unhideWhenUsed/>
    <w:rsid w:val="00465398"/>
    <w:rPr>
      <w:rFonts w:ascii="Consolas" w:hAnsi="Consolas" w:cs="Consolas"/>
      <w:sz w:val="20"/>
      <w:szCs w:val="20"/>
    </w:rPr>
  </w:style>
  <w:style w:type="character" w:styleId="HTMLVariable">
    <w:name w:val="HTML Variable"/>
    <w:basedOn w:val="DefaultParagraphFont"/>
    <w:semiHidden/>
    <w:unhideWhenUsed/>
    <w:rsid w:val="00465398"/>
    <w:rPr>
      <w:i/>
      <w:iCs/>
    </w:rPr>
  </w:style>
  <w:style w:type="paragraph" w:styleId="Index2">
    <w:name w:val="index 2"/>
    <w:basedOn w:val="Normal"/>
    <w:next w:val="Normal"/>
    <w:autoRedefine/>
    <w:semiHidden/>
    <w:unhideWhenUsed/>
    <w:rsid w:val="00465398"/>
    <w:pPr>
      <w:spacing w:before="0" w:after="0" w:line="240" w:lineRule="auto"/>
      <w:ind w:left="440" w:hanging="220"/>
    </w:pPr>
  </w:style>
  <w:style w:type="paragraph" w:styleId="Index3">
    <w:name w:val="index 3"/>
    <w:basedOn w:val="Normal"/>
    <w:next w:val="Normal"/>
    <w:autoRedefine/>
    <w:semiHidden/>
    <w:unhideWhenUsed/>
    <w:rsid w:val="00465398"/>
    <w:pPr>
      <w:spacing w:before="0" w:after="0" w:line="240" w:lineRule="auto"/>
      <w:ind w:left="660" w:hanging="220"/>
    </w:pPr>
  </w:style>
  <w:style w:type="paragraph" w:styleId="Index4">
    <w:name w:val="index 4"/>
    <w:basedOn w:val="Normal"/>
    <w:next w:val="Normal"/>
    <w:autoRedefine/>
    <w:semiHidden/>
    <w:unhideWhenUsed/>
    <w:rsid w:val="00465398"/>
    <w:pPr>
      <w:spacing w:before="0" w:after="0" w:line="240" w:lineRule="auto"/>
      <w:ind w:left="880" w:hanging="220"/>
    </w:pPr>
  </w:style>
  <w:style w:type="paragraph" w:styleId="Index5">
    <w:name w:val="index 5"/>
    <w:basedOn w:val="Normal"/>
    <w:next w:val="Normal"/>
    <w:autoRedefine/>
    <w:semiHidden/>
    <w:unhideWhenUsed/>
    <w:rsid w:val="00465398"/>
    <w:pPr>
      <w:spacing w:before="0" w:after="0" w:line="240" w:lineRule="auto"/>
      <w:ind w:left="1100" w:hanging="220"/>
    </w:pPr>
  </w:style>
  <w:style w:type="paragraph" w:styleId="Index6">
    <w:name w:val="index 6"/>
    <w:basedOn w:val="Normal"/>
    <w:next w:val="Normal"/>
    <w:autoRedefine/>
    <w:semiHidden/>
    <w:unhideWhenUsed/>
    <w:rsid w:val="00465398"/>
    <w:pPr>
      <w:spacing w:before="0" w:after="0" w:line="240" w:lineRule="auto"/>
      <w:ind w:left="1320" w:hanging="220"/>
    </w:pPr>
  </w:style>
  <w:style w:type="paragraph" w:styleId="Index7">
    <w:name w:val="index 7"/>
    <w:basedOn w:val="Normal"/>
    <w:next w:val="Normal"/>
    <w:autoRedefine/>
    <w:semiHidden/>
    <w:unhideWhenUsed/>
    <w:rsid w:val="00465398"/>
    <w:pPr>
      <w:spacing w:before="0" w:after="0" w:line="240" w:lineRule="auto"/>
      <w:ind w:left="1540" w:hanging="220"/>
    </w:pPr>
  </w:style>
  <w:style w:type="paragraph" w:styleId="Index8">
    <w:name w:val="index 8"/>
    <w:basedOn w:val="Normal"/>
    <w:next w:val="Normal"/>
    <w:autoRedefine/>
    <w:semiHidden/>
    <w:unhideWhenUsed/>
    <w:rsid w:val="00465398"/>
    <w:pPr>
      <w:spacing w:before="0" w:after="0" w:line="240" w:lineRule="auto"/>
      <w:ind w:left="1760" w:hanging="220"/>
    </w:pPr>
  </w:style>
  <w:style w:type="paragraph" w:styleId="Index9">
    <w:name w:val="index 9"/>
    <w:basedOn w:val="Normal"/>
    <w:next w:val="Normal"/>
    <w:autoRedefine/>
    <w:semiHidden/>
    <w:unhideWhenUsed/>
    <w:rsid w:val="00465398"/>
    <w:pPr>
      <w:spacing w:before="0" w:after="0" w:line="240" w:lineRule="auto"/>
      <w:ind w:left="1980" w:hanging="220"/>
    </w:pPr>
  </w:style>
  <w:style w:type="paragraph" w:styleId="IndexHeading">
    <w:name w:val="index heading"/>
    <w:basedOn w:val="Normal"/>
    <w:next w:val="Index1"/>
    <w:autoRedefine/>
    <w:semiHidden/>
    <w:unhideWhenUsed/>
    <w:rsid w:val="00465398"/>
    <w:rPr>
      <w:rFonts w:asciiTheme="majorHAnsi" w:eastAsiaTheme="majorEastAsia" w:hAnsiTheme="majorHAnsi" w:cstheme="majorBidi"/>
      <w:b/>
      <w:bCs/>
    </w:rPr>
  </w:style>
  <w:style w:type="character" w:styleId="IntenseEmphasis">
    <w:name w:val="Intense Emphasis"/>
    <w:basedOn w:val="DefaultParagraphFont"/>
    <w:uiPriority w:val="21"/>
    <w:rsid w:val="00465398"/>
    <w:rPr>
      <w:b/>
      <w:bCs/>
      <w:i/>
      <w:iCs/>
      <w:color w:val="004200" w:themeColor="accent1"/>
    </w:rPr>
  </w:style>
  <w:style w:type="paragraph" w:styleId="IntenseQuote">
    <w:name w:val="Intense Quote"/>
    <w:basedOn w:val="Normal"/>
    <w:next w:val="Normal"/>
    <w:link w:val="IntenseQuoteChar"/>
    <w:autoRedefine/>
    <w:uiPriority w:val="30"/>
    <w:rsid w:val="00465398"/>
    <w:pPr>
      <w:pBdr>
        <w:bottom w:val="single" w:sz="4" w:space="4" w:color="004200" w:themeColor="accent1"/>
      </w:pBdr>
      <w:spacing w:before="200" w:after="280"/>
      <w:ind w:left="936" w:right="936"/>
    </w:pPr>
    <w:rPr>
      <w:b/>
      <w:bCs/>
      <w:i/>
      <w:iCs/>
      <w:color w:val="004200" w:themeColor="accent1"/>
    </w:rPr>
  </w:style>
  <w:style w:type="character" w:customStyle="1" w:styleId="IntenseQuoteChar">
    <w:name w:val="Intense Quote Char"/>
    <w:basedOn w:val="DefaultParagraphFont"/>
    <w:link w:val="IntenseQuote"/>
    <w:uiPriority w:val="30"/>
    <w:rsid w:val="00465398"/>
    <w:rPr>
      <w:rFonts w:ascii="Arial" w:hAnsi="Arial"/>
      <w:b/>
      <w:bCs/>
      <w:i/>
      <w:iCs/>
      <w:color w:val="004200" w:themeColor="accent1"/>
      <w:sz w:val="22"/>
      <w:szCs w:val="24"/>
    </w:rPr>
  </w:style>
  <w:style w:type="character" w:styleId="IntenseReference">
    <w:name w:val="Intense Reference"/>
    <w:basedOn w:val="DefaultParagraphFont"/>
    <w:uiPriority w:val="32"/>
    <w:rsid w:val="00465398"/>
    <w:rPr>
      <w:b/>
      <w:bCs/>
      <w:smallCaps/>
      <w:color w:val="008542" w:themeColor="accent2"/>
      <w:spacing w:val="5"/>
      <w:u w:val="single"/>
    </w:rPr>
  </w:style>
  <w:style w:type="character" w:styleId="LineNumber">
    <w:name w:val="line number"/>
    <w:basedOn w:val="DefaultParagraphFont"/>
    <w:unhideWhenUsed/>
    <w:rsid w:val="00465398"/>
  </w:style>
  <w:style w:type="paragraph" w:styleId="List">
    <w:name w:val="List"/>
    <w:basedOn w:val="Normal"/>
    <w:autoRedefine/>
    <w:semiHidden/>
    <w:unhideWhenUsed/>
    <w:rsid w:val="00465398"/>
    <w:pPr>
      <w:ind w:left="283" w:hanging="283"/>
      <w:contextualSpacing/>
    </w:pPr>
  </w:style>
  <w:style w:type="paragraph" w:styleId="List2">
    <w:name w:val="List 2"/>
    <w:basedOn w:val="Normal"/>
    <w:autoRedefine/>
    <w:semiHidden/>
    <w:unhideWhenUsed/>
    <w:rsid w:val="00465398"/>
    <w:pPr>
      <w:ind w:left="566" w:hanging="283"/>
      <w:contextualSpacing/>
    </w:pPr>
  </w:style>
  <w:style w:type="paragraph" w:styleId="List3">
    <w:name w:val="List 3"/>
    <w:basedOn w:val="Normal"/>
    <w:autoRedefine/>
    <w:semiHidden/>
    <w:unhideWhenUsed/>
    <w:rsid w:val="00465398"/>
    <w:pPr>
      <w:ind w:left="849" w:hanging="283"/>
      <w:contextualSpacing/>
    </w:pPr>
  </w:style>
  <w:style w:type="paragraph" w:styleId="List4">
    <w:name w:val="List 4"/>
    <w:basedOn w:val="Normal"/>
    <w:autoRedefine/>
    <w:semiHidden/>
    <w:rsid w:val="00465398"/>
    <w:pPr>
      <w:ind w:left="1132" w:hanging="283"/>
      <w:contextualSpacing/>
    </w:pPr>
  </w:style>
  <w:style w:type="paragraph" w:styleId="List5">
    <w:name w:val="List 5"/>
    <w:basedOn w:val="Normal"/>
    <w:autoRedefine/>
    <w:semiHidden/>
    <w:rsid w:val="00465398"/>
    <w:pPr>
      <w:ind w:left="1415" w:hanging="283"/>
      <w:contextualSpacing/>
    </w:pPr>
  </w:style>
  <w:style w:type="paragraph" w:styleId="ListBullet2">
    <w:name w:val="List Bullet 2"/>
    <w:basedOn w:val="Normal"/>
    <w:autoRedefine/>
    <w:uiPriority w:val="3"/>
    <w:semiHidden/>
    <w:unhideWhenUsed/>
    <w:rsid w:val="00465398"/>
    <w:pPr>
      <w:numPr>
        <w:numId w:val="2"/>
      </w:numPr>
      <w:contextualSpacing/>
    </w:pPr>
  </w:style>
  <w:style w:type="paragraph" w:styleId="ListBullet3">
    <w:name w:val="List Bullet 3"/>
    <w:basedOn w:val="Normal"/>
    <w:autoRedefine/>
    <w:uiPriority w:val="3"/>
    <w:semiHidden/>
    <w:unhideWhenUsed/>
    <w:rsid w:val="00465398"/>
    <w:pPr>
      <w:numPr>
        <w:numId w:val="3"/>
      </w:numPr>
      <w:contextualSpacing/>
    </w:pPr>
  </w:style>
  <w:style w:type="paragraph" w:styleId="ListBullet4">
    <w:name w:val="List Bullet 4"/>
    <w:basedOn w:val="Normal"/>
    <w:autoRedefine/>
    <w:uiPriority w:val="3"/>
    <w:semiHidden/>
    <w:unhideWhenUsed/>
    <w:rsid w:val="00465398"/>
    <w:pPr>
      <w:numPr>
        <w:numId w:val="4"/>
      </w:numPr>
      <w:contextualSpacing/>
    </w:pPr>
  </w:style>
  <w:style w:type="paragraph" w:styleId="ListBullet5">
    <w:name w:val="List Bullet 5"/>
    <w:basedOn w:val="Normal"/>
    <w:autoRedefine/>
    <w:uiPriority w:val="3"/>
    <w:semiHidden/>
    <w:unhideWhenUsed/>
    <w:rsid w:val="00465398"/>
    <w:pPr>
      <w:numPr>
        <w:numId w:val="5"/>
      </w:numPr>
      <w:contextualSpacing/>
    </w:pPr>
  </w:style>
  <w:style w:type="paragraph" w:styleId="ListContinue">
    <w:name w:val="List Continue"/>
    <w:basedOn w:val="Normal"/>
    <w:autoRedefine/>
    <w:semiHidden/>
    <w:unhideWhenUsed/>
    <w:rsid w:val="00465398"/>
    <w:pPr>
      <w:ind w:left="283"/>
      <w:contextualSpacing/>
    </w:pPr>
  </w:style>
  <w:style w:type="paragraph" w:styleId="ListContinue2">
    <w:name w:val="List Continue 2"/>
    <w:basedOn w:val="Normal"/>
    <w:autoRedefine/>
    <w:semiHidden/>
    <w:unhideWhenUsed/>
    <w:rsid w:val="00465398"/>
    <w:pPr>
      <w:ind w:left="566"/>
      <w:contextualSpacing/>
    </w:pPr>
  </w:style>
  <w:style w:type="paragraph" w:styleId="ListContinue3">
    <w:name w:val="List Continue 3"/>
    <w:basedOn w:val="Normal"/>
    <w:autoRedefine/>
    <w:semiHidden/>
    <w:unhideWhenUsed/>
    <w:rsid w:val="00465398"/>
    <w:pPr>
      <w:ind w:left="849"/>
      <w:contextualSpacing/>
    </w:pPr>
  </w:style>
  <w:style w:type="paragraph" w:styleId="ListContinue4">
    <w:name w:val="List Continue 4"/>
    <w:basedOn w:val="Normal"/>
    <w:autoRedefine/>
    <w:semiHidden/>
    <w:unhideWhenUsed/>
    <w:rsid w:val="00465398"/>
    <w:pPr>
      <w:ind w:left="1132"/>
      <w:contextualSpacing/>
    </w:pPr>
  </w:style>
  <w:style w:type="paragraph" w:styleId="ListContinue5">
    <w:name w:val="List Continue 5"/>
    <w:basedOn w:val="Normal"/>
    <w:autoRedefine/>
    <w:semiHidden/>
    <w:unhideWhenUsed/>
    <w:rsid w:val="00465398"/>
    <w:pPr>
      <w:ind w:left="1415"/>
      <w:contextualSpacing/>
    </w:pPr>
  </w:style>
  <w:style w:type="paragraph" w:styleId="ListNumber">
    <w:name w:val="List Number"/>
    <w:basedOn w:val="Normal"/>
    <w:autoRedefine/>
    <w:uiPriority w:val="3"/>
    <w:rsid w:val="00465398"/>
    <w:pPr>
      <w:numPr>
        <w:numId w:val="6"/>
      </w:numPr>
      <w:contextualSpacing/>
    </w:pPr>
  </w:style>
  <w:style w:type="paragraph" w:styleId="ListNumber2">
    <w:name w:val="List Number 2"/>
    <w:basedOn w:val="Normal"/>
    <w:autoRedefine/>
    <w:uiPriority w:val="3"/>
    <w:semiHidden/>
    <w:unhideWhenUsed/>
    <w:rsid w:val="00465398"/>
    <w:pPr>
      <w:numPr>
        <w:numId w:val="7"/>
      </w:numPr>
      <w:contextualSpacing/>
    </w:pPr>
  </w:style>
  <w:style w:type="paragraph" w:styleId="ListNumber3">
    <w:name w:val="List Number 3"/>
    <w:basedOn w:val="Normal"/>
    <w:autoRedefine/>
    <w:uiPriority w:val="3"/>
    <w:semiHidden/>
    <w:unhideWhenUsed/>
    <w:rsid w:val="00465398"/>
    <w:pPr>
      <w:numPr>
        <w:numId w:val="8"/>
      </w:numPr>
      <w:contextualSpacing/>
    </w:pPr>
  </w:style>
  <w:style w:type="paragraph" w:styleId="ListNumber4">
    <w:name w:val="List Number 4"/>
    <w:basedOn w:val="Normal"/>
    <w:autoRedefine/>
    <w:uiPriority w:val="3"/>
    <w:semiHidden/>
    <w:unhideWhenUsed/>
    <w:rsid w:val="00465398"/>
    <w:pPr>
      <w:numPr>
        <w:numId w:val="9"/>
      </w:numPr>
      <w:contextualSpacing/>
    </w:pPr>
  </w:style>
  <w:style w:type="paragraph" w:styleId="ListNumber5">
    <w:name w:val="List Number 5"/>
    <w:basedOn w:val="Normal"/>
    <w:autoRedefine/>
    <w:uiPriority w:val="3"/>
    <w:semiHidden/>
    <w:unhideWhenUsed/>
    <w:rsid w:val="00465398"/>
    <w:pPr>
      <w:numPr>
        <w:numId w:val="10"/>
      </w:numPr>
      <w:contextualSpacing/>
    </w:pPr>
  </w:style>
  <w:style w:type="paragraph" w:styleId="MacroText">
    <w:name w:val="macro"/>
    <w:link w:val="MacroTextChar"/>
    <w:autoRedefine/>
    <w:semiHidden/>
    <w:unhideWhenUsed/>
    <w:rsid w:val="00465398"/>
    <w:pPr>
      <w:tabs>
        <w:tab w:val="left" w:pos="480"/>
        <w:tab w:val="left" w:pos="960"/>
        <w:tab w:val="left" w:pos="1440"/>
        <w:tab w:val="left" w:pos="1920"/>
        <w:tab w:val="left" w:pos="2400"/>
        <w:tab w:val="left" w:pos="2880"/>
        <w:tab w:val="left" w:pos="3360"/>
        <w:tab w:val="left" w:pos="3840"/>
        <w:tab w:val="left" w:pos="4320"/>
      </w:tabs>
      <w:spacing w:before="120" w:line="260" w:lineRule="atLeast"/>
    </w:pPr>
    <w:rPr>
      <w:rFonts w:ascii="Consolas" w:hAnsi="Consolas" w:cs="Consolas"/>
    </w:rPr>
  </w:style>
  <w:style w:type="character" w:customStyle="1" w:styleId="MacroTextChar">
    <w:name w:val="Macro Text Char"/>
    <w:basedOn w:val="DefaultParagraphFont"/>
    <w:link w:val="MacroText"/>
    <w:semiHidden/>
    <w:rsid w:val="00465398"/>
    <w:rPr>
      <w:rFonts w:ascii="Consolas" w:hAnsi="Consolas" w:cs="Consolas"/>
    </w:rPr>
  </w:style>
  <w:style w:type="paragraph" w:styleId="MessageHeader">
    <w:name w:val="Message Header"/>
    <w:basedOn w:val="Normal"/>
    <w:link w:val="MessageHeaderChar"/>
    <w:autoRedefine/>
    <w:semiHidden/>
    <w:unhideWhenUsed/>
    <w:rsid w:val="00465398"/>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65398"/>
    <w:rPr>
      <w:rFonts w:asciiTheme="majorHAnsi" w:eastAsiaTheme="majorEastAsia" w:hAnsiTheme="majorHAnsi" w:cstheme="majorBidi"/>
      <w:sz w:val="24"/>
      <w:szCs w:val="24"/>
      <w:shd w:val="pct20" w:color="auto" w:fill="auto"/>
    </w:rPr>
  </w:style>
  <w:style w:type="paragraph" w:styleId="NormalWeb">
    <w:name w:val="Normal (Web)"/>
    <w:basedOn w:val="Normal"/>
    <w:autoRedefine/>
    <w:uiPriority w:val="99"/>
    <w:semiHidden/>
    <w:unhideWhenUsed/>
    <w:rsid w:val="00465398"/>
    <w:rPr>
      <w:rFonts w:ascii="Times New Roman" w:hAnsi="Times New Roman"/>
      <w:sz w:val="24"/>
    </w:rPr>
  </w:style>
  <w:style w:type="paragraph" w:styleId="NoteHeading">
    <w:name w:val="Note Heading"/>
    <w:basedOn w:val="Normal"/>
    <w:next w:val="Normal"/>
    <w:link w:val="NoteHeadingChar"/>
    <w:autoRedefine/>
    <w:semiHidden/>
    <w:unhideWhenUsed/>
    <w:rsid w:val="00465398"/>
    <w:pPr>
      <w:spacing w:before="0" w:after="0" w:line="240" w:lineRule="auto"/>
    </w:pPr>
  </w:style>
  <w:style w:type="character" w:customStyle="1" w:styleId="NoteHeadingChar">
    <w:name w:val="Note Heading Char"/>
    <w:basedOn w:val="DefaultParagraphFont"/>
    <w:link w:val="NoteHeading"/>
    <w:semiHidden/>
    <w:rsid w:val="00465398"/>
    <w:rPr>
      <w:rFonts w:ascii="Arial" w:hAnsi="Arial"/>
      <w:sz w:val="22"/>
      <w:szCs w:val="24"/>
    </w:rPr>
  </w:style>
  <w:style w:type="character" w:styleId="PlaceholderText">
    <w:name w:val="Placeholder Text"/>
    <w:basedOn w:val="DefaultParagraphFont"/>
    <w:uiPriority w:val="99"/>
    <w:semiHidden/>
    <w:rsid w:val="00465398"/>
    <w:rPr>
      <w:color w:val="808080"/>
    </w:rPr>
  </w:style>
  <w:style w:type="paragraph" w:styleId="PlainText">
    <w:name w:val="Plain Text"/>
    <w:basedOn w:val="Normal"/>
    <w:link w:val="PlainTextChar"/>
    <w:autoRedefine/>
    <w:semiHidden/>
    <w:unhideWhenUsed/>
    <w:rsid w:val="00465398"/>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465398"/>
    <w:rPr>
      <w:rFonts w:ascii="Consolas" w:hAnsi="Consolas" w:cs="Consolas"/>
      <w:sz w:val="21"/>
      <w:szCs w:val="21"/>
    </w:rPr>
  </w:style>
  <w:style w:type="paragraph" w:styleId="Salutation">
    <w:name w:val="Salutation"/>
    <w:basedOn w:val="Normal"/>
    <w:next w:val="Normal"/>
    <w:link w:val="SalutationChar"/>
    <w:autoRedefine/>
    <w:semiHidden/>
    <w:rsid w:val="00465398"/>
  </w:style>
  <w:style w:type="character" w:customStyle="1" w:styleId="SalutationChar">
    <w:name w:val="Salutation Char"/>
    <w:basedOn w:val="DefaultParagraphFont"/>
    <w:link w:val="Salutation"/>
    <w:semiHidden/>
    <w:rsid w:val="00465398"/>
    <w:rPr>
      <w:rFonts w:ascii="Arial" w:hAnsi="Arial"/>
      <w:sz w:val="22"/>
      <w:szCs w:val="24"/>
    </w:rPr>
  </w:style>
  <w:style w:type="paragraph" w:styleId="Signature">
    <w:name w:val="Signature"/>
    <w:basedOn w:val="Normal"/>
    <w:link w:val="SignatureChar"/>
    <w:autoRedefine/>
    <w:semiHidden/>
    <w:unhideWhenUsed/>
    <w:rsid w:val="00465398"/>
    <w:pPr>
      <w:spacing w:before="0" w:after="0" w:line="240" w:lineRule="auto"/>
      <w:ind w:left="4252"/>
    </w:pPr>
  </w:style>
  <w:style w:type="character" w:customStyle="1" w:styleId="SignatureChar">
    <w:name w:val="Signature Char"/>
    <w:basedOn w:val="DefaultParagraphFont"/>
    <w:link w:val="Signature"/>
    <w:semiHidden/>
    <w:rsid w:val="00465398"/>
    <w:rPr>
      <w:rFonts w:ascii="Arial" w:hAnsi="Arial"/>
      <w:sz w:val="22"/>
      <w:szCs w:val="24"/>
    </w:rPr>
  </w:style>
  <w:style w:type="character" w:styleId="SubtleReference">
    <w:name w:val="Subtle Reference"/>
    <w:basedOn w:val="DefaultParagraphFont"/>
    <w:uiPriority w:val="31"/>
    <w:rsid w:val="00465398"/>
    <w:rPr>
      <w:smallCaps/>
      <w:color w:val="008542" w:themeColor="accent2"/>
      <w:u w:val="single"/>
    </w:rPr>
  </w:style>
  <w:style w:type="paragraph" w:styleId="TableofAuthorities">
    <w:name w:val="table of authorities"/>
    <w:basedOn w:val="Normal"/>
    <w:next w:val="Normal"/>
    <w:autoRedefine/>
    <w:semiHidden/>
    <w:unhideWhenUsed/>
    <w:rsid w:val="00465398"/>
    <w:pPr>
      <w:spacing w:after="0"/>
      <w:ind w:left="220" w:hanging="220"/>
    </w:pPr>
  </w:style>
  <w:style w:type="paragraph" w:styleId="TableofFigures">
    <w:name w:val="table of figures"/>
    <w:basedOn w:val="Normal"/>
    <w:next w:val="Normal"/>
    <w:autoRedefine/>
    <w:semiHidden/>
    <w:unhideWhenUsed/>
    <w:rsid w:val="00465398"/>
    <w:pPr>
      <w:spacing w:after="0"/>
    </w:pPr>
  </w:style>
  <w:style w:type="paragraph" w:styleId="TOAHeading">
    <w:name w:val="toa heading"/>
    <w:basedOn w:val="Normal"/>
    <w:next w:val="Normal"/>
    <w:autoRedefine/>
    <w:semiHidden/>
    <w:unhideWhenUsed/>
    <w:rsid w:val="00465398"/>
    <w:rPr>
      <w:rFonts w:asciiTheme="majorHAnsi" w:eastAsiaTheme="majorEastAsia" w:hAnsiTheme="majorHAnsi" w:cstheme="majorBidi"/>
      <w:b/>
      <w:bCs/>
      <w:sz w:val="24"/>
    </w:rPr>
  </w:style>
  <w:style w:type="paragraph" w:styleId="TOC3">
    <w:name w:val="toc 3"/>
    <w:basedOn w:val="Normal"/>
    <w:next w:val="Normal"/>
    <w:autoRedefine/>
    <w:semiHidden/>
    <w:unhideWhenUsed/>
    <w:rsid w:val="00733EFD"/>
    <w:pPr>
      <w:spacing w:after="100"/>
      <w:ind w:left="440"/>
    </w:pPr>
  </w:style>
  <w:style w:type="paragraph" w:styleId="TOC4">
    <w:name w:val="toc 4"/>
    <w:basedOn w:val="Normal"/>
    <w:next w:val="Normal"/>
    <w:autoRedefine/>
    <w:semiHidden/>
    <w:unhideWhenUsed/>
    <w:rsid w:val="00465398"/>
    <w:pPr>
      <w:spacing w:after="100"/>
      <w:ind w:left="660"/>
    </w:pPr>
  </w:style>
  <w:style w:type="paragraph" w:styleId="TOC5">
    <w:name w:val="toc 5"/>
    <w:basedOn w:val="Normal"/>
    <w:next w:val="Normal"/>
    <w:autoRedefine/>
    <w:unhideWhenUsed/>
    <w:rsid w:val="00465398"/>
    <w:pPr>
      <w:spacing w:after="100"/>
      <w:ind w:left="880"/>
    </w:pPr>
  </w:style>
  <w:style w:type="paragraph" w:styleId="TOC6">
    <w:name w:val="toc 6"/>
    <w:basedOn w:val="Normal"/>
    <w:next w:val="Normal"/>
    <w:autoRedefine/>
    <w:semiHidden/>
    <w:unhideWhenUsed/>
    <w:rsid w:val="00465398"/>
    <w:pPr>
      <w:spacing w:after="100"/>
      <w:ind w:left="1100"/>
    </w:pPr>
  </w:style>
  <w:style w:type="paragraph" w:styleId="TOC7">
    <w:name w:val="toc 7"/>
    <w:basedOn w:val="Normal"/>
    <w:next w:val="Normal"/>
    <w:autoRedefine/>
    <w:semiHidden/>
    <w:unhideWhenUsed/>
    <w:rsid w:val="00465398"/>
    <w:pPr>
      <w:spacing w:after="100"/>
      <w:ind w:left="1320"/>
    </w:pPr>
  </w:style>
  <w:style w:type="paragraph" w:styleId="TOC8">
    <w:name w:val="toc 8"/>
    <w:basedOn w:val="Normal"/>
    <w:next w:val="Normal"/>
    <w:autoRedefine/>
    <w:semiHidden/>
    <w:unhideWhenUsed/>
    <w:rsid w:val="00465398"/>
    <w:pPr>
      <w:spacing w:after="100"/>
      <w:ind w:left="1540"/>
    </w:pPr>
  </w:style>
  <w:style w:type="paragraph" w:styleId="TOC9">
    <w:name w:val="toc 9"/>
    <w:basedOn w:val="Normal"/>
    <w:next w:val="Normal"/>
    <w:autoRedefine/>
    <w:unhideWhenUsed/>
    <w:rsid w:val="00465398"/>
    <w:pPr>
      <w:spacing w:after="100"/>
      <w:ind w:left="1760"/>
    </w:pPr>
  </w:style>
  <w:style w:type="character" w:styleId="Hyperlink">
    <w:name w:val="Hyperlink"/>
    <w:basedOn w:val="DefaultParagraphFont"/>
    <w:uiPriority w:val="99"/>
    <w:unhideWhenUsed/>
    <w:rsid w:val="00562759"/>
    <w:rPr>
      <w:color w:val="000000" w:themeColor="hyperlink"/>
      <w:u w:val="single"/>
    </w:rPr>
  </w:style>
  <w:style w:type="character" w:customStyle="1" w:styleId="TitleChar">
    <w:name w:val="Title Char"/>
    <w:basedOn w:val="DefaultParagraphFont"/>
    <w:link w:val="Title"/>
    <w:rsid w:val="00161EBF"/>
    <w:rPr>
      <w:rFonts w:ascii="Arial Bold" w:hAnsi="Arial Bold" w:cs="Arial"/>
      <w:b/>
      <w:bCs/>
      <w:color w:val="004200" w:themeColor="accent1"/>
      <w:kern w:val="28"/>
      <w:sz w:val="84"/>
      <w:szCs w:val="32"/>
    </w:rPr>
  </w:style>
  <w:style w:type="character" w:customStyle="1" w:styleId="ListParagraphChar">
    <w:name w:val="List Paragraph Char"/>
    <w:link w:val="ListParagraph"/>
    <w:uiPriority w:val="34"/>
    <w:locked/>
    <w:rsid w:val="002A1AA3"/>
    <w:rPr>
      <w:rFonts w:ascii="Arial" w:hAnsi="Arial"/>
      <w:sz w:val="22"/>
      <w:szCs w:val="24"/>
    </w:rPr>
  </w:style>
  <w:style w:type="paragraph" w:customStyle="1" w:styleId="NormalArial">
    <w:name w:val="Normal + Arial"/>
    <w:aliases w:val="11 pt"/>
    <w:basedOn w:val="Normal"/>
    <w:rsid w:val="0006691C"/>
    <w:pPr>
      <w:spacing w:before="0" w:after="0" w:line="240" w:lineRule="auto"/>
      <w:ind w:left="550"/>
    </w:pPr>
    <w:rPr>
      <w:rFonts w:cs="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02759">
      <w:bodyDiv w:val="1"/>
      <w:marLeft w:val="0"/>
      <w:marRight w:val="0"/>
      <w:marTop w:val="0"/>
      <w:marBottom w:val="0"/>
      <w:divBdr>
        <w:top w:val="none" w:sz="0" w:space="0" w:color="auto"/>
        <w:left w:val="none" w:sz="0" w:space="0" w:color="auto"/>
        <w:bottom w:val="none" w:sz="0" w:space="0" w:color="auto"/>
        <w:right w:val="none" w:sz="0" w:space="0" w:color="auto"/>
      </w:divBdr>
    </w:div>
    <w:div w:id="214856441">
      <w:bodyDiv w:val="1"/>
      <w:marLeft w:val="0"/>
      <w:marRight w:val="0"/>
      <w:marTop w:val="0"/>
      <w:marBottom w:val="0"/>
      <w:divBdr>
        <w:top w:val="none" w:sz="0" w:space="0" w:color="auto"/>
        <w:left w:val="none" w:sz="0" w:space="0" w:color="auto"/>
        <w:bottom w:val="none" w:sz="0" w:space="0" w:color="auto"/>
        <w:right w:val="none" w:sz="0" w:space="0" w:color="auto"/>
      </w:divBdr>
    </w:div>
    <w:div w:id="652292067">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14952014">
      <w:bodyDiv w:val="1"/>
      <w:marLeft w:val="0"/>
      <w:marRight w:val="0"/>
      <w:marTop w:val="0"/>
      <w:marBottom w:val="0"/>
      <w:divBdr>
        <w:top w:val="none" w:sz="0" w:space="0" w:color="auto"/>
        <w:left w:val="none" w:sz="0" w:space="0" w:color="auto"/>
        <w:bottom w:val="none" w:sz="0" w:space="0" w:color="auto"/>
        <w:right w:val="none" w:sz="0" w:space="0" w:color="auto"/>
      </w:divBdr>
    </w:div>
    <w:div w:id="928004740">
      <w:bodyDiv w:val="1"/>
      <w:marLeft w:val="0"/>
      <w:marRight w:val="0"/>
      <w:marTop w:val="0"/>
      <w:marBottom w:val="0"/>
      <w:divBdr>
        <w:top w:val="none" w:sz="0" w:space="0" w:color="auto"/>
        <w:left w:val="none" w:sz="0" w:space="0" w:color="auto"/>
        <w:bottom w:val="none" w:sz="0" w:space="0" w:color="auto"/>
        <w:right w:val="none" w:sz="0" w:space="0" w:color="auto"/>
      </w:divBdr>
    </w:div>
    <w:div w:id="1207446787">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599824339">
      <w:bodyDiv w:val="1"/>
      <w:marLeft w:val="0"/>
      <w:marRight w:val="0"/>
      <w:marTop w:val="0"/>
      <w:marBottom w:val="0"/>
      <w:divBdr>
        <w:top w:val="none" w:sz="0" w:space="0" w:color="auto"/>
        <w:left w:val="none" w:sz="0" w:space="0" w:color="auto"/>
        <w:bottom w:val="none" w:sz="0" w:space="0" w:color="auto"/>
        <w:right w:val="none" w:sz="0" w:space="0" w:color="auto"/>
      </w:divBdr>
    </w:div>
    <w:div w:id="1646009369">
      <w:bodyDiv w:val="1"/>
      <w:marLeft w:val="0"/>
      <w:marRight w:val="0"/>
      <w:marTop w:val="0"/>
      <w:marBottom w:val="0"/>
      <w:divBdr>
        <w:top w:val="none" w:sz="0" w:space="0" w:color="auto"/>
        <w:left w:val="none" w:sz="0" w:space="0" w:color="auto"/>
        <w:bottom w:val="none" w:sz="0" w:space="0" w:color="auto"/>
        <w:right w:val="none" w:sz="0" w:space="0" w:color="auto"/>
      </w:divBdr>
    </w:div>
    <w:div w:id="1704791916">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12187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3.0/au/deed.en"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3.0/au/legalcode"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creativecommons.org/licenses/by/3.0/au/deed.e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g"/></Relationships>
</file>

<file path=word/_rels/footnotes.xml.rels><?xml version="1.0" encoding="UTF-8" standalone="yes"?>
<Relationships xmlns="http://schemas.openxmlformats.org/package/2006/relationships"><Relationship Id="rId2" Type="http://schemas.openxmlformats.org/officeDocument/2006/relationships/hyperlink" Target="http://www.health.gov.au/internet/hta/publishing.nsf/Content/about-1" TargetMode="External"/><Relationship Id="rId1" Type="http://schemas.openxmlformats.org/officeDocument/2006/relationships/hyperlink" Target="http://www.health.gov.au/internet/main/publishing.nsf/Content/hta-review-r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lajen\AppData\Local\Microsoft\Windows\Temporary%20Internet%20Files\Content.Outlook\JPSMLDQR\External%20report%20template.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33132"/>
      </a:dk2>
      <a:lt2>
        <a:srgbClr val="FFFFFF"/>
      </a:lt2>
      <a:accent1>
        <a:srgbClr val="004200"/>
      </a:accent1>
      <a:accent2>
        <a:srgbClr val="008542"/>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2E60B-0D58-4E84-8921-85ECB57EB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report template.dotx</Template>
  <TotalTime>910</TotalTime>
  <Pages>16</Pages>
  <Words>3352</Words>
  <Characters>20706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Independent Hospital Pricing Authority</Company>
  <LinksUpToDate>false</LinksUpToDate>
  <CharactersWithSpaces>24010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Jenette</dc:creator>
  <cp:lastModifiedBy>Olorenshaw Cherry</cp:lastModifiedBy>
  <cp:revision>85</cp:revision>
  <cp:lastPrinted>2018-03-09T04:12:00Z</cp:lastPrinted>
  <dcterms:created xsi:type="dcterms:W3CDTF">2018-02-07T22:09:00Z</dcterms:created>
  <dcterms:modified xsi:type="dcterms:W3CDTF">2018-05-30T02:30:00Z</dcterms:modified>
</cp:coreProperties>
</file>