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FDE" w:rsidRDefault="00721FDE" w:rsidP="00721FDE">
      <w:pPr>
        <w:jc w:val="center"/>
      </w:pPr>
      <w:r>
        <w:rPr>
          <w:noProof/>
          <w:lang w:eastAsia="en-AU"/>
        </w:rPr>
        <w:drawing>
          <wp:inline distT="0" distB="0" distL="0" distR="0" wp14:anchorId="6E25EBDC" wp14:editId="3FD64059">
            <wp:extent cx="719328" cy="981456"/>
            <wp:effectExtent l="0" t="0" r="5080" b="0"/>
            <wp:docPr id="3" name="Picture 3"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pa_logo_cmyk_20m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9328" cy="981456"/>
                    </a:xfrm>
                    <a:prstGeom prst="rect">
                      <a:avLst/>
                    </a:prstGeom>
                  </pic:spPr>
                </pic:pic>
              </a:graphicData>
            </a:graphic>
          </wp:inline>
        </w:drawing>
      </w:r>
    </w:p>
    <w:p w:rsidR="00721FDE" w:rsidRPr="0087782D" w:rsidRDefault="00721FDE" w:rsidP="00721FDE">
      <w:pPr>
        <w:jc w:val="right"/>
      </w:pPr>
      <w:r w:rsidRPr="0087782D">
        <w:t>4 April 2018</w:t>
      </w:r>
    </w:p>
    <w:p w:rsidR="00721FDE" w:rsidRPr="00721FDE" w:rsidRDefault="00721FDE" w:rsidP="00721FDE">
      <w:pPr>
        <w:pStyle w:val="Heading1"/>
        <w:sectPr w:rsidR="00721FDE" w:rsidRPr="00721FDE" w:rsidSect="00A26317">
          <w:headerReference w:type="default" r:id="rId10"/>
          <w:footerReference w:type="default" r:id="rId11"/>
          <w:footerReference w:type="first" r:id="rId12"/>
          <w:pgSz w:w="11906" w:h="16838"/>
          <w:pgMar w:top="992" w:right="1440" w:bottom="992" w:left="1440" w:header="709" w:footer="709" w:gutter="0"/>
          <w:cols w:space="708"/>
          <w:titlePg/>
          <w:docGrid w:linePitch="360"/>
        </w:sectPr>
      </w:pPr>
      <w:r w:rsidRPr="00721FDE">
        <w:t>Non-admitted home ventilation and maternity services</w:t>
      </w:r>
    </w:p>
    <w:p w:rsidR="00721FDE" w:rsidRPr="000F1714" w:rsidRDefault="00721FDE" w:rsidP="00721FDE">
      <w:r w:rsidRPr="000F1714">
        <w:lastRenderedPageBreak/>
        <w:t>On 24 August 2017, the Commonwealth Minister for Health issued a Direction to IHPA under subsection 226(1) of the National Health Reform Act 2011 in relation to a number of changes to the classification, counting and scope of non-admitted activity in 2014-15 and 2015-16.</w:t>
      </w:r>
    </w:p>
    <w:p w:rsidR="00721FDE" w:rsidRPr="000F1714" w:rsidRDefault="00721FDE" w:rsidP="00721FDE">
      <w:r w:rsidRPr="000F1714">
        <w:t>IHPA was directed to take steps to ensure that changes introduced to classification systems or costing methodologies across all activity based funding service categories are effectively back-cast, and to ensure that the introduction of changes in the non-admitted service category do not have a unintended impact on the calculation of efficient growth for the 2015</w:t>
      </w:r>
      <w:r w:rsidRPr="000F1714">
        <w:noBreakHyphen/>
        <w:t>16 financial year. In undertaking this work, the Direction states that IHPA may consider development of a methodology, or methodologies, for the Administrator of the National Health Funding Pool to consider in the calculating the final funding entitlement for the 2015</w:t>
      </w:r>
      <w:r w:rsidRPr="000F1714">
        <w:noBreakHyphen/>
        <w:t>16 financial year.</w:t>
      </w:r>
    </w:p>
    <w:p w:rsidR="00721FDE" w:rsidRPr="000F1714" w:rsidRDefault="00721FDE" w:rsidP="00721FDE">
      <w:r w:rsidRPr="000F1714">
        <w:t>IHPA has consulted with all jurisdictions and the Administrator of the National Health Funding Pool and has issued the following statement in response.</w:t>
      </w:r>
    </w:p>
    <w:p w:rsidR="00721FDE" w:rsidRPr="00721FDE" w:rsidRDefault="00721FDE" w:rsidP="00721FDE">
      <w:pPr>
        <w:pStyle w:val="Heading2"/>
        <w:rPr>
          <w:b w:val="0"/>
          <w:i/>
          <w:sz w:val="22"/>
          <w:szCs w:val="22"/>
        </w:rPr>
      </w:pPr>
      <w:r w:rsidRPr="00721FDE">
        <w:rPr>
          <w:b w:val="0"/>
          <w:i/>
          <w:sz w:val="22"/>
          <w:szCs w:val="22"/>
        </w:rPr>
        <w:t>Home ventilation services</w:t>
      </w:r>
    </w:p>
    <w:p w:rsidR="00721FDE" w:rsidRPr="00321086" w:rsidRDefault="00721FDE" w:rsidP="00721FDE">
      <w:r w:rsidRPr="00321086">
        <w:t xml:space="preserve">In 2014-15, home ventilation services were block funded. Only patients who required ventilation 24 hours per day met the definition of the non-admitted Tier 2 clinic 10.19: </w:t>
      </w:r>
      <w:r w:rsidRPr="00321086">
        <w:rPr>
          <w:i/>
        </w:rPr>
        <w:t>Ventilation – home delivered</w:t>
      </w:r>
      <w:r w:rsidRPr="00321086">
        <w:t xml:space="preserve"> for funding purposes. In 2015-16, home ventilation services were moved to ABF. The price was determined on the basis of a costing study undertaken for IHPA that considered the costs of patients who required ventilation 24 hours per day.</w:t>
      </w:r>
    </w:p>
    <w:p w:rsidR="00721FDE" w:rsidRDefault="00721FDE" w:rsidP="00721FDE">
      <w:r>
        <w:t>In parallel</w:t>
      </w:r>
      <w:r w:rsidRPr="00321086">
        <w:t xml:space="preserve">, </w:t>
      </w:r>
      <w:r>
        <w:t xml:space="preserve">the definition of the </w:t>
      </w:r>
      <w:r w:rsidRPr="00321086">
        <w:t xml:space="preserve">clinic </w:t>
      </w:r>
      <w:r>
        <w:t xml:space="preserve">was changed </w:t>
      </w:r>
      <w:r w:rsidRPr="00321086">
        <w:t xml:space="preserve">to include patients who were ventilated overnight and would be at risk of a hospital admission if they were not ventilated. </w:t>
      </w:r>
    </w:p>
    <w:p w:rsidR="00721FDE" w:rsidRDefault="00721FDE" w:rsidP="00721FDE">
      <w:r>
        <w:lastRenderedPageBreak/>
        <w:t>An unintended consequence of this change in definition was that a significant number of lower complexity service events were added to the clinic 10.19, however the service event price was set at the same level as those patients receiving 24 hour ventilation calculated by the original costing study.</w:t>
      </w:r>
    </w:p>
    <w:p w:rsidR="00721FDE" w:rsidRDefault="00721FDE" w:rsidP="00721FDE">
      <w:r>
        <w:t xml:space="preserve">This interplay of pricing and classification changes effectively led to increased National Weighted Activity Units (NWAU) activity beyond what was intended by the movement of 24 hour ventilation to activity based funding. IHPA has concluded that this has led to an inflated level of NWAU activity, well in excess of costs of delivering some home ventilation services, in particular for those who do not require 24 hour ventilation, but are captured by the changed definition of clinic 10.19. </w:t>
      </w:r>
    </w:p>
    <w:p w:rsidR="00721FDE" w:rsidRPr="00321086" w:rsidRDefault="00721FDE" w:rsidP="00721FDE">
      <w:r>
        <w:t>The Administrator of the National Health Funding Pool has advised that the t</w:t>
      </w:r>
      <w:r w:rsidRPr="00321086">
        <w:t xml:space="preserve">otal activity for home ventilation services in 2015-16 comprised </w:t>
      </w:r>
      <w:r>
        <w:t xml:space="preserve">9,303 service events, resulting in 46,914 </w:t>
      </w:r>
      <w:r w:rsidRPr="00321086">
        <w:t>NWAU</w:t>
      </w:r>
      <w:r>
        <w:t>15</w:t>
      </w:r>
      <w:r w:rsidRPr="00321086">
        <w:t xml:space="preserve">, or </w:t>
      </w:r>
      <w:r w:rsidRPr="00232805">
        <w:t xml:space="preserve">$233,210,537 </w:t>
      </w:r>
      <w:r>
        <w:t xml:space="preserve">in total funding. </w:t>
      </w:r>
    </w:p>
    <w:p w:rsidR="00721FDE" w:rsidRDefault="00721FDE" w:rsidP="00721FDE">
      <w:r>
        <w:t>To address the error arising from the interplay of pricing and classification changes for the future, t</w:t>
      </w:r>
      <w:r w:rsidRPr="00321086">
        <w:t>he Pricing Authority has determined that home ventilation services will be block funded in 2018</w:t>
      </w:r>
      <w:r w:rsidRPr="00321086">
        <w:noBreakHyphen/>
        <w:t xml:space="preserve">19, </w:t>
      </w:r>
      <w:r>
        <w:t>based on actual costs</w:t>
      </w:r>
      <w:r w:rsidRPr="00321086">
        <w:t xml:space="preserve"> to be provided by states and territories.</w:t>
      </w:r>
      <w:r w:rsidRPr="0011403A">
        <w:t xml:space="preserve"> </w:t>
      </w:r>
    </w:p>
    <w:p w:rsidR="00721FDE" w:rsidRPr="00321086" w:rsidRDefault="00721FDE" w:rsidP="00721FDE">
      <w:r>
        <w:t>However, this does not address the Commonwealth funding impact to states and territories in 2015-16, 2016-17, and 2017-18.</w:t>
      </w:r>
    </w:p>
    <w:p w:rsidR="00721FDE" w:rsidRPr="00232805" w:rsidRDefault="00721FDE" w:rsidP="00721FDE">
      <w:r>
        <w:t xml:space="preserve">As there is no </w:t>
      </w:r>
      <w:r w:rsidRPr="00232805">
        <w:t>reliable price weight</w:t>
      </w:r>
      <w:r>
        <w:t xml:space="preserve"> data</w:t>
      </w:r>
      <w:r w:rsidRPr="00232805">
        <w:t xml:space="preserve"> for this </w:t>
      </w:r>
      <w:r>
        <w:t xml:space="preserve">expanded </w:t>
      </w:r>
      <w:r w:rsidRPr="00232805">
        <w:t>clinic</w:t>
      </w:r>
      <w:r>
        <w:t xml:space="preserve"> that reflects the different costs of the 24 hour ventilated group and the overnight ventilated group</w:t>
      </w:r>
      <w:r w:rsidRPr="00232805">
        <w:t xml:space="preserve">, </w:t>
      </w:r>
      <w:r>
        <w:t xml:space="preserve">IHPA concludes that </w:t>
      </w:r>
      <w:r w:rsidRPr="00232805">
        <w:t xml:space="preserve">block funding would have provided a more </w:t>
      </w:r>
      <w:r>
        <w:t>accurate</w:t>
      </w:r>
      <w:r w:rsidRPr="00232805">
        <w:t xml:space="preserve"> means of funding home ventilation services over this period</w:t>
      </w:r>
      <w:r>
        <w:t>, based on the actual cost of service delivery</w:t>
      </w:r>
      <w:r w:rsidRPr="00232805">
        <w:t>.</w:t>
      </w:r>
    </w:p>
    <w:p w:rsidR="00721FDE" w:rsidRDefault="00721FDE" w:rsidP="00721FDE">
      <w:pPr>
        <w:spacing w:before="120"/>
      </w:pPr>
      <w:r>
        <w:lastRenderedPageBreak/>
        <w:t xml:space="preserve">Tables 1 and 2 provide information on expenditure for home ventilation services in 2015-16, 2016-17 and 2017-18. All states and territories have provided advice to IHPA on expenditure on home </w:t>
      </w:r>
      <w:r>
        <w:lastRenderedPageBreak/>
        <w:t>ventilation services in 2017-18. In addition, some jurisdictions provided advice on expenditure in 2015-16 and 2016-17. This is presented in Table 1.</w:t>
      </w:r>
    </w:p>
    <w:p w:rsidR="00721FDE" w:rsidRDefault="00721FDE" w:rsidP="00721FDE">
      <w:pPr>
        <w:keepNext/>
        <w:spacing w:before="240"/>
        <w:rPr>
          <w:b/>
        </w:rPr>
        <w:sectPr w:rsidR="00721FDE" w:rsidSect="00721FDE">
          <w:type w:val="continuous"/>
          <w:pgSz w:w="11906" w:h="16838"/>
          <w:pgMar w:top="1440" w:right="1440" w:bottom="1440" w:left="1440" w:header="709" w:footer="709" w:gutter="0"/>
          <w:cols w:num="2" w:space="708"/>
          <w:titlePg/>
          <w:docGrid w:linePitch="360"/>
        </w:sectPr>
      </w:pPr>
    </w:p>
    <w:p w:rsidR="00721FDE" w:rsidRPr="00301278" w:rsidRDefault="00721FDE" w:rsidP="00721FDE">
      <w:pPr>
        <w:keepNext/>
        <w:spacing w:before="240"/>
        <w:rPr>
          <w:b/>
        </w:rPr>
      </w:pPr>
      <w:r w:rsidRPr="00301278">
        <w:rPr>
          <w:b/>
        </w:rPr>
        <w:lastRenderedPageBreak/>
        <w:t xml:space="preserve">Table </w:t>
      </w:r>
      <w:r>
        <w:rPr>
          <w:b/>
        </w:rPr>
        <w:t>1</w:t>
      </w:r>
      <w:r w:rsidRPr="00301278">
        <w:rPr>
          <w:b/>
        </w:rPr>
        <w:t xml:space="preserve">: </w:t>
      </w:r>
      <w:r>
        <w:rPr>
          <w:b/>
        </w:rPr>
        <w:t>Expenditure</w:t>
      </w:r>
      <w:r w:rsidRPr="00301278">
        <w:rPr>
          <w:b/>
        </w:rPr>
        <w:t xml:space="preserve"> </w:t>
      </w:r>
      <w:r>
        <w:rPr>
          <w:b/>
        </w:rPr>
        <w:t xml:space="preserve">for </w:t>
      </w:r>
      <w:r w:rsidRPr="00301278">
        <w:rPr>
          <w:b/>
        </w:rPr>
        <w:t>home ventilation services</w:t>
      </w:r>
      <w:r>
        <w:rPr>
          <w:b/>
        </w:rPr>
        <w:t xml:space="preserve"> as advised by states and territories</w:t>
      </w:r>
    </w:p>
    <w:tbl>
      <w:tblPr>
        <w:tblStyle w:val="TableGrid"/>
        <w:tblW w:w="0" w:type="auto"/>
        <w:tblLayout w:type="fixed"/>
        <w:tblCellMar>
          <w:top w:w="28" w:type="dxa"/>
          <w:bottom w:w="28" w:type="dxa"/>
        </w:tblCellMar>
        <w:tblLook w:val="04A0" w:firstRow="1" w:lastRow="0" w:firstColumn="1" w:lastColumn="0" w:noHBand="0" w:noVBand="1"/>
      </w:tblPr>
      <w:tblGrid>
        <w:gridCol w:w="3175"/>
        <w:gridCol w:w="1701"/>
        <w:gridCol w:w="1701"/>
        <w:gridCol w:w="1701"/>
      </w:tblGrid>
      <w:tr w:rsidR="00721FDE" w:rsidRPr="00301278" w:rsidTr="00B458C8">
        <w:tc>
          <w:tcPr>
            <w:tcW w:w="3175" w:type="dxa"/>
            <w:tcBorders>
              <w:top w:val="nil"/>
              <w:left w:val="nil"/>
            </w:tcBorders>
            <w:vAlign w:val="center"/>
          </w:tcPr>
          <w:p w:rsidR="00721FDE" w:rsidRPr="00301278" w:rsidRDefault="00721FDE" w:rsidP="00B458C8">
            <w:pPr>
              <w:keepNext/>
              <w:tabs>
                <w:tab w:val="left" w:pos="915"/>
              </w:tabs>
              <w:spacing w:after="0"/>
              <w:rPr>
                <w:b/>
              </w:rPr>
            </w:pPr>
          </w:p>
        </w:tc>
        <w:tc>
          <w:tcPr>
            <w:tcW w:w="1701" w:type="dxa"/>
            <w:vAlign w:val="center"/>
          </w:tcPr>
          <w:p w:rsidR="00721FDE" w:rsidRPr="002B45C1" w:rsidRDefault="00721FDE" w:rsidP="00B458C8">
            <w:pPr>
              <w:keepNext/>
              <w:tabs>
                <w:tab w:val="left" w:pos="915"/>
              </w:tabs>
              <w:spacing w:after="0"/>
              <w:jc w:val="center"/>
              <w:rPr>
                <w:b/>
              </w:rPr>
            </w:pPr>
            <w:r w:rsidRPr="002B45C1">
              <w:rPr>
                <w:b/>
              </w:rPr>
              <w:t>2015-16</w:t>
            </w:r>
          </w:p>
        </w:tc>
        <w:tc>
          <w:tcPr>
            <w:tcW w:w="1701" w:type="dxa"/>
            <w:vAlign w:val="center"/>
          </w:tcPr>
          <w:p w:rsidR="00721FDE" w:rsidRPr="002B45C1" w:rsidRDefault="00721FDE" w:rsidP="00B458C8">
            <w:pPr>
              <w:keepNext/>
              <w:tabs>
                <w:tab w:val="left" w:pos="915"/>
              </w:tabs>
              <w:spacing w:after="0"/>
              <w:jc w:val="center"/>
              <w:rPr>
                <w:b/>
              </w:rPr>
            </w:pPr>
            <w:r w:rsidRPr="002B45C1">
              <w:rPr>
                <w:b/>
              </w:rPr>
              <w:t>2016-17</w:t>
            </w:r>
          </w:p>
        </w:tc>
        <w:tc>
          <w:tcPr>
            <w:tcW w:w="1701" w:type="dxa"/>
          </w:tcPr>
          <w:p w:rsidR="00721FDE" w:rsidRPr="002B45C1" w:rsidRDefault="00721FDE" w:rsidP="00B458C8">
            <w:pPr>
              <w:keepNext/>
              <w:tabs>
                <w:tab w:val="left" w:pos="915"/>
              </w:tabs>
              <w:spacing w:after="0"/>
              <w:jc w:val="center"/>
              <w:rPr>
                <w:b/>
              </w:rPr>
            </w:pPr>
            <w:r w:rsidRPr="002B45C1">
              <w:rPr>
                <w:b/>
              </w:rPr>
              <w:t>2017-18</w:t>
            </w:r>
          </w:p>
        </w:tc>
      </w:tr>
      <w:tr w:rsidR="00721FDE" w:rsidRPr="00301278" w:rsidTr="00B458C8">
        <w:tc>
          <w:tcPr>
            <w:tcW w:w="3175" w:type="dxa"/>
            <w:vAlign w:val="center"/>
          </w:tcPr>
          <w:p w:rsidR="00721FDE" w:rsidRPr="00AE35BB" w:rsidRDefault="00721FDE" w:rsidP="00B458C8">
            <w:pPr>
              <w:keepNext/>
              <w:tabs>
                <w:tab w:val="left" w:pos="915"/>
              </w:tabs>
              <w:spacing w:after="0"/>
              <w:rPr>
                <w:b/>
              </w:rPr>
            </w:pPr>
            <w:r w:rsidRPr="00AE35BB">
              <w:rPr>
                <w:b/>
              </w:rPr>
              <w:t>Queensland</w:t>
            </w:r>
          </w:p>
        </w:tc>
        <w:tc>
          <w:tcPr>
            <w:tcW w:w="1701" w:type="dxa"/>
            <w:vAlign w:val="center"/>
          </w:tcPr>
          <w:p w:rsidR="00721FDE" w:rsidRPr="002B45C1" w:rsidRDefault="00721FDE" w:rsidP="00B458C8">
            <w:pPr>
              <w:keepNext/>
              <w:tabs>
                <w:tab w:val="left" w:pos="915"/>
              </w:tabs>
              <w:spacing w:after="0"/>
              <w:jc w:val="right"/>
            </w:pPr>
            <w:r w:rsidRPr="002B45C1">
              <w:t>$10,850,057</w:t>
            </w:r>
          </w:p>
        </w:tc>
        <w:tc>
          <w:tcPr>
            <w:tcW w:w="1701" w:type="dxa"/>
            <w:vAlign w:val="center"/>
          </w:tcPr>
          <w:p w:rsidR="00721FDE" w:rsidRPr="002B45C1" w:rsidRDefault="00721FDE" w:rsidP="00B458C8">
            <w:pPr>
              <w:keepNext/>
              <w:tabs>
                <w:tab w:val="left" w:pos="915"/>
              </w:tabs>
              <w:spacing w:after="0"/>
              <w:jc w:val="right"/>
            </w:pPr>
            <w:r w:rsidRPr="002B45C1">
              <w:t>$13,229,072</w:t>
            </w:r>
          </w:p>
        </w:tc>
        <w:tc>
          <w:tcPr>
            <w:tcW w:w="1701" w:type="dxa"/>
          </w:tcPr>
          <w:p w:rsidR="00721FDE" w:rsidRPr="002B45C1" w:rsidRDefault="00721FDE" w:rsidP="00B458C8">
            <w:pPr>
              <w:keepNext/>
              <w:tabs>
                <w:tab w:val="left" w:pos="915"/>
              </w:tabs>
              <w:spacing w:after="0"/>
              <w:jc w:val="right"/>
            </w:pPr>
            <w:r w:rsidRPr="002B45C1">
              <w:t>$15,221,785</w:t>
            </w:r>
          </w:p>
        </w:tc>
      </w:tr>
      <w:tr w:rsidR="00721FDE" w:rsidRPr="00301278" w:rsidTr="00B458C8">
        <w:tc>
          <w:tcPr>
            <w:tcW w:w="3175" w:type="dxa"/>
            <w:vAlign w:val="center"/>
          </w:tcPr>
          <w:p w:rsidR="00721FDE" w:rsidRPr="00301278" w:rsidRDefault="00721FDE" w:rsidP="00B458C8">
            <w:pPr>
              <w:keepNext/>
              <w:tabs>
                <w:tab w:val="left" w:pos="915"/>
              </w:tabs>
              <w:spacing w:after="0"/>
              <w:rPr>
                <w:b/>
              </w:rPr>
            </w:pPr>
            <w:r>
              <w:rPr>
                <w:b/>
              </w:rPr>
              <w:t>South Australia</w:t>
            </w:r>
          </w:p>
        </w:tc>
        <w:tc>
          <w:tcPr>
            <w:tcW w:w="1701" w:type="dxa"/>
            <w:vAlign w:val="center"/>
          </w:tcPr>
          <w:p w:rsidR="00721FDE" w:rsidRPr="002B45C1" w:rsidRDefault="00721FDE" w:rsidP="00B458C8">
            <w:pPr>
              <w:keepNext/>
              <w:tabs>
                <w:tab w:val="left" w:pos="915"/>
              </w:tabs>
              <w:spacing w:after="0"/>
              <w:jc w:val="right"/>
            </w:pPr>
            <w:r w:rsidRPr="002B45C1">
              <w:t>$3,208,350</w:t>
            </w:r>
          </w:p>
        </w:tc>
        <w:tc>
          <w:tcPr>
            <w:tcW w:w="1701" w:type="dxa"/>
            <w:vAlign w:val="center"/>
          </w:tcPr>
          <w:p w:rsidR="00721FDE" w:rsidRPr="002B45C1" w:rsidRDefault="00721FDE" w:rsidP="00B458C8">
            <w:pPr>
              <w:keepNext/>
              <w:tabs>
                <w:tab w:val="left" w:pos="915"/>
              </w:tabs>
              <w:spacing w:after="0"/>
              <w:jc w:val="right"/>
            </w:pPr>
            <w:r w:rsidRPr="002B45C1">
              <w:t>$3,175,851</w:t>
            </w:r>
          </w:p>
        </w:tc>
        <w:tc>
          <w:tcPr>
            <w:tcW w:w="1701" w:type="dxa"/>
          </w:tcPr>
          <w:p w:rsidR="00721FDE" w:rsidRPr="002B45C1" w:rsidRDefault="00721FDE" w:rsidP="00B458C8">
            <w:pPr>
              <w:keepNext/>
              <w:tabs>
                <w:tab w:val="left" w:pos="915"/>
              </w:tabs>
              <w:spacing w:after="0"/>
              <w:jc w:val="right"/>
            </w:pPr>
            <w:r w:rsidRPr="002B45C1">
              <w:t>$1,853,479</w:t>
            </w:r>
          </w:p>
        </w:tc>
      </w:tr>
      <w:tr w:rsidR="00721FDE" w:rsidRPr="00301278" w:rsidTr="00B458C8">
        <w:tc>
          <w:tcPr>
            <w:tcW w:w="3175" w:type="dxa"/>
            <w:vAlign w:val="center"/>
          </w:tcPr>
          <w:p w:rsidR="00721FDE" w:rsidRPr="00301278" w:rsidRDefault="00721FDE" w:rsidP="00B458C8">
            <w:pPr>
              <w:keepNext/>
              <w:tabs>
                <w:tab w:val="left" w:pos="915"/>
              </w:tabs>
              <w:spacing w:after="0"/>
              <w:rPr>
                <w:b/>
              </w:rPr>
            </w:pPr>
            <w:r w:rsidRPr="00301278">
              <w:rPr>
                <w:b/>
              </w:rPr>
              <w:t>Western Australia</w:t>
            </w:r>
          </w:p>
        </w:tc>
        <w:tc>
          <w:tcPr>
            <w:tcW w:w="1701" w:type="dxa"/>
          </w:tcPr>
          <w:p w:rsidR="00721FDE" w:rsidRPr="002B45C1" w:rsidRDefault="00721FDE" w:rsidP="00B458C8">
            <w:pPr>
              <w:keepNext/>
              <w:tabs>
                <w:tab w:val="left" w:pos="915"/>
              </w:tabs>
              <w:spacing w:after="0"/>
              <w:jc w:val="right"/>
            </w:pPr>
            <w:r w:rsidRPr="002B45C1">
              <w:t>$8,920,000</w:t>
            </w:r>
          </w:p>
        </w:tc>
        <w:tc>
          <w:tcPr>
            <w:tcW w:w="1701" w:type="dxa"/>
          </w:tcPr>
          <w:p w:rsidR="00721FDE" w:rsidRPr="002B45C1" w:rsidRDefault="00721FDE" w:rsidP="00B458C8">
            <w:pPr>
              <w:keepNext/>
              <w:tabs>
                <w:tab w:val="left" w:pos="915"/>
              </w:tabs>
              <w:spacing w:after="0"/>
              <w:jc w:val="right"/>
            </w:pPr>
            <w:r w:rsidRPr="002B45C1">
              <w:t>$10,680,000</w:t>
            </w:r>
          </w:p>
        </w:tc>
        <w:tc>
          <w:tcPr>
            <w:tcW w:w="1701" w:type="dxa"/>
          </w:tcPr>
          <w:p w:rsidR="00721FDE" w:rsidRPr="002B45C1" w:rsidRDefault="00721FDE" w:rsidP="00B458C8">
            <w:pPr>
              <w:keepNext/>
              <w:tabs>
                <w:tab w:val="left" w:pos="915"/>
              </w:tabs>
              <w:spacing w:after="0"/>
              <w:jc w:val="right"/>
            </w:pPr>
            <w:r w:rsidRPr="002B45C1">
              <w:t>$11,941,321</w:t>
            </w:r>
          </w:p>
        </w:tc>
      </w:tr>
    </w:tbl>
    <w:p w:rsidR="00721FDE" w:rsidRDefault="00721FDE" w:rsidP="00721FDE"/>
    <w:p w:rsidR="00721FDE" w:rsidRDefault="00721FDE" w:rsidP="00721FDE">
      <w:pPr>
        <w:spacing w:before="120"/>
        <w:sectPr w:rsidR="00721FDE" w:rsidSect="00C63D8C">
          <w:type w:val="continuous"/>
          <w:pgSz w:w="11906" w:h="16838"/>
          <w:pgMar w:top="992" w:right="1440" w:bottom="992" w:left="1440" w:header="709" w:footer="709" w:gutter="0"/>
          <w:cols w:space="708"/>
          <w:titlePg/>
          <w:docGrid w:linePitch="360"/>
        </w:sectPr>
      </w:pPr>
    </w:p>
    <w:p w:rsidR="00721FDE" w:rsidRDefault="00721FDE" w:rsidP="00721FDE">
      <w:pPr>
        <w:spacing w:before="120"/>
      </w:pPr>
      <w:r>
        <w:lastRenderedPageBreak/>
        <w:t>Where states and territories have not provided expenditure amounts for 2015</w:t>
      </w:r>
      <w:r>
        <w:noBreakHyphen/>
        <w:t>16 and 2016</w:t>
      </w:r>
      <w:r>
        <w:noBreakHyphen/>
        <w:t>17, IHPA has calculated the total estimated expenditure for home ventilation services for these years. 2016-17 expenditure is based on 2017</w:t>
      </w:r>
      <w:r>
        <w:noBreakHyphen/>
        <w:t xml:space="preserve">18 amounts deflated by the </w:t>
      </w:r>
      <w:r w:rsidRPr="008E2B65">
        <w:t>N</w:t>
      </w:r>
      <w:r>
        <w:t xml:space="preserve">ational Efficient </w:t>
      </w:r>
      <w:r>
        <w:lastRenderedPageBreak/>
        <w:t>Cost Determination 2017-18 (NEC17)</w:t>
      </w:r>
      <w:r w:rsidRPr="008E2B65">
        <w:t xml:space="preserve"> indexation </w:t>
      </w:r>
      <w:proofErr w:type="gramStart"/>
      <w:r w:rsidRPr="008E2B65">
        <w:t>rate</w:t>
      </w:r>
      <w:proofErr w:type="gramEnd"/>
      <w:r w:rsidRPr="008E2B65">
        <w:t xml:space="preserve"> of 4.7 per cent,</w:t>
      </w:r>
      <w:r>
        <w:t xml:space="preserve"> and 2015-16 expenditure is based on the 2016</w:t>
      </w:r>
      <w:r>
        <w:noBreakHyphen/>
        <w:t>17 estimates, deflated by the NEC16 indexation rate of 5.1 per cent. These amounts are presented in Table 2.</w:t>
      </w:r>
    </w:p>
    <w:p w:rsidR="00721FDE" w:rsidRDefault="00721FDE" w:rsidP="00721FDE">
      <w:pPr>
        <w:keepNext/>
        <w:spacing w:before="240"/>
        <w:rPr>
          <w:b/>
        </w:rPr>
        <w:sectPr w:rsidR="00721FDE" w:rsidSect="00C63D8C">
          <w:type w:val="continuous"/>
          <w:pgSz w:w="11906" w:h="16838"/>
          <w:pgMar w:top="992" w:right="1440" w:bottom="992" w:left="1440" w:header="709" w:footer="709" w:gutter="0"/>
          <w:cols w:num="2" w:space="708"/>
          <w:titlePg/>
          <w:docGrid w:linePitch="360"/>
        </w:sectPr>
      </w:pPr>
    </w:p>
    <w:p w:rsidR="00721FDE" w:rsidRPr="00301278" w:rsidRDefault="00721FDE" w:rsidP="00721FDE">
      <w:pPr>
        <w:keepNext/>
        <w:spacing w:before="240"/>
        <w:rPr>
          <w:b/>
        </w:rPr>
      </w:pPr>
      <w:r w:rsidRPr="00301278">
        <w:rPr>
          <w:b/>
        </w:rPr>
        <w:lastRenderedPageBreak/>
        <w:t>Table</w:t>
      </w:r>
      <w:r>
        <w:rPr>
          <w:b/>
        </w:rPr>
        <w:t xml:space="preserve"> 2</w:t>
      </w:r>
      <w:r w:rsidRPr="00301278">
        <w:rPr>
          <w:b/>
        </w:rPr>
        <w:t xml:space="preserve">: Estimated </w:t>
      </w:r>
      <w:r>
        <w:rPr>
          <w:b/>
        </w:rPr>
        <w:t>expenditure</w:t>
      </w:r>
      <w:r w:rsidRPr="00301278">
        <w:rPr>
          <w:b/>
        </w:rPr>
        <w:t xml:space="preserve"> </w:t>
      </w:r>
      <w:r>
        <w:rPr>
          <w:b/>
        </w:rPr>
        <w:t xml:space="preserve">for </w:t>
      </w:r>
      <w:r w:rsidRPr="00301278">
        <w:rPr>
          <w:b/>
        </w:rPr>
        <w:t>home ventilation services</w:t>
      </w:r>
    </w:p>
    <w:tbl>
      <w:tblPr>
        <w:tblStyle w:val="TableGrid"/>
        <w:tblW w:w="0" w:type="auto"/>
        <w:tblLayout w:type="fixed"/>
        <w:tblCellMar>
          <w:top w:w="28" w:type="dxa"/>
          <w:bottom w:w="28" w:type="dxa"/>
        </w:tblCellMar>
        <w:tblLook w:val="04A0" w:firstRow="1" w:lastRow="0" w:firstColumn="1" w:lastColumn="0" w:noHBand="0" w:noVBand="1"/>
      </w:tblPr>
      <w:tblGrid>
        <w:gridCol w:w="3175"/>
        <w:gridCol w:w="1701"/>
        <w:gridCol w:w="1701"/>
        <w:gridCol w:w="1701"/>
      </w:tblGrid>
      <w:tr w:rsidR="00721FDE" w:rsidRPr="00301278" w:rsidTr="00B458C8">
        <w:tc>
          <w:tcPr>
            <w:tcW w:w="3175" w:type="dxa"/>
            <w:tcBorders>
              <w:top w:val="nil"/>
              <w:left w:val="nil"/>
            </w:tcBorders>
            <w:vAlign w:val="center"/>
          </w:tcPr>
          <w:p w:rsidR="00721FDE" w:rsidRPr="00301278" w:rsidRDefault="00721FDE" w:rsidP="00B458C8">
            <w:pPr>
              <w:keepNext/>
              <w:tabs>
                <w:tab w:val="left" w:pos="915"/>
              </w:tabs>
              <w:spacing w:after="0"/>
              <w:rPr>
                <w:b/>
              </w:rPr>
            </w:pPr>
          </w:p>
        </w:tc>
        <w:tc>
          <w:tcPr>
            <w:tcW w:w="1701" w:type="dxa"/>
            <w:vAlign w:val="center"/>
          </w:tcPr>
          <w:p w:rsidR="00721FDE" w:rsidRDefault="00721FDE" w:rsidP="00B458C8">
            <w:pPr>
              <w:keepNext/>
              <w:tabs>
                <w:tab w:val="left" w:pos="915"/>
              </w:tabs>
              <w:spacing w:after="0"/>
              <w:jc w:val="center"/>
              <w:rPr>
                <w:b/>
              </w:rPr>
            </w:pPr>
            <w:r w:rsidRPr="00301278">
              <w:rPr>
                <w:b/>
              </w:rPr>
              <w:t>2015-16</w:t>
            </w:r>
          </w:p>
          <w:p w:rsidR="00721FDE" w:rsidRPr="00301278" w:rsidRDefault="00721FDE" w:rsidP="00B458C8">
            <w:pPr>
              <w:keepNext/>
              <w:tabs>
                <w:tab w:val="left" w:pos="915"/>
              </w:tabs>
              <w:spacing w:after="0"/>
              <w:jc w:val="center"/>
              <w:rPr>
                <w:b/>
              </w:rPr>
            </w:pPr>
            <w:r>
              <w:rPr>
                <w:b/>
              </w:rPr>
              <w:t>(estimated)</w:t>
            </w:r>
          </w:p>
        </w:tc>
        <w:tc>
          <w:tcPr>
            <w:tcW w:w="1701" w:type="dxa"/>
            <w:vAlign w:val="center"/>
          </w:tcPr>
          <w:p w:rsidR="00721FDE" w:rsidRDefault="00721FDE" w:rsidP="00B458C8">
            <w:pPr>
              <w:keepNext/>
              <w:tabs>
                <w:tab w:val="left" w:pos="915"/>
              </w:tabs>
              <w:spacing w:after="0"/>
              <w:jc w:val="center"/>
              <w:rPr>
                <w:b/>
              </w:rPr>
            </w:pPr>
            <w:r w:rsidRPr="00301278">
              <w:rPr>
                <w:b/>
              </w:rPr>
              <w:t>2016-17</w:t>
            </w:r>
          </w:p>
          <w:p w:rsidR="00721FDE" w:rsidRPr="00301278" w:rsidRDefault="00721FDE" w:rsidP="00B458C8">
            <w:pPr>
              <w:keepNext/>
              <w:tabs>
                <w:tab w:val="left" w:pos="915"/>
              </w:tabs>
              <w:spacing w:after="0"/>
              <w:jc w:val="center"/>
              <w:rPr>
                <w:b/>
              </w:rPr>
            </w:pPr>
            <w:r>
              <w:rPr>
                <w:b/>
              </w:rPr>
              <w:t>(estimated)</w:t>
            </w:r>
          </w:p>
        </w:tc>
        <w:tc>
          <w:tcPr>
            <w:tcW w:w="1701" w:type="dxa"/>
          </w:tcPr>
          <w:p w:rsidR="00721FDE" w:rsidRDefault="00721FDE" w:rsidP="00B458C8">
            <w:pPr>
              <w:keepNext/>
              <w:tabs>
                <w:tab w:val="left" w:pos="915"/>
              </w:tabs>
              <w:spacing w:after="0"/>
              <w:jc w:val="center"/>
              <w:rPr>
                <w:b/>
              </w:rPr>
            </w:pPr>
            <w:r w:rsidRPr="002B45C1">
              <w:rPr>
                <w:b/>
              </w:rPr>
              <w:t>2017-18</w:t>
            </w:r>
          </w:p>
          <w:p w:rsidR="00721FDE" w:rsidRPr="002B45C1" w:rsidRDefault="00721FDE" w:rsidP="00B458C8">
            <w:pPr>
              <w:keepNext/>
              <w:tabs>
                <w:tab w:val="left" w:pos="915"/>
              </w:tabs>
              <w:spacing w:after="0"/>
              <w:jc w:val="center"/>
              <w:rPr>
                <w:b/>
              </w:rPr>
            </w:pPr>
            <w:r>
              <w:rPr>
                <w:b/>
              </w:rPr>
              <w:t>(advised)</w:t>
            </w:r>
          </w:p>
        </w:tc>
      </w:tr>
      <w:tr w:rsidR="00721FDE" w:rsidRPr="00301278" w:rsidTr="00B458C8">
        <w:tc>
          <w:tcPr>
            <w:tcW w:w="3175" w:type="dxa"/>
            <w:vAlign w:val="center"/>
          </w:tcPr>
          <w:p w:rsidR="00721FDE" w:rsidRPr="00301278" w:rsidRDefault="00721FDE" w:rsidP="00B458C8">
            <w:pPr>
              <w:keepNext/>
              <w:tabs>
                <w:tab w:val="left" w:pos="915"/>
              </w:tabs>
              <w:spacing w:after="0"/>
              <w:rPr>
                <w:b/>
              </w:rPr>
            </w:pPr>
            <w:r w:rsidRPr="00301278">
              <w:rPr>
                <w:b/>
              </w:rPr>
              <w:t>New South Wales</w:t>
            </w:r>
          </w:p>
        </w:tc>
        <w:tc>
          <w:tcPr>
            <w:tcW w:w="1701" w:type="dxa"/>
            <w:vAlign w:val="center"/>
          </w:tcPr>
          <w:p w:rsidR="00721FDE" w:rsidRPr="00301278" w:rsidRDefault="00721FDE" w:rsidP="00B458C8">
            <w:pPr>
              <w:keepNext/>
              <w:tabs>
                <w:tab w:val="left" w:pos="915"/>
              </w:tabs>
              <w:spacing w:after="0"/>
              <w:jc w:val="right"/>
            </w:pPr>
            <w:r w:rsidRPr="00EA5911">
              <w:t>$16,930,113</w:t>
            </w:r>
          </w:p>
        </w:tc>
        <w:tc>
          <w:tcPr>
            <w:tcW w:w="1701" w:type="dxa"/>
            <w:vAlign w:val="center"/>
          </w:tcPr>
          <w:p w:rsidR="00721FDE" w:rsidRPr="00301278" w:rsidRDefault="00721FDE" w:rsidP="00B458C8">
            <w:pPr>
              <w:keepNext/>
              <w:tabs>
                <w:tab w:val="left" w:pos="915"/>
              </w:tabs>
              <w:spacing w:after="0"/>
              <w:jc w:val="right"/>
            </w:pPr>
            <w:r w:rsidRPr="00EA5911">
              <w:t>$17,793,549</w:t>
            </w:r>
          </w:p>
        </w:tc>
        <w:tc>
          <w:tcPr>
            <w:tcW w:w="1701" w:type="dxa"/>
            <w:vAlign w:val="center"/>
          </w:tcPr>
          <w:p w:rsidR="00721FDE" w:rsidRPr="002B45C1" w:rsidRDefault="00721FDE" w:rsidP="00B458C8">
            <w:pPr>
              <w:keepNext/>
              <w:tabs>
                <w:tab w:val="left" w:pos="915"/>
              </w:tabs>
              <w:spacing w:after="0"/>
              <w:jc w:val="right"/>
            </w:pPr>
            <w:r w:rsidRPr="002B45C1">
              <w:rPr>
                <w:rFonts w:ascii="Arial" w:hAnsi="Arial" w:cs="Arial"/>
                <w:color w:val="000000"/>
              </w:rPr>
              <w:t>$18,629,846</w:t>
            </w:r>
          </w:p>
        </w:tc>
      </w:tr>
      <w:tr w:rsidR="00721FDE" w:rsidRPr="00301278" w:rsidTr="00B458C8">
        <w:tc>
          <w:tcPr>
            <w:tcW w:w="3175" w:type="dxa"/>
            <w:vAlign w:val="center"/>
          </w:tcPr>
          <w:p w:rsidR="00721FDE" w:rsidRPr="00301278" w:rsidRDefault="00721FDE" w:rsidP="00B458C8">
            <w:pPr>
              <w:keepNext/>
              <w:tabs>
                <w:tab w:val="left" w:pos="915"/>
              </w:tabs>
              <w:spacing w:after="0"/>
              <w:rPr>
                <w:b/>
              </w:rPr>
            </w:pPr>
            <w:r w:rsidRPr="00301278">
              <w:rPr>
                <w:b/>
              </w:rPr>
              <w:t>Victoria</w:t>
            </w:r>
          </w:p>
        </w:tc>
        <w:tc>
          <w:tcPr>
            <w:tcW w:w="1701" w:type="dxa"/>
            <w:vAlign w:val="center"/>
          </w:tcPr>
          <w:p w:rsidR="00721FDE" w:rsidRPr="00301278" w:rsidRDefault="00721FDE" w:rsidP="00B458C8">
            <w:pPr>
              <w:keepNext/>
              <w:tabs>
                <w:tab w:val="left" w:pos="915"/>
              </w:tabs>
              <w:spacing w:after="0"/>
              <w:jc w:val="right"/>
            </w:pPr>
            <w:r w:rsidRPr="00EA5911">
              <w:t>$9,572,000</w:t>
            </w:r>
          </w:p>
        </w:tc>
        <w:tc>
          <w:tcPr>
            <w:tcW w:w="1701" w:type="dxa"/>
            <w:vAlign w:val="center"/>
          </w:tcPr>
          <w:p w:rsidR="00721FDE" w:rsidRPr="00301278" w:rsidRDefault="00721FDE" w:rsidP="00B458C8">
            <w:pPr>
              <w:keepNext/>
              <w:tabs>
                <w:tab w:val="left" w:pos="915"/>
              </w:tabs>
              <w:spacing w:after="0"/>
              <w:jc w:val="right"/>
            </w:pPr>
            <w:r w:rsidRPr="00EA5911">
              <w:t>$10,060,172</w:t>
            </w:r>
          </w:p>
        </w:tc>
        <w:tc>
          <w:tcPr>
            <w:tcW w:w="1701" w:type="dxa"/>
            <w:vAlign w:val="center"/>
          </w:tcPr>
          <w:p w:rsidR="00721FDE" w:rsidRPr="002B45C1" w:rsidRDefault="00721FDE" w:rsidP="00B458C8">
            <w:pPr>
              <w:keepNext/>
              <w:tabs>
                <w:tab w:val="left" w:pos="915"/>
              </w:tabs>
              <w:spacing w:after="0"/>
              <w:jc w:val="right"/>
            </w:pPr>
            <w:r w:rsidRPr="002B45C1">
              <w:rPr>
                <w:rFonts w:ascii="Arial" w:hAnsi="Arial" w:cs="Arial"/>
                <w:color w:val="000000"/>
              </w:rPr>
              <w:t>$10,533,000</w:t>
            </w:r>
          </w:p>
        </w:tc>
      </w:tr>
      <w:tr w:rsidR="00721FDE" w:rsidRPr="00301278" w:rsidTr="00B458C8">
        <w:tc>
          <w:tcPr>
            <w:tcW w:w="3175" w:type="dxa"/>
            <w:vAlign w:val="center"/>
          </w:tcPr>
          <w:p w:rsidR="00721FDE" w:rsidRPr="00301278" w:rsidRDefault="00721FDE" w:rsidP="00B458C8">
            <w:pPr>
              <w:keepNext/>
              <w:tabs>
                <w:tab w:val="left" w:pos="915"/>
              </w:tabs>
              <w:spacing w:after="0"/>
              <w:rPr>
                <w:b/>
              </w:rPr>
            </w:pPr>
            <w:r w:rsidRPr="00301278">
              <w:rPr>
                <w:b/>
              </w:rPr>
              <w:t>Tasmania</w:t>
            </w:r>
          </w:p>
        </w:tc>
        <w:tc>
          <w:tcPr>
            <w:tcW w:w="1701" w:type="dxa"/>
            <w:vAlign w:val="center"/>
          </w:tcPr>
          <w:p w:rsidR="00721FDE" w:rsidRPr="00301278" w:rsidRDefault="00721FDE" w:rsidP="00B458C8">
            <w:pPr>
              <w:keepNext/>
              <w:tabs>
                <w:tab w:val="left" w:pos="915"/>
              </w:tabs>
              <w:spacing w:after="0"/>
              <w:jc w:val="right"/>
            </w:pPr>
            <w:r w:rsidRPr="00EA5911">
              <w:t>$2,271,907</w:t>
            </w:r>
          </w:p>
        </w:tc>
        <w:tc>
          <w:tcPr>
            <w:tcW w:w="1701" w:type="dxa"/>
            <w:vAlign w:val="center"/>
          </w:tcPr>
          <w:p w:rsidR="00721FDE" w:rsidRPr="00301278" w:rsidRDefault="00721FDE" w:rsidP="00B458C8">
            <w:pPr>
              <w:keepNext/>
              <w:tabs>
                <w:tab w:val="left" w:pos="915"/>
              </w:tabs>
              <w:spacing w:after="0"/>
              <w:jc w:val="right"/>
            </w:pPr>
            <w:r w:rsidRPr="00EA5911">
              <w:t>$2,387,775</w:t>
            </w:r>
          </w:p>
        </w:tc>
        <w:tc>
          <w:tcPr>
            <w:tcW w:w="1701" w:type="dxa"/>
            <w:vAlign w:val="center"/>
          </w:tcPr>
          <w:p w:rsidR="00721FDE" w:rsidRPr="002B45C1" w:rsidRDefault="00721FDE" w:rsidP="00B458C8">
            <w:pPr>
              <w:keepNext/>
              <w:tabs>
                <w:tab w:val="left" w:pos="915"/>
              </w:tabs>
              <w:spacing w:after="0"/>
              <w:jc w:val="right"/>
            </w:pPr>
            <w:r w:rsidRPr="002B45C1">
              <w:rPr>
                <w:rFonts w:ascii="Arial" w:hAnsi="Arial" w:cs="Arial"/>
                <w:color w:val="000000"/>
              </w:rPr>
              <w:t>$2,500,000</w:t>
            </w:r>
          </w:p>
        </w:tc>
      </w:tr>
      <w:tr w:rsidR="00721FDE" w:rsidRPr="00301278" w:rsidTr="00B458C8">
        <w:tc>
          <w:tcPr>
            <w:tcW w:w="3175" w:type="dxa"/>
            <w:vAlign w:val="center"/>
          </w:tcPr>
          <w:p w:rsidR="00721FDE" w:rsidRPr="00301278" w:rsidRDefault="00721FDE" w:rsidP="00B458C8">
            <w:pPr>
              <w:keepNext/>
              <w:tabs>
                <w:tab w:val="left" w:pos="915"/>
              </w:tabs>
              <w:spacing w:after="0"/>
              <w:rPr>
                <w:b/>
              </w:rPr>
            </w:pPr>
            <w:r w:rsidRPr="00301278">
              <w:rPr>
                <w:b/>
              </w:rPr>
              <w:t>Northern Territory</w:t>
            </w:r>
          </w:p>
        </w:tc>
        <w:tc>
          <w:tcPr>
            <w:tcW w:w="1701" w:type="dxa"/>
            <w:vAlign w:val="center"/>
          </w:tcPr>
          <w:p w:rsidR="00721FDE" w:rsidRPr="00301278" w:rsidRDefault="00721FDE" w:rsidP="00B458C8">
            <w:pPr>
              <w:keepNext/>
              <w:tabs>
                <w:tab w:val="left" w:pos="915"/>
              </w:tabs>
              <w:spacing w:after="0"/>
              <w:jc w:val="right"/>
            </w:pPr>
            <w:r w:rsidRPr="00EA5911">
              <w:t>$67,794</w:t>
            </w:r>
          </w:p>
        </w:tc>
        <w:tc>
          <w:tcPr>
            <w:tcW w:w="1701" w:type="dxa"/>
            <w:vAlign w:val="center"/>
          </w:tcPr>
          <w:p w:rsidR="00721FDE" w:rsidRPr="00301278" w:rsidRDefault="00721FDE" w:rsidP="00B458C8">
            <w:pPr>
              <w:keepNext/>
              <w:tabs>
                <w:tab w:val="left" w:pos="915"/>
              </w:tabs>
              <w:spacing w:after="0"/>
              <w:jc w:val="right"/>
            </w:pPr>
            <w:r w:rsidRPr="00EA5911">
              <w:t>$71,251</w:t>
            </w:r>
          </w:p>
        </w:tc>
        <w:tc>
          <w:tcPr>
            <w:tcW w:w="1701" w:type="dxa"/>
            <w:vAlign w:val="center"/>
          </w:tcPr>
          <w:p w:rsidR="00721FDE" w:rsidRPr="002B45C1" w:rsidRDefault="00721FDE" w:rsidP="00B458C8">
            <w:pPr>
              <w:keepNext/>
              <w:tabs>
                <w:tab w:val="left" w:pos="915"/>
              </w:tabs>
              <w:spacing w:after="0"/>
              <w:jc w:val="right"/>
            </w:pPr>
            <w:r w:rsidRPr="002B45C1">
              <w:rPr>
                <w:rFonts w:ascii="Arial" w:hAnsi="Arial" w:cs="Arial"/>
                <w:color w:val="000000"/>
              </w:rPr>
              <w:t>$74,600</w:t>
            </w:r>
          </w:p>
        </w:tc>
      </w:tr>
      <w:tr w:rsidR="00721FDE" w:rsidRPr="00301278" w:rsidTr="00B458C8">
        <w:tc>
          <w:tcPr>
            <w:tcW w:w="3175" w:type="dxa"/>
            <w:vAlign w:val="center"/>
          </w:tcPr>
          <w:p w:rsidR="00721FDE" w:rsidRPr="00301278" w:rsidRDefault="00721FDE" w:rsidP="00B458C8">
            <w:pPr>
              <w:keepNext/>
              <w:tabs>
                <w:tab w:val="left" w:pos="915"/>
              </w:tabs>
              <w:spacing w:after="0"/>
              <w:rPr>
                <w:b/>
              </w:rPr>
            </w:pPr>
            <w:r w:rsidRPr="00301278">
              <w:rPr>
                <w:b/>
              </w:rPr>
              <w:t>Australian Capital Territory</w:t>
            </w:r>
          </w:p>
        </w:tc>
        <w:tc>
          <w:tcPr>
            <w:tcW w:w="1701" w:type="dxa"/>
            <w:vAlign w:val="center"/>
          </w:tcPr>
          <w:p w:rsidR="00721FDE" w:rsidRPr="00301278" w:rsidRDefault="00721FDE" w:rsidP="00B458C8">
            <w:pPr>
              <w:keepNext/>
              <w:tabs>
                <w:tab w:val="left" w:pos="915"/>
              </w:tabs>
              <w:spacing w:after="0"/>
              <w:jc w:val="right"/>
            </w:pPr>
            <w:r w:rsidRPr="00EA5911">
              <w:t>$1,135,447</w:t>
            </w:r>
          </w:p>
        </w:tc>
        <w:tc>
          <w:tcPr>
            <w:tcW w:w="1701" w:type="dxa"/>
            <w:vAlign w:val="center"/>
          </w:tcPr>
          <w:p w:rsidR="00721FDE" w:rsidRPr="00301278" w:rsidRDefault="00721FDE" w:rsidP="00B458C8">
            <w:pPr>
              <w:keepNext/>
              <w:tabs>
                <w:tab w:val="left" w:pos="915"/>
              </w:tabs>
              <w:spacing w:after="0"/>
              <w:jc w:val="right"/>
            </w:pPr>
            <w:r w:rsidRPr="00EA5911">
              <w:t>$1,193,355</w:t>
            </w:r>
          </w:p>
        </w:tc>
        <w:tc>
          <w:tcPr>
            <w:tcW w:w="1701" w:type="dxa"/>
            <w:vAlign w:val="center"/>
          </w:tcPr>
          <w:p w:rsidR="00721FDE" w:rsidRPr="002B45C1" w:rsidRDefault="00721FDE" w:rsidP="00B458C8">
            <w:pPr>
              <w:keepNext/>
              <w:tabs>
                <w:tab w:val="left" w:pos="915"/>
              </w:tabs>
              <w:spacing w:after="0"/>
              <w:jc w:val="right"/>
            </w:pPr>
            <w:r w:rsidRPr="002B45C1">
              <w:rPr>
                <w:rFonts w:ascii="Arial" w:hAnsi="Arial" w:cs="Arial"/>
                <w:color w:val="000000"/>
              </w:rPr>
              <w:t>$1,249,443</w:t>
            </w:r>
          </w:p>
        </w:tc>
      </w:tr>
    </w:tbl>
    <w:p w:rsidR="00721FDE" w:rsidRDefault="00721FDE" w:rsidP="00721FDE"/>
    <w:p w:rsidR="00721FDE" w:rsidRPr="00721FDE" w:rsidRDefault="00721FDE" w:rsidP="00721FDE">
      <w:pPr>
        <w:sectPr w:rsidR="00721FDE" w:rsidRPr="00721FDE" w:rsidSect="00C63D8C">
          <w:type w:val="continuous"/>
          <w:pgSz w:w="11906" w:h="16838"/>
          <w:pgMar w:top="992" w:right="1440" w:bottom="992" w:left="1440" w:header="709" w:footer="709" w:gutter="0"/>
          <w:cols w:space="708"/>
          <w:titlePg/>
          <w:docGrid w:linePitch="360"/>
        </w:sectPr>
      </w:pPr>
    </w:p>
    <w:p w:rsidR="00721FDE" w:rsidRPr="00721FDE" w:rsidRDefault="00721FDE" w:rsidP="00721FDE">
      <w:pPr>
        <w:pStyle w:val="Heading2"/>
        <w:spacing w:before="0"/>
        <w:rPr>
          <w:b w:val="0"/>
          <w:i/>
          <w:sz w:val="22"/>
          <w:szCs w:val="22"/>
        </w:rPr>
      </w:pPr>
      <w:r w:rsidRPr="00721FDE">
        <w:rPr>
          <w:b w:val="0"/>
          <w:i/>
          <w:sz w:val="22"/>
          <w:szCs w:val="22"/>
        </w:rPr>
        <w:t>Non-admitted maternity services</w:t>
      </w:r>
    </w:p>
    <w:p w:rsidR="00721FDE" w:rsidRDefault="00721FDE" w:rsidP="00721FDE">
      <w:r w:rsidRPr="00437449">
        <w:t xml:space="preserve">In 2014-15, there were two non-admitted maternity clinics – </w:t>
      </w:r>
      <w:r>
        <w:t xml:space="preserve">Tier 2 clinic </w:t>
      </w:r>
      <w:r w:rsidRPr="00437449">
        <w:t>20.40:</w:t>
      </w:r>
      <w:r>
        <w:t xml:space="preserve"> </w:t>
      </w:r>
      <w:r>
        <w:rPr>
          <w:i/>
        </w:rPr>
        <w:t>Obstetrics</w:t>
      </w:r>
      <w:r w:rsidRPr="00437449">
        <w:t xml:space="preserve">, and </w:t>
      </w:r>
      <w:r>
        <w:t xml:space="preserve">Tier 2 clinic </w:t>
      </w:r>
      <w:r w:rsidRPr="00437449">
        <w:t xml:space="preserve">40.28: </w:t>
      </w:r>
      <w:r>
        <w:rPr>
          <w:i/>
        </w:rPr>
        <w:t>M</w:t>
      </w:r>
      <w:r w:rsidRPr="00437449">
        <w:rPr>
          <w:i/>
        </w:rPr>
        <w:t>idwifery and maternity</w:t>
      </w:r>
      <w:r w:rsidRPr="00437449">
        <w:t>.</w:t>
      </w:r>
    </w:p>
    <w:p w:rsidR="00721FDE" w:rsidRDefault="00721FDE" w:rsidP="00721FDE">
      <w:r>
        <w:t>In 2015-16, two new maternity classes were introduced to the Tier 2 non</w:t>
      </w:r>
      <w:r>
        <w:noBreakHyphen/>
        <w:t xml:space="preserve">admitted classification in order to reflect the higher complexity of some maternity patients – Tier 2 clinic 20.53: </w:t>
      </w:r>
      <w:r>
        <w:rPr>
          <w:i/>
        </w:rPr>
        <w:t>O</w:t>
      </w:r>
      <w:r w:rsidRPr="00437449">
        <w:rPr>
          <w:i/>
        </w:rPr>
        <w:t>bstetrics – management of complex pregnancy</w:t>
      </w:r>
      <w:r w:rsidRPr="00437449">
        <w:t>,</w:t>
      </w:r>
      <w:r>
        <w:t xml:space="preserve"> and Tier 2 clinic 20.54: </w:t>
      </w:r>
      <w:r>
        <w:rPr>
          <w:i/>
        </w:rPr>
        <w:t>M</w:t>
      </w:r>
      <w:r w:rsidRPr="00437449">
        <w:rPr>
          <w:i/>
        </w:rPr>
        <w:t xml:space="preserve">aternal </w:t>
      </w:r>
      <w:proofErr w:type="spellStart"/>
      <w:r w:rsidRPr="00437449">
        <w:rPr>
          <w:i/>
        </w:rPr>
        <w:t>fetal</w:t>
      </w:r>
      <w:proofErr w:type="spellEnd"/>
      <w:r w:rsidRPr="00437449">
        <w:rPr>
          <w:i/>
        </w:rPr>
        <w:t xml:space="preserve"> medicine</w:t>
      </w:r>
      <w:r>
        <w:t>.</w:t>
      </w:r>
    </w:p>
    <w:p w:rsidR="00721FDE" w:rsidRDefault="00721FDE" w:rsidP="00721FDE">
      <w:pPr>
        <w:keepNext/>
      </w:pPr>
      <w:r>
        <w:t>The Administrator of the National Health Funding Pool has requested advice from IHPA on how the introduction of these clinics should be back</w:t>
      </w:r>
      <w:r>
        <w:noBreakHyphen/>
        <w:t>cast for 2014-15 for the purpose of calculating Commonwealth growth funding in 2015-16.</w:t>
      </w:r>
    </w:p>
    <w:p w:rsidR="00721FDE" w:rsidRDefault="00721FDE" w:rsidP="00721FDE">
      <w:pPr>
        <w:keepNext/>
      </w:pPr>
      <w:r>
        <w:t xml:space="preserve">IHPA has developed a methodology and provided this to the Administrator. The impact of applying this methodology at a jurisdictional level is shown below. IHPA has used aggregate data to calculate the </w:t>
      </w:r>
      <w:r>
        <w:lastRenderedPageBreak/>
        <w:t xml:space="preserve">service event numbers in Table 3, and </w:t>
      </w:r>
      <w:proofErr w:type="gramStart"/>
      <w:r>
        <w:t>notes that as the Administrator uses</w:t>
      </w:r>
      <w:proofErr w:type="gramEnd"/>
      <w:r>
        <w:t xml:space="preserve"> a combination of aggregate and patient-level data, their counts may vary slightly.</w:t>
      </w:r>
    </w:p>
    <w:p w:rsidR="00721FDE" w:rsidRDefault="00721FDE" w:rsidP="00721FDE">
      <w:pPr>
        <w:spacing w:before="120"/>
        <w:sectPr w:rsidR="00721FDE" w:rsidSect="00C63D8C">
          <w:type w:val="continuous"/>
          <w:pgSz w:w="11906" w:h="16838"/>
          <w:pgMar w:top="992" w:right="1440" w:bottom="992" w:left="1440" w:header="709" w:footer="709" w:gutter="0"/>
          <w:cols w:num="2" w:space="708"/>
          <w:titlePg/>
          <w:docGrid w:linePitch="360"/>
        </w:sectPr>
      </w:pPr>
      <w:r>
        <w:t>The number of service events in 2014-15 for clinics 20.40, 20.53 and 20.54 in Table 2 has been estimated by apportioning the total service event count for clinic 20.40 using the proportion of service events for the three clinics as reported in 2015-16 at a state level.</w:t>
      </w:r>
    </w:p>
    <w:p w:rsidR="00721FDE" w:rsidRDefault="00721FDE" w:rsidP="00721FDE">
      <w:pPr>
        <w:spacing w:before="120"/>
        <w:rPr>
          <w:b/>
        </w:rPr>
      </w:pPr>
      <w:r>
        <w:rPr>
          <w:b/>
        </w:rPr>
        <w:br w:type="page"/>
      </w:r>
    </w:p>
    <w:p w:rsidR="00721FDE" w:rsidRDefault="00721FDE" w:rsidP="00721FDE">
      <w:pPr>
        <w:spacing w:before="120"/>
        <w:rPr>
          <w:b/>
        </w:rPr>
        <w:sectPr w:rsidR="00721FDE" w:rsidSect="00C63D8C">
          <w:type w:val="continuous"/>
          <w:pgSz w:w="11906" w:h="16838"/>
          <w:pgMar w:top="992" w:right="1440" w:bottom="992" w:left="1440" w:header="709" w:footer="709" w:gutter="0"/>
          <w:cols w:num="2" w:space="708"/>
          <w:titlePg/>
          <w:docGrid w:linePitch="360"/>
        </w:sectPr>
      </w:pPr>
      <w:bookmarkStart w:id="0" w:name="_GoBack"/>
      <w:bookmarkEnd w:id="0"/>
    </w:p>
    <w:p w:rsidR="00721FDE" w:rsidRPr="00301278" w:rsidRDefault="00721FDE" w:rsidP="00721FDE">
      <w:pPr>
        <w:keepNext/>
        <w:spacing w:before="240"/>
        <w:rPr>
          <w:b/>
        </w:rPr>
      </w:pPr>
      <w:r w:rsidRPr="00301278">
        <w:rPr>
          <w:b/>
        </w:rPr>
        <w:t xml:space="preserve">Table </w:t>
      </w:r>
      <w:r>
        <w:rPr>
          <w:b/>
        </w:rPr>
        <w:t>3</w:t>
      </w:r>
      <w:r w:rsidRPr="00301278">
        <w:rPr>
          <w:b/>
        </w:rPr>
        <w:t xml:space="preserve">: </w:t>
      </w:r>
      <w:r>
        <w:rPr>
          <w:b/>
        </w:rPr>
        <w:t>Estimated number of service events for Tier 2 clinics 20.40, 20.53 and 20.54</w:t>
      </w:r>
    </w:p>
    <w:tbl>
      <w:tblPr>
        <w:tblW w:w="9071" w:type="dxa"/>
        <w:tblInd w:w="93" w:type="dxa"/>
        <w:tblLook w:val="04A0" w:firstRow="1" w:lastRow="0" w:firstColumn="1" w:lastColumn="0" w:noHBand="0" w:noVBand="1"/>
      </w:tblPr>
      <w:tblGrid>
        <w:gridCol w:w="3175"/>
        <w:gridCol w:w="1474"/>
        <w:gridCol w:w="1474"/>
        <w:gridCol w:w="1474"/>
        <w:gridCol w:w="1474"/>
      </w:tblGrid>
      <w:tr w:rsidR="00721FDE" w:rsidRPr="005C5158" w:rsidTr="00B458C8">
        <w:trPr>
          <w:trHeight w:val="300"/>
        </w:trPr>
        <w:tc>
          <w:tcPr>
            <w:tcW w:w="3175" w:type="dxa"/>
            <w:tcBorders>
              <w:bottom w:val="single" w:sz="4" w:space="0" w:color="auto"/>
              <w:right w:val="single" w:sz="4" w:space="0" w:color="auto"/>
            </w:tcBorders>
            <w:shd w:val="clear" w:color="auto" w:fill="auto"/>
            <w:noWrap/>
            <w:vAlign w:val="center"/>
          </w:tcPr>
          <w:p w:rsidR="00721FDE" w:rsidRPr="005C5158" w:rsidRDefault="00721FDE" w:rsidP="00B458C8">
            <w:pPr>
              <w:spacing w:after="0"/>
              <w:rPr>
                <w:rFonts w:eastAsia="Times New Roman" w:cstheme="minorHAnsi"/>
                <w:b/>
                <w:bCs/>
                <w:color w:val="000000"/>
                <w:lang w:eastAsia="en-AU"/>
              </w:rPr>
            </w:pPr>
          </w:p>
        </w:tc>
        <w:tc>
          <w:tcPr>
            <w:tcW w:w="1474" w:type="dxa"/>
            <w:tcBorders>
              <w:top w:val="single" w:sz="4" w:space="0" w:color="auto"/>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center"/>
              <w:rPr>
                <w:rFonts w:eastAsia="Times New Roman" w:cstheme="minorHAnsi"/>
                <w:b/>
                <w:bCs/>
                <w:color w:val="000000"/>
                <w:lang w:eastAsia="en-AU"/>
              </w:rPr>
            </w:pPr>
            <w:r>
              <w:rPr>
                <w:rFonts w:eastAsia="Times New Roman" w:cstheme="minorHAnsi"/>
                <w:b/>
                <w:bCs/>
                <w:color w:val="000000"/>
                <w:lang w:eastAsia="en-AU"/>
              </w:rPr>
              <w:t>Tier 2 c</w:t>
            </w:r>
            <w:r w:rsidRPr="005C5158">
              <w:rPr>
                <w:rFonts w:eastAsia="Times New Roman" w:cstheme="minorHAnsi"/>
                <w:b/>
                <w:bCs/>
                <w:color w:val="000000"/>
                <w:lang w:eastAsia="en-AU"/>
              </w:rPr>
              <w:t>linic</w:t>
            </w:r>
          </w:p>
        </w:tc>
        <w:tc>
          <w:tcPr>
            <w:tcW w:w="1474" w:type="dxa"/>
            <w:tcBorders>
              <w:top w:val="single" w:sz="4" w:space="0" w:color="auto"/>
              <w:left w:val="single" w:sz="4" w:space="0" w:color="auto"/>
              <w:bottom w:val="nil"/>
              <w:right w:val="single" w:sz="4" w:space="0" w:color="auto"/>
            </w:tcBorders>
          </w:tcPr>
          <w:p w:rsidR="00721FDE" w:rsidRPr="005C5158" w:rsidRDefault="00721FDE" w:rsidP="00B458C8">
            <w:pPr>
              <w:spacing w:after="0"/>
              <w:jc w:val="center"/>
              <w:rPr>
                <w:rFonts w:eastAsia="Times New Roman" w:cstheme="minorHAnsi"/>
                <w:b/>
                <w:bCs/>
                <w:color w:val="000000"/>
                <w:lang w:eastAsia="en-AU"/>
              </w:rPr>
            </w:pPr>
            <w:r>
              <w:rPr>
                <w:rFonts w:eastAsia="Times New Roman" w:cstheme="minorHAnsi"/>
                <w:b/>
                <w:bCs/>
                <w:color w:val="000000"/>
                <w:lang w:eastAsia="en-AU"/>
              </w:rPr>
              <w:t>2014-15 reported</w:t>
            </w:r>
          </w:p>
        </w:tc>
        <w:tc>
          <w:tcPr>
            <w:tcW w:w="1474" w:type="dxa"/>
            <w:tcBorders>
              <w:top w:val="single" w:sz="4" w:space="0" w:color="auto"/>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center"/>
              <w:rPr>
                <w:rFonts w:eastAsia="Times New Roman" w:cstheme="minorHAnsi"/>
                <w:b/>
                <w:bCs/>
                <w:color w:val="000000"/>
                <w:lang w:eastAsia="en-AU"/>
              </w:rPr>
            </w:pPr>
            <w:r w:rsidRPr="005C5158">
              <w:rPr>
                <w:rFonts w:eastAsia="Times New Roman" w:cstheme="minorHAnsi"/>
                <w:b/>
                <w:bCs/>
                <w:color w:val="000000"/>
                <w:lang w:eastAsia="en-AU"/>
              </w:rPr>
              <w:t>2014-15</w:t>
            </w:r>
            <w:r>
              <w:rPr>
                <w:rFonts w:eastAsia="Times New Roman" w:cstheme="minorHAnsi"/>
                <w:b/>
                <w:bCs/>
                <w:color w:val="000000"/>
                <w:lang w:eastAsia="en-AU"/>
              </w:rPr>
              <w:t xml:space="preserve"> back-cast</w:t>
            </w:r>
          </w:p>
        </w:tc>
        <w:tc>
          <w:tcPr>
            <w:tcW w:w="1474" w:type="dxa"/>
            <w:tcBorders>
              <w:top w:val="single" w:sz="4" w:space="0" w:color="auto"/>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center"/>
              <w:rPr>
                <w:rFonts w:eastAsia="Times New Roman" w:cstheme="minorHAnsi"/>
                <w:b/>
                <w:bCs/>
                <w:color w:val="000000"/>
                <w:lang w:eastAsia="en-AU"/>
              </w:rPr>
            </w:pPr>
            <w:r w:rsidRPr="005C5158">
              <w:rPr>
                <w:rFonts w:eastAsia="Times New Roman" w:cstheme="minorHAnsi"/>
                <w:b/>
                <w:bCs/>
                <w:color w:val="000000"/>
                <w:lang w:eastAsia="en-AU"/>
              </w:rPr>
              <w:t>2015-16</w:t>
            </w:r>
          </w:p>
        </w:tc>
      </w:tr>
      <w:tr w:rsidR="00721FDE" w:rsidRPr="005C5158" w:rsidTr="00B458C8">
        <w:trPr>
          <w:trHeight w:val="300"/>
        </w:trPr>
        <w:tc>
          <w:tcPr>
            <w:tcW w:w="3175" w:type="dxa"/>
            <w:vMerge w:val="restart"/>
            <w:tcBorders>
              <w:top w:val="single" w:sz="4" w:space="0" w:color="auto"/>
              <w:left w:val="single" w:sz="4" w:space="0" w:color="auto"/>
              <w:right w:val="single" w:sz="4" w:space="0" w:color="auto"/>
            </w:tcBorders>
            <w:shd w:val="clear" w:color="auto" w:fill="auto"/>
            <w:noWrap/>
            <w:vAlign w:val="center"/>
            <w:hideMark/>
          </w:tcPr>
          <w:p w:rsidR="00721FDE" w:rsidRPr="005C5158" w:rsidRDefault="00721FDE" w:rsidP="00B458C8">
            <w:pPr>
              <w:spacing w:after="0"/>
              <w:rPr>
                <w:rFonts w:eastAsia="Times New Roman" w:cstheme="minorHAnsi"/>
                <w:b/>
                <w:color w:val="000000"/>
                <w:lang w:eastAsia="en-AU"/>
              </w:rPr>
            </w:pPr>
            <w:r w:rsidRPr="005C5158">
              <w:rPr>
                <w:rFonts w:eastAsia="Times New Roman" w:cstheme="minorHAnsi"/>
                <w:b/>
                <w:color w:val="000000"/>
                <w:lang w:eastAsia="en-AU"/>
              </w:rPr>
              <w:t>New South Wales</w:t>
            </w:r>
          </w:p>
        </w:tc>
        <w:tc>
          <w:tcPr>
            <w:tcW w:w="1474" w:type="dxa"/>
            <w:tcBorders>
              <w:top w:val="single" w:sz="4" w:space="0" w:color="auto"/>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20.40</w:t>
            </w:r>
          </w:p>
        </w:tc>
        <w:tc>
          <w:tcPr>
            <w:tcW w:w="1474" w:type="dxa"/>
            <w:tcBorders>
              <w:top w:val="single" w:sz="4" w:space="0" w:color="auto"/>
              <w:left w:val="single" w:sz="4" w:space="0" w:color="auto"/>
              <w:bottom w:val="nil"/>
              <w:right w:val="single" w:sz="4" w:space="0" w:color="auto"/>
            </w:tcBorders>
          </w:tcPr>
          <w:p w:rsidR="00721FDE" w:rsidRPr="005C5158" w:rsidRDefault="00721FDE" w:rsidP="00B458C8">
            <w:pPr>
              <w:spacing w:after="0"/>
              <w:jc w:val="right"/>
              <w:rPr>
                <w:rFonts w:eastAsia="Times New Roman" w:cstheme="minorHAnsi"/>
                <w:color w:val="000000"/>
                <w:lang w:eastAsia="en-AU"/>
              </w:rPr>
            </w:pPr>
            <w:r>
              <w:rPr>
                <w:rFonts w:eastAsia="Times New Roman" w:cstheme="minorHAnsi"/>
                <w:color w:val="000000"/>
                <w:lang w:eastAsia="en-AU"/>
              </w:rPr>
              <w:t>318,850</w:t>
            </w:r>
          </w:p>
        </w:tc>
        <w:tc>
          <w:tcPr>
            <w:tcW w:w="1474" w:type="dxa"/>
            <w:tcBorders>
              <w:top w:val="single" w:sz="4" w:space="0" w:color="auto"/>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186,296</w:t>
            </w:r>
          </w:p>
        </w:tc>
        <w:tc>
          <w:tcPr>
            <w:tcW w:w="1474" w:type="dxa"/>
            <w:tcBorders>
              <w:top w:val="single" w:sz="4" w:space="0" w:color="auto"/>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157,687</w:t>
            </w:r>
          </w:p>
        </w:tc>
      </w:tr>
      <w:tr w:rsidR="00721FDE" w:rsidRPr="005C5158" w:rsidTr="00B458C8">
        <w:trPr>
          <w:trHeight w:val="300"/>
        </w:trPr>
        <w:tc>
          <w:tcPr>
            <w:tcW w:w="3175" w:type="dxa"/>
            <w:vMerge/>
            <w:tcBorders>
              <w:left w:val="single" w:sz="4" w:space="0" w:color="auto"/>
              <w:right w:val="single" w:sz="4" w:space="0" w:color="auto"/>
            </w:tcBorders>
            <w:shd w:val="clear" w:color="auto" w:fill="auto"/>
            <w:noWrap/>
            <w:vAlign w:val="center"/>
            <w:hideMark/>
          </w:tcPr>
          <w:p w:rsidR="00721FDE" w:rsidRPr="005C5158" w:rsidRDefault="00721FDE" w:rsidP="00B458C8">
            <w:pPr>
              <w:spacing w:after="0"/>
              <w:rPr>
                <w:rFonts w:eastAsia="Times New Roman" w:cstheme="minorHAnsi"/>
                <w:b/>
                <w:color w:val="000000"/>
                <w:lang w:eastAsia="en-AU"/>
              </w:rPr>
            </w:pP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20.53</w:t>
            </w:r>
          </w:p>
        </w:tc>
        <w:tc>
          <w:tcPr>
            <w:tcW w:w="1474" w:type="dxa"/>
            <w:tcBorders>
              <w:top w:val="nil"/>
              <w:left w:val="single" w:sz="4" w:space="0" w:color="auto"/>
              <w:bottom w:val="nil"/>
              <w:right w:val="single" w:sz="4" w:space="0" w:color="auto"/>
            </w:tcBorders>
          </w:tcPr>
          <w:p w:rsidR="00721FDE" w:rsidRPr="005C5158" w:rsidRDefault="00721FDE" w:rsidP="00B458C8">
            <w:pPr>
              <w:spacing w:after="0"/>
              <w:jc w:val="right"/>
              <w:rPr>
                <w:rFonts w:eastAsia="Times New Roman" w:cstheme="minorHAnsi"/>
                <w:color w:val="000000"/>
                <w:lang w:eastAsia="en-AU"/>
              </w:rPr>
            </w:pP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122,669</w:t>
            </w: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103,831</w:t>
            </w:r>
          </w:p>
        </w:tc>
      </w:tr>
      <w:tr w:rsidR="00721FDE" w:rsidRPr="005C5158" w:rsidTr="00B458C8">
        <w:trPr>
          <w:trHeight w:val="300"/>
        </w:trPr>
        <w:tc>
          <w:tcPr>
            <w:tcW w:w="3175" w:type="dxa"/>
            <w:vMerge/>
            <w:tcBorders>
              <w:left w:val="single" w:sz="4" w:space="0" w:color="auto"/>
              <w:bottom w:val="single" w:sz="4" w:space="0" w:color="auto"/>
              <w:right w:val="single" w:sz="4" w:space="0" w:color="auto"/>
            </w:tcBorders>
            <w:shd w:val="clear" w:color="auto" w:fill="auto"/>
            <w:noWrap/>
            <w:vAlign w:val="center"/>
            <w:hideMark/>
          </w:tcPr>
          <w:p w:rsidR="00721FDE" w:rsidRPr="005C5158" w:rsidRDefault="00721FDE" w:rsidP="00B458C8">
            <w:pPr>
              <w:spacing w:after="0"/>
              <w:rPr>
                <w:rFonts w:eastAsia="Times New Roman" w:cstheme="minorHAnsi"/>
                <w:b/>
                <w:color w:val="000000"/>
                <w:lang w:eastAsia="en-AU"/>
              </w:rPr>
            </w:pP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20.54</w:t>
            </w:r>
          </w:p>
        </w:tc>
        <w:tc>
          <w:tcPr>
            <w:tcW w:w="1474" w:type="dxa"/>
            <w:tcBorders>
              <w:top w:val="nil"/>
              <w:left w:val="single" w:sz="4" w:space="0" w:color="auto"/>
              <w:bottom w:val="single" w:sz="4" w:space="0" w:color="auto"/>
              <w:right w:val="single" w:sz="4" w:space="0" w:color="auto"/>
            </w:tcBorders>
          </w:tcPr>
          <w:p w:rsidR="00721FDE" w:rsidRPr="005C5158" w:rsidRDefault="00721FDE" w:rsidP="00B458C8">
            <w:pPr>
              <w:spacing w:after="0"/>
              <w:jc w:val="right"/>
              <w:rPr>
                <w:rFonts w:eastAsia="Times New Roman" w:cstheme="minorHAnsi"/>
                <w:color w:val="000000"/>
                <w:lang w:eastAsia="en-AU"/>
              </w:rPr>
            </w:pP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9,885</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8,367</w:t>
            </w:r>
          </w:p>
        </w:tc>
      </w:tr>
      <w:tr w:rsidR="00721FDE" w:rsidRPr="005C5158" w:rsidTr="00B458C8">
        <w:trPr>
          <w:trHeight w:val="300"/>
        </w:trPr>
        <w:tc>
          <w:tcPr>
            <w:tcW w:w="3175" w:type="dxa"/>
            <w:vMerge w:val="restart"/>
            <w:tcBorders>
              <w:top w:val="nil"/>
              <w:left w:val="single" w:sz="4" w:space="0" w:color="auto"/>
              <w:right w:val="single" w:sz="4" w:space="0" w:color="auto"/>
            </w:tcBorders>
            <w:shd w:val="clear" w:color="auto" w:fill="auto"/>
            <w:noWrap/>
            <w:vAlign w:val="center"/>
            <w:hideMark/>
          </w:tcPr>
          <w:p w:rsidR="00721FDE" w:rsidRPr="005C5158" w:rsidRDefault="00721FDE" w:rsidP="00B458C8">
            <w:pPr>
              <w:spacing w:after="0"/>
              <w:rPr>
                <w:rFonts w:eastAsia="Times New Roman" w:cstheme="minorHAnsi"/>
                <w:b/>
                <w:color w:val="000000"/>
                <w:lang w:eastAsia="en-AU"/>
              </w:rPr>
            </w:pPr>
            <w:r w:rsidRPr="005C5158">
              <w:rPr>
                <w:rFonts w:eastAsia="Times New Roman" w:cstheme="minorHAnsi"/>
                <w:b/>
                <w:color w:val="000000"/>
                <w:lang w:eastAsia="en-AU"/>
              </w:rPr>
              <w:t>Victoria</w:t>
            </w: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20.40</w:t>
            </w:r>
          </w:p>
        </w:tc>
        <w:tc>
          <w:tcPr>
            <w:tcW w:w="1474" w:type="dxa"/>
            <w:tcBorders>
              <w:top w:val="nil"/>
              <w:left w:val="single" w:sz="4" w:space="0" w:color="auto"/>
              <w:bottom w:val="nil"/>
              <w:right w:val="single" w:sz="4" w:space="0" w:color="auto"/>
            </w:tcBorders>
          </w:tcPr>
          <w:p w:rsidR="00721FDE" w:rsidRPr="005C5158" w:rsidRDefault="00721FDE" w:rsidP="00B458C8">
            <w:pPr>
              <w:spacing w:after="0"/>
              <w:jc w:val="right"/>
              <w:rPr>
                <w:rFonts w:eastAsia="Times New Roman" w:cstheme="minorHAnsi"/>
                <w:color w:val="000000"/>
                <w:lang w:eastAsia="en-AU"/>
              </w:rPr>
            </w:pPr>
            <w:r>
              <w:rPr>
                <w:rFonts w:eastAsia="Times New Roman" w:cstheme="minorHAnsi"/>
                <w:color w:val="000000"/>
                <w:lang w:eastAsia="en-AU"/>
              </w:rPr>
              <w:t>231,545</w:t>
            </w: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104,779</w:t>
            </w: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107,583</w:t>
            </w:r>
          </w:p>
        </w:tc>
      </w:tr>
      <w:tr w:rsidR="00721FDE" w:rsidRPr="005C5158" w:rsidTr="00B458C8">
        <w:trPr>
          <w:trHeight w:val="300"/>
        </w:trPr>
        <w:tc>
          <w:tcPr>
            <w:tcW w:w="3175" w:type="dxa"/>
            <w:vMerge/>
            <w:tcBorders>
              <w:left w:val="single" w:sz="4" w:space="0" w:color="auto"/>
              <w:right w:val="single" w:sz="4" w:space="0" w:color="auto"/>
            </w:tcBorders>
            <w:shd w:val="clear" w:color="auto" w:fill="auto"/>
            <w:noWrap/>
            <w:vAlign w:val="center"/>
            <w:hideMark/>
          </w:tcPr>
          <w:p w:rsidR="00721FDE" w:rsidRPr="005C5158" w:rsidRDefault="00721FDE" w:rsidP="00B458C8">
            <w:pPr>
              <w:spacing w:after="0"/>
              <w:rPr>
                <w:rFonts w:eastAsia="Times New Roman" w:cstheme="minorHAnsi"/>
                <w:b/>
                <w:color w:val="000000"/>
                <w:lang w:eastAsia="en-AU"/>
              </w:rPr>
            </w:pP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20.53</w:t>
            </w:r>
          </w:p>
        </w:tc>
        <w:tc>
          <w:tcPr>
            <w:tcW w:w="1474" w:type="dxa"/>
            <w:tcBorders>
              <w:top w:val="nil"/>
              <w:left w:val="single" w:sz="4" w:space="0" w:color="auto"/>
              <w:bottom w:val="nil"/>
              <w:right w:val="single" w:sz="4" w:space="0" w:color="auto"/>
            </w:tcBorders>
          </w:tcPr>
          <w:p w:rsidR="00721FDE" w:rsidRPr="005C5158" w:rsidRDefault="00721FDE" w:rsidP="00B458C8">
            <w:pPr>
              <w:spacing w:after="0"/>
              <w:jc w:val="right"/>
              <w:rPr>
                <w:rFonts w:eastAsia="Times New Roman" w:cstheme="minorHAnsi"/>
                <w:color w:val="000000"/>
                <w:lang w:eastAsia="en-AU"/>
              </w:rPr>
            </w:pP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114,816</w:t>
            </w: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117,888</w:t>
            </w:r>
          </w:p>
        </w:tc>
      </w:tr>
      <w:tr w:rsidR="00721FDE" w:rsidRPr="005C5158" w:rsidTr="00B458C8">
        <w:trPr>
          <w:trHeight w:val="300"/>
        </w:trPr>
        <w:tc>
          <w:tcPr>
            <w:tcW w:w="3175" w:type="dxa"/>
            <w:vMerge/>
            <w:tcBorders>
              <w:left w:val="single" w:sz="4" w:space="0" w:color="auto"/>
              <w:bottom w:val="single" w:sz="4" w:space="0" w:color="auto"/>
              <w:right w:val="single" w:sz="4" w:space="0" w:color="auto"/>
            </w:tcBorders>
            <w:shd w:val="clear" w:color="auto" w:fill="auto"/>
            <w:noWrap/>
            <w:vAlign w:val="center"/>
            <w:hideMark/>
          </w:tcPr>
          <w:p w:rsidR="00721FDE" w:rsidRPr="005C5158" w:rsidRDefault="00721FDE" w:rsidP="00B458C8">
            <w:pPr>
              <w:spacing w:after="0"/>
              <w:rPr>
                <w:rFonts w:eastAsia="Times New Roman" w:cstheme="minorHAnsi"/>
                <w:b/>
                <w:color w:val="000000"/>
                <w:lang w:eastAsia="en-AU"/>
              </w:rPr>
            </w:pP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20.54</w:t>
            </w:r>
          </w:p>
        </w:tc>
        <w:tc>
          <w:tcPr>
            <w:tcW w:w="1474" w:type="dxa"/>
            <w:tcBorders>
              <w:top w:val="nil"/>
              <w:left w:val="single" w:sz="4" w:space="0" w:color="auto"/>
              <w:bottom w:val="single" w:sz="4" w:space="0" w:color="auto"/>
              <w:right w:val="single" w:sz="4" w:space="0" w:color="auto"/>
            </w:tcBorders>
          </w:tcPr>
          <w:p w:rsidR="00721FDE" w:rsidRPr="005C5158" w:rsidRDefault="00721FDE" w:rsidP="00B458C8">
            <w:pPr>
              <w:spacing w:after="0"/>
              <w:jc w:val="right"/>
              <w:rPr>
                <w:rFonts w:eastAsia="Times New Roman" w:cstheme="minorHAnsi"/>
                <w:color w:val="000000"/>
                <w:lang w:eastAsia="en-AU"/>
              </w:rPr>
            </w:pP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11,950</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12,270</w:t>
            </w:r>
          </w:p>
        </w:tc>
      </w:tr>
      <w:tr w:rsidR="00721FDE" w:rsidRPr="005C5158" w:rsidTr="00B458C8">
        <w:trPr>
          <w:trHeight w:val="300"/>
        </w:trPr>
        <w:tc>
          <w:tcPr>
            <w:tcW w:w="3175" w:type="dxa"/>
            <w:vMerge w:val="restart"/>
            <w:tcBorders>
              <w:top w:val="nil"/>
              <w:left w:val="single" w:sz="4" w:space="0" w:color="auto"/>
              <w:right w:val="single" w:sz="4" w:space="0" w:color="auto"/>
            </w:tcBorders>
            <w:shd w:val="clear" w:color="auto" w:fill="auto"/>
            <w:noWrap/>
            <w:vAlign w:val="center"/>
            <w:hideMark/>
          </w:tcPr>
          <w:p w:rsidR="00721FDE" w:rsidRPr="005C5158" w:rsidRDefault="00721FDE" w:rsidP="00B458C8">
            <w:pPr>
              <w:spacing w:after="0"/>
              <w:rPr>
                <w:rFonts w:eastAsia="Times New Roman" w:cstheme="minorHAnsi"/>
                <w:b/>
                <w:color w:val="000000"/>
                <w:lang w:eastAsia="en-AU"/>
              </w:rPr>
            </w:pPr>
            <w:r>
              <w:rPr>
                <w:rFonts w:eastAsia="Times New Roman" w:cstheme="minorHAnsi"/>
                <w:b/>
                <w:color w:val="000000"/>
                <w:lang w:eastAsia="en-AU"/>
              </w:rPr>
              <w:t>Queensland</w:t>
            </w: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20.40</w:t>
            </w:r>
          </w:p>
        </w:tc>
        <w:tc>
          <w:tcPr>
            <w:tcW w:w="1474" w:type="dxa"/>
            <w:tcBorders>
              <w:top w:val="nil"/>
              <w:left w:val="single" w:sz="4" w:space="0" w:color="auto"/>
              <w:bottom w:val="nil"/>
              <w:right w:val="single" w:sz="4" w:space="0" w:color="auto"/>
            </w:tcBorders>
          </w:tcPr>
          <w:p w:rsidR="00721FDE" w:rsidRPr="005C5158" w:rsidRDefault="00721FDE" w:rsidP="00B458C8">
            <w:pPr>
              <w:spacing w:after="0"/>
              <w:jc w:val="right"/>
              <w:rPr>
                <w:rFonts w:eastAsia="Times New Roman" w:cstheme="minorHAnsi"/>
                <w:color w:val="000000"/>
                <w:lang w:eastAsia="en-AU"/>
              </w:rPr>
            </w:pPr>
            <w:r>
              <w:rPr>
                <w:rFonts w:eastAsia="Times New Roman" w:cstheme="minorHAnsi"/>
                <w:color w:val="000000"/>
                <w:lang w:eastAsia="en-AU"/>
              </w:rPr>
              <w:t>99,777</w:t>
            </w: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81,498</w:t>
            </w: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89,722</w:t>
            </w:r>
          </w:p>
        </w:tc>
      </w:tr>
      <w:tr w:rsidR="00721FDE" w:rsidRPr="005C5158" w:rsidTr="00B458C8">
        <w:trPr>
          <w:trHeight w:val="300"/>
        </w:trPr>
        <w:tc>
          <w:tcPr>
            <w:tcW w:w="3175" w:type="dxa"/>
            <w:vMerge/>
            <w:tcBorders>
              <w:left w:val="single" w:sz="4" w:space="0" w:color="auto"/>
              <w:right w:val="single" w:sz="4" w:space="0" w:color="auto"/>
            </w:tcBorders>
            <w:shd w:val="clear" w:color="auto" w:fill="auto"/>
            <w:noWrap/>
            <w:vAlign w:val="center"/>
            <w:hideMark/>
          </w:tcPr>
          <w:p w:rsidR="00721FDE" w:rsidRPr="005C5158" w:rsidRDefault="00721FDE" w:rsidP="00B458C8">
            <w:pPr>
              <w:spacing w:after="0"/>
              <w:rPr>
                <w:rFonts w:eastAsia="Times New Roman" w:cstheme="minorHAnsi"/>
                <w:b/>
                <w:color w:val="000000"/>
                <w:lang w:eastAsia="en-AU"/>
              </w:rPr>
            </w:pP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20.53</w:t>
            </w:r>
          </w:p>
        </w:tc>
        <w:tc>
          <w:tcPr>
            <w:tcW w:w="1474" w:type="dxa"/>
            <w:tcBorders>
              <w:top w:val="nil"/>
              <w:left w:val="single" w:sz="4" w:space="0" w:color="auto"/>
              <w:bottom w:val="nil"/>
              <w:right w:val="single" w:sz="4" w:space="0" w:color="auto"/>
            </w:tcBorders>
          </w:tcPr>
          <w:p w:rsidR="00721FDE" w:rsidRPr="005C5158" w:rsidRDefault="00721FDE" w:rsidP="00B458C8">
            <w:pPr>
              <w:spacing w:after="0"/>
              <w:jc w:val="right"/>
              <w:rPr>
                <w:rFonts w:eastAsia="Times New Roman" w:cstheme="minorHAnsi"/>
                <w:color w:val="000000"/>
                <w:lang w:eastAsia="en-AU"/>
              </w:rPr>
            </w:pP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16,088</w:t>
            </w: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17,711</w:t>
            </w:r>
          </w:p>
        </w:tc>
      </w:tr>
      <w:tr w:rsidR="00721FDE" w:rsidRPr="005C5158" w:rsidTr="00B458C8">
        <w:trPr>
          <w:trHeight w:val="300"/>
        </w:trPr>
        <w:tc>
          <w:tcPr>
            <w:tcW w:w="3175" w:type="dxa"/>
            <w:vMerge/>
            <w:tcBorders>
              <w:left w:val="single" w:sz="4" w:space="0" w:color="auto"/>
              <w:bottom w:val="single" w:sz="4" w:space="0" w:color="auto"/>
              <w:right w:val="single" w:sz="4" w:space="0" w:color="auto"/>
            </w:tcBorders>
            <w:shd w:val="clear" w:color="auto" w:fill="auto"/>
            <w:noWrap/>
            <w:vAlign w:val="center"/>
            <w:hideMark/>
          </w:tcPr>
          <w:p w:rsidR="00721FDE" w:rsidRPr="005C5158" w:rsidRDefault="00721FDE" w:rsidP="00B458C8">
            <w:pPr>
              <w:spacing w:after="0"/>
              <w:rPr>
                <w:rFonts w:eastAsia="Times New Roman" w:cstheme="minorHAnsi"/>
                <w:b/>
                <w:color w:val="000000"/>
                <w:lang w:eastAsia="en-AU"/>
              </w:rPr>
            </w:pP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20.54</w:t>
            </w:r>
          </w:p>
        </w:tc>
        <w:tc>
          <w:tcPr>
            <w:tcW w:w="1474" w:type="dxa"/>
            <w:tcBorders>
              <w:top w:val="nil"/>
              <w:left w:val="single" w:sz="4" w:space="0" w:color="auto"/>
              <w:bottom w:val="single" w:sz="4" w:space="0" w:color="auto"/>
              <w:right w:val="single" w:sz="4" w:space="0" w:color="auto"/>
            </w:tcBorders>
          </w:tcPr>
          <w:p w:rsidR="00721FDE" w:rsidRPr="005C5158" w:rsidRDefault="00721FDE" w:rsidP="00B458C8">
            <w:pPr>
              <w:spacing w:after="0"/>
              <w:jc w:val="right"/>
              <w:rPr>
                <w:rFonts w:eastAsia="Times New Roman" w:cstheme="minorHAnsi"/>
                <w:color w:val="000000"/>
                <w:lang w:eastAsia="en-AU"/>
              </w:rPr>
            </w:pP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2,191</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2,412</w:t>
            </w:r>
          </w:p>
        </w:tc>
      </w:tr>
      <w:tr w:rsidR="00721FDE" w:rsidRPr="005C5158" w:rsidTr="00B458C8">
        <w:trPr>
          <w:trHeight w:val="300"/>
        </w:trPr>
        <w:tc>
          <w:tcPr>
            <w:tcW w:w="3175" w:type="dxa"/>
            <w:vMerge w:val="restart"/>
            <w:tcBorders>
              <w:top w:val="nil"/>
              <w:left w:val="single" w:sz="4" w:space="0" w:color="auto"/>
              <w:right w:val="single" w:sz="4" w:space="0" w:color="auto"/>
            </w:tcBorders>
            <w:shd w:val="clear" w:color="auto" w:fill="auto"/>
            <w:noWrap/>
            <w:vAlign w:val="center"/>
            <w:hideMark/>
          </w:tcPr>
          <w:p w:rsidR="00721FDE" w:rsidRPr="005C5158" w:rsidRDefault="00721FDE" w:rsidP="00B458C8">
            <w:pPr>
              <w:spacing w:after="0"/>
              <w:rPr>
                <w:rFonts w:eastAsia="Times New Roman" w:cstheme="minorHAnsi"/>
                <w:b/>
                <w:color w:val="000000"/>
                <w:lang w:eastAsia="en-AU"/>
              </w:rPr>
            </w:pPr>
            <w:r w:rsidRPr="005C5158">
              <w:rPr>
                <w:rFonts w:eastAsia="Times New Roman" w:cstheme="minorHAnsi"/>
                <w:b/>
                <w:color w:val="000000"/>
                <w:lang w:eastAsia="en-AU"/>
              </w:rPr>
              <w:t>South Australia</w:t>
            </w: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20.40</w:t>
            </w:r>
          </w:p>
        </w:tc>
        <w:tc>
          <w:tcPr>
            <w:tcW w:w="1474" w:type="dxa"/>
            <w:tcBorders>
              <w:top w:val="nil"/>
              <w:left w:val="single" w:sz="4" w:space="0" w:color="auto"/>
              <w:bottom w:val="nil"/>
              <w:right w:val="single" w:sz="4" w:space="0" w:color="auto"/>
            </w:tcBorders>
          </w:tcPr>
          <w:p w:rsidR="00721FDE" w:rsidRPr="005C5158" w:rsidRDefault="00721FDE" w:rsidP="00B458C8">
            <w:pPr>
              <w:spacing w:after="0"/>
              <w:jc w:val="right"/>
              <w:rPr>
                <w:rFonts w:eastAsia="Times New Roman" w:cstheme="minorHAnsi"/>
                <w:color w:val="000000"/>
                <w:lang w:eastAsia="en-AU"/>
              </w:rPr>
            </w:pPr>
            <w:r>
              <w:rPr>
                <w:rFonts w:eastAsia="Times New Roman" w:cstheme="minorHAnsi"/>
                <w:color w:val="000000"/>
                <w:lang w:eastAsia="en-AU"/>
              </w:rPr>
              <w:t>68,879</w:t>
            </w: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48,967</w:t>
            </w: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38,963</w:t>
            </w:r>
          </w:p>
        </w:tc>
      </w:tr>
      <w:tr w:rsidR="00721FDE" w:rsidRPr="005C5158" w:rsidTr="00B458C8">
        <w:trPr>
          <w:trHeight w:val="300"/>
        </w:trPr>
        <w:tc>
          <w:tcPr>
            <w:tcW w:w="3175" w:type="dxa"/>
            <w:vMerge/>
            <w:tcBorders>
              <w:left w:val="single" w:sz="4" w:space="0" w:color="auto"/>
              <w:right w:val="single" w:sz="4" w:space="0" w:color="auto"/>
            </w:tcBorders>
            <w:shd w:val="clear" w:color="auto" w:fill="auto"/>
            <w:noWrap/>
            <w:vAlign w:val="center"/>
            <w:hideMark/>
          </w:tcPr>
          <w:p w:rsidR="00721FDE" w:rsidRPr="005C5158" w:rsidRDefault="00721FDE" w:rsidP="00B458C8">
            <w:pPr>
              <w:spacing w:after="0"/>
              <w:rPr>
                <w:rFonts w:eastAsia="Times New Roman" w:cstheme="minorHAnsi"/>
                <w:b/>
                <w:color w:val="000000"/>
                <w:lang w:eastAsia="en-AU"/>
              </w:rPr>
            </w:pP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20.53</w:t>
            </w:r>
          </w:p>
        </w:tc>
        <w:tc>
          <w:tcPr>
            <w:tcW w:w="1474" w:type="dxa"/>
            <w:tcBorders>
              <w:top w:val="nil"/>
              <w:left w:val="single" w:sz="4" w:space="0" w:color="auto"/>
              <w:bottom w:val="nil"/>
              <w:right w:val="single" w:sz="4" w:space="0" w:color="auto"/>
            </w:tcBorders>
          </w:tcPr>
          <w:p w:rsidR="00721FDE" w:rsidRPr="005C5158" w:rsidRDefault="00721FDE" w:rsidP="00B458C8">
            <w:pPr>
              <w:spacing w:after="0"/>
              <w:jc w:val="right"/>
              <w:rPr>
                <w:rFonts w:eastAsia="Times New Roman" w:cstheme="minorHAnsi"/>
                <w:color w:val="000000"/>
                <w:lang w:eastAsia="en-AU"/>
              </w:rPr>
            </w:pP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19,374</w:t>
            </w: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15,416</w:t>
            </w:r>
          </w:p>
        </w:tc>
      </w:tr>
      <w:tr w:rsidR="00721FDE" w:rsidRPr="005C5158" w:rsidTr="00B458C8">
        <w:trPr>
          <w:trHeight w:val="300"/>
        </w:trPr>
        <w:tc>
          <w:tcPr>
            <w:tcW w:w="3175" w:type="dxa"/>
            <w:vMerge/>
            <w:tcBorders>
              <w:left w:val="single" w:sz="4" w:space="0" w:color="auto"/>
              <w:bottom w:val="single" w:sz="4" w:space="0" w:color="auto"/>
              <w:right w:val="single" w:sz="4" w:space="0" w:color="auto"/>
            </w:tcBorders>
            <w:shd w:val="clear" w:color="auto" w:fill="auto"/>
            <w:noWrap/>
            <w:vAlign w:val="center"/>
            <w:hideMark/>
          </w:tcPr>
          <w:p w:rsidR="00721FDE" w:rsidRPr="005C5158" w:rsidRDefault="00721FDE" w:rsidP="00B458C8">
            <w:pPr>
              <w:spacing w:after="0"/>
              <w:rPr>
                <w:rFonts w:eastAsia="Times New Roman" w:cstheme="minorHAnsi"/>
                <w:b/>
                <w:color w:val="000000"/>
                <w:lang w:eastAsia="en-AU"/>
              </w:rPr>
            </w:pP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20.54</w:t>
            </w:r>
          </w:p>
        </w:tc>
        <w:tc>
          <w:tcPr>
            <w:tcW w:w="1474" w:type="dxa"/>
            <w:tcBorders>
              <w:top w:val="nil"/>
              <w:left w:val="single" w:sz="4" w:space="0" w:color="auto"/>
              <w:bottom w:val="single" w:sz="4" w:space="0" w:color="auto"/>
              <w:right w:val="single" w:sz="4" w:space="0" w:color="auto"/>
            </w:tcBorders>
          </w:tcPr>
          <w:p w:rsidR="00721FDE" w:rsidRPr="005C5158" w:rsidRDefault="00721FDE" w:rsidP="00B458C8">
            <w:pPr>
              <w:spacing w:after="0"/>
              <w:jc w:val="right"/>
              <w:rPr>
                <w:rFonts w:eastAsia="Times New Roman" w:cstheme="minorHAnsi"/>
                <w:color w:val="000000"/>
                <w:lang w:eastAsia="en-AU"/>
              </w:rPr>
            </w:pP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538</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428</w:t>
            </w:r>
          </w:p>
        </w:tc>
      </w:tr>
      <w:tr w:rsidR="00721FDE" w:rsidRPr="005C5158" w:rsidTr="00B458C8">
        <w:trPr>
          <w:trHeight w:val="300"/>
        </w:trPr>
        <w:tc>
          <w:tcPr>
            <w:tcW w:w="3175" w:type="dxa"/>
            <w:vMerge w:val="restart"/>
            <w:tcBorders>
              <w:top w:val="nil"/>
              <w:left w:val="single" w:sz="4" w:space="0" w:color="auto"/>
              <w:right w:val="single" w:sz="4" w:space="0" w:color="auto"/>
            </w:tcBorders>
            <w:shd w:val="clear" w:color="auto" w:fill="auto"/>
            <w:noWrap/>
            <w:vAlign w:val="center"/>
            <w:hideMark/>
          </w:tcPr>
          <w:p w:rsidR="00721FDE" w:rsidRPr="005C5158" w:rsidRDefault="00721FDE" w:rsidP="00B458C8">
            <w:pPr>
              <w:spacing w:after="0"/>
              <w:rPr>
                <w:rFonts w:eastAsia="Times New Roman" w:cstheme="minorHAnsi"/>
                <w:b/>
                <w:color w:val="000000"/>
                <w:lang w:eastAsia="en-AU"/>
              </w:rPr>
            </w:pPr>
            <w:r w:rsidRPr="005C5158">
              <w:rPr>
                <w:rFonts w:eastAsia="Times New Roman" w:cstheme="minorHAnsi"/>
                <w:b/>
                <w:color w:val="000000"/>
                <w:lang w:eastAsia="en-AU"/>
              </w:rPr>
              <w:t>Western Australia</w:t>
            </w: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20.40</w:t>
            </w:r>
          </w:p>
        </w:tc>
        <w:tc>
          <w:tcPr>
            <w:tcW w:w="1474" w:type="dxa"/>
            <w:tcBorders>
              <w:top w:val="nil"/>
              <w:left w:val="single" w:sz="4" w:space="0" w:color="auto"/>
              <w:bottom w:val="nil"/>
              <w:right w:val="single" w:sz="4" w:space="0" w:color="auto"/>
            </w:tcBorders>
          </w:tcPr>
          <w:p w:rsidR="00721FDE" w:rsidRPr="005C5158" w:rsidRDefault="00721FDE" w:rsidP="00B458C8">
            <w:pPr>
              <w:spacing w:after="0"/>
              <w:jc w:val="right"/>
              <w:rPr>
                <w:rFonts w:eastAsia="Times New Roman" w:cstheme="minorHAnsi"/>
                <w:color w:val="000000"/>
                <w:lang w:eastAsia="en-AU"/>
              </w:rPr>
            </w:pPr>
            <w:r>
              <w:rPr>
                <w:rFonts w:eastAsia="Times New Roman" w:cstheme="minorHAnsi"/>
                <w:color w:val="000000"/>
                <w:lang w:eastAsia="en-AU"/>
              </w:rPr>
              <w:t>77,290</w:t>
            </w: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41,744</w:t>
            </w: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45,996</w:t>
            </w:r>
          </w:p>
        </w:tc>
      </w:tr>
      <w:tr w:rsidR="00721FDE" w:rsidRPr="005C5158" w:rsidTr="00B458C8">
        <w:trPr>
          <w:trHeight w:val="300"/>
        </w:trPr>
        <w:tc>
          <w:tcPr>
            <w:tcW w:w="3175" w:type="dxa"/>
            <w:vMerge/>
            <w:tcBorders>
              <w:left w:val="single" w:sz="4" w:space="0" w:color="auto"/>
              <w:right w:val="single" w:sz="4" w:space="0" w:color="auto"/>
            </w:tcBorders>
            <w:shd w:val="clear" w:color="auto" w:fill="auto"/>
            <w:noWrap/>
            <w:vAlign w:val="center"/>
            <w:hideMark/>
          </w:tcPr>
          <w:p w:rsidR="00721FDE" w:rsidRPr="005C5158" w:rsidRDefault="00721FDE" w:rsidP="00B458C8">
            <w:pPr>
              <w:spacing w:after="0"/>
              <w:rPr>
                <w:rFonts w:eastAsia="Times New Roman" w:cstheme="minorHAnsi"/>
                <w:b/>
                <w:color w:val="000000"/>
                <w:lang w:eastAsia="en-AU"/>
              </w:rPr>
            </w:pP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20.53</w:t>
            </w:r>
          </w:p>
        </w:tc>
        <w:tc>
          <w:tcPr>
            <w:tcW w:w="1474" w:type="dxa"/>
            <w:tcBorders>
              <w:top w:val="nil"/>
              <w:left w:val="single" w:sz="4" w:space="0" w:color="auto"/>
              <w:bottom w:val="nil"/>
              <w:right w:val="single" w:sz="4" w:space="0" w:color="auto"/>
            </w:tcBorders>
          </w:tcPr>
          <w:p w:rsidR="00721FDE" w:rsidRPr="005C5158" w:rsidRDefault="00721FDE" w:rsidP="00B458C8">
            <w:pPr>
              <w:spacing w:after="0"/>
              <w:jc w:val="right"/>
              <w:rPr>
                <w:rFonts w:eastAsia="Times New Roman" w:cstheme="minorHAnsi"/>
                <w:color w:val="000000"/>
                <w:lang w:eastAsia="en-AU"/>
              </w:rPr>
            </w:pP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31,634</w:t>
            </w: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34,856</w:t>
            </w:r>
          </w:p>
        </w:tc>
      </w:tr>
      <w:tr w:rsidR="00721FDE" w:rsidRPr="005C5158" w:rsidTr="00B458C8">
        <w:trPr>
          <w:trHeight w:val="300"/>
        </w:trPr>
        <w:tc>
          <w:tcPr>
            <w:tcW w:w="3175" w:type="dxa"/>
            <w:vMerge/>
            <w:tcBorders>
              <w:left w:val="single" w:sz="4" w:space="0" w:color="auto"/>
              <w:bottom w:val="single" w:sz="4" w:space="0" w:color="auto"/>
              <w:right w:val="single" w:sz="4" w:space="0" w:color="auto"/>
            </w:tcBorders>
            <w:shd w:val="clear" w:color="auto" w:fill="auto"/>
            <w:noWrap/>
            <w:vAlign w:val="center"/>
            <w:hideMark/>
          </w:tcPr>
          <w:p w:rsidR="00721FDE" w:rsidRPr="005C5158" w:rsidRDefault="00721FDE" w:rsidP="00B458C8">
            <w:pPr>
              <w:spacing w:after="0"/>
              <w:rPr>
                <w:rFonts w:eastAsia="Times New Roman" w:cstheme="minorHAnsi"/>
                <w:b/>
                <w:color w:val="000000"/>
                <w:lang w:eastAsia="en-AU"/>
              </w:rPr>
            </w:pP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20.54</w:t>
            </w:r>
          </w:p>
        </w:tc>
        <w:tc>
          <w:tcPr>
            <w:tcW w:w="1474" w:type="dxa"/>
            <w:tcBorders>
              <w:top w:val="nil"/>
              <w:left w:val="single" w:sz="4" w:space="0" w:color="auto"/>
              <w:bottom w:val="single" w:sz="4" w:space="0" w:color="auto"/>
              <w:right w:val="single" w:sz="4" w:space="0" w:color="auto"/>
            </w:tcBorders>
          </w:tcPr>
          <w:p w:rsidR="00721FDE" w:rsidRPr="005C5158" w:rsidRDefault="00721FDE" w:rsidP="00B458C8">
            <w:pPr>
              <w:spacing w:after="0"/>
              <w:jc w:val="right"/>
              <w:rPr>
                <w:rFonts w:eastAsia="Times New Roman" w:cstheme="minorHAnsi"/>
                <w:color w:val="000000"/>
                <w:lang w:eastAsia="en-AU"/>
              </w:rPr>
            </w:pP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3,912</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4,311</w:t>
            </w:r>
          </w:p>
        </w:tc>
      </w:tr>
      <w:tr w:rsidR="00721FDE" w:rsidRPr="005C5158" w:rsidTr="00B458C8">
        <w:trPr>
          <w:trHeight w:val="300"/>
        </w:trPr>
        <w:tc>
          <w:tcPr>
            <w:tcW w:w="3175" w:type="dxa"/>
            <w:vMerge w:val="restart"/>
            <w:tcBorders>
              <w:top w:val="nil"/>
              <w:left w:val="single" w:sz="4" w:space="0" w:color="auto"/>
              <w:right w:val="single" w:sz="4" w:space="0" w:color="auto"/>
            </w:tcBorders>
            <w:shd w:val="clear" w:color="auto" w:fill="auto"/>
            <w:noWrap/>
            <w:vAlign w:val="center"/>
            <w:hideMark/>
          </w:tcPr>
          <w:p w:rsidR="00721FDE" w:rsidRPr="005C5158" w:rsidRDefault="00721FDE" w:rsidP="00B458C8">
            <w:pPr>
              <w:spacing w:after="0"/>
              <w:rPr>
                <w:rFonts w:eastAsia="Times New Roman" w:cstheme="minorHAnsi"/>
                <w:b/>
                <w:color w:val="000000"/>
                <w:lang w:eastAsia="en-AU"/>
              </w:rPr>
            </w:pPr>
            <w:r>
              <w:rPr>
                <w:rFonts w:eastAsia="Times New Roman" w:cstheme="minorHAnsi"/>
                <w:b/>
                <w:color w:val="000000"/>
                <w:lang w:eastAsia="en-AU"/>
              </w:rPr>
              <w:t>Tasmania</w:t>
            </w: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20.40</w:t>
            </w:r>
          </w:p>
        </w:tc>
        <w:tc>
          <w:tcPr>
            <w:tcW w:w="1474" w:type="dxa"/>
            <w:tcBorders>
              <w:top w:val="nil"/>
              <w:left w:val="single" w:sz="4" w:space="0" w:color="auto"/>
              <w:bottom w:val="nil"/>
              <w:right w:val="single" w:sz="4" w:space="0" w:color="auto"/>
            </w:tcBorders>
          </w:tcPr>
          <w:p w:rsidR="00721FDE" w:rsidRPr="005C5158" w:rsidRDefault="00721FDE" w:rsidP="00B458C8">
            <w:pPr>
              <w:spacing w:after="0"/>
              <w:jc w:val="right"/>
              <w:rPr>
                <w:rFonts w:eastAsia="Times New Roman" w:cstheme="minorHAnsi"/>
                <w:color w:val="000000"/>
                <w:lang w:eastAsia="en-AU"/>
              </w:rPr>
            </w:pPr>
            <w:r>
              <w:rPr>
                <w:rFonts w:eastAsia="Times New Roman" w:cstheme="minorHAnsi"/>
                <w:color w:val="000000"/>
                <w:lang w:eastAsia="en-AU"/>
              </w:rPr>
              <w:t>7,626</w:t>
            </w: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6,504</w:t>
            </w: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6,586</w:t>
            </w:r>
          </w:p>
        </w:tc>
      </w:tr>
      <w:tr w:rsidR="00721FDE" w:rsidRPr="005C5158" w:rsidTr="00B458C8">
        <w:trPr>
          <w:trHeight w:val="300"/>
        </w:trPr>
        <w:tc>
          <w:tcPr>
            <w:tcW w:w="3175" w:type="dxa"/>
            <w:vMerge/>
            <w:tcBorders>
              <w:left w:val="single" w:sz="4" w:space="0" w:color="auto"/>
              <w:right w:val="single" w:sz="4" w:space="0" w:color="auto"/>
            </w:tcBorders>
            <w:shd w:val="clear" w:color="auto" w:fill="auto"/>
            <w:noWrap/>
            <w:vAlign w:val="center"/>
            <w:hideMark/>
          </w:tcPr>
          <w:p w:rsidR="00721FDE" w:rsidRPr="005C5158" w:rsidRDefault="00721FDE" w:rsidP="00B458C8">
            <w:pPr>
              <w:spacing w:after="0"/>
              <w:rPr>
                <w:rFonts w:eastAsia="Times New Roman" w:cstheme="minorHAnsi"/>
                <w:b/>
                <w:color w:val="000000"/>
                <w:lang w:eastAsia="en-AU"/>
              </w:rPr>
            </w:pP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20.53</w:t>
            </w:r>
          </w:p>
        </w:tc>
        <w:tc>
          <w:tcPr>
            <w:tcW w:w="1474" w:type="dxa"/>
            <w:tcBorders>
              <w:top w:val="nil"/>
              <w:left w:val="single" w:sz="4" w:space="0" w:color="auto"/>
              <w:bottom w:val="nil"/>
              <w:right w:val="single" w:sz="4" w:space="0" w:color="auto"/>
            </w:tcBorders>
          </w:tcPr>
          <w:p w:rsidR="00721FDE" w:rsidRPr="005C5158" w:rsidRDefault="00721FDE" w:rsidP="00B458C8">
            <w:pPr>
              <w:spacing w:after="0"/>
              <w:jc w:val="right"/>
              <w:rPr>
                <w:rFonts w:eastAsia="Times New Roman" w:cstheme="minorHAnsi"/>
                <w:color w:val="000000"/>
                <w:lang w:eastAsia="en-AU"/>
              </w:rPr>
            </w:pP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1,067</w:t>
            </w: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1,080</w:t>
            </w:r>
          </w:p>
        </w:tc>
      </w:tr>
      <w:tr w:rsidR="00721FDE" w:rsidRPr="005C5158" w:rsidTr="00B458C8">
        <w:trPr>
          <w:trHeight w:val="300"/>
        </w:trPr>
        <w:tc>
          <w:tcPr>
            <w:tcW w:w="3175" w:type="dxa"/>
            <w:vMerge/>
            <w:tcBorders>
              <w:left w:val="single" w:sz="4" w:space="0" w:color="auto"/>
              <w:bottom w:val="single" w:sz="4" w:space="0" w:color="auto"/>
              <w:right w:val="single" w:sz="4" w:space="0" w:color="auto"/>
            </w:tcBorders>
            <w:shd w:val="clear" w:color="auto" w:fill="auto"/>
            <w:noWrap/>
            <w:vAlign w:val="center"/>
            <w:hideMark/>
          </w:tcPr>
          <w:p w:rsidR="00721FDE" w:rsidRPr="005C5158" w:rsidRDefault="00721FDE" w:rsidP="00B458C8">
            <w:pPr>
              <w:spacing w:after="0"/>
              <w:rPr>
                <w:rFonts w:eastAsia="Times New Roman" w:cstheme="minorHAnsi"/>
                <w:b/>
                <w:color w:val="000000"/>
                <w:lang w:eastAsia="en-AU"/>
              </w:rPr>
            </w:pP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20.54</w:t>
            </w:r>
          </w:p>
        </w:tc>
        <w:tc>
          <w:tcPr>
            <w:tcW w:w="1474" w:type="dxa"/>
            <w:tcBorders>
              <w:top w:val="nil"/>
              <w:left w:val="single" w:sz="4" w:space="0" w:color="auto"/>
              <w:bottom w:val="single" w:sz="4" w:space="0" w:color="auto"/>
              <w:right w:val="single" w:sz="4" w:space="0" w:color="auto"/>
            </w:tcBorders>
          </w:tcPr>
          <w:p w:rsidR="00721FDE" w:rsidRPr="005C5158" w:rsidRDefault="00721FDE" w:rsidP="00B458C8">
            <w:pPr>
              <w:spacing w:after="0"/>
              <w:jc w:val="right"/>
              <w:rPr>
                <w:rFonts w:eastAsia="Times New Roman" w:cstheme="minorHAnsi"/>
                <w:color w:val="000000"/>
                <w:lang w:eastAsia="en-AU"/>
              </w:rPr>
            </w:pP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55</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56</w:t>
            </w:r>
          </w:p>
        </w:tc>
      </w:tr>
      <w:tr w:rsidR="00721FDE" w:rsidRPr="005C5158" w:rsidTr="00B458C8">
        <w:trPr>
          <w:trHeight w:val="300"/>
        </w:trPr>
        <w:tc>
          <w:tcPr>
            <w:tcW w:w="3175" w:type="dxa"/>
            <w:vMerge w:val="restart"/>
            <w:tcBorders>
              <w:top w:val="nil"/>
              <w:left w:val="single" w:sz="4" w:space="0" w:color="auto"/>
              <w:right w:val="single" w:sz="4" w:space="0" w:color="auto"/>
            </w:tcBorders>
            <w:shd w:val="clear" w:color="auto" w:fill="auto"/>
            <w:noWrap/>
            <w:vAlign w:val="center"/>
            <w:hideMark/>
          </w:tcPr>
          <w:p w:rsidR="00721FDE" w:rsidRPr="005C5158" w:rsidRDefault="00721FDE" w:rsidP="00B458C8">
            <w:pPr>
              <w:spacing w:after="0"/>
              <w:rPr>
                <w:rFonts w:eastAsia="Times New Roman" w:cstheme="minorHAnsi"/>
                <w:b/>
                <w:color w:val="000000"/>
                <w:lang w:eastAsia="en-AU"/>
              </w:rPr>
            </w:pPr>
            <w:r w:rsidRPr="005C5158">
              <w:rPr>
                <w:rFonts w:eastAsia="Times New Roman" w:cstheme="minorHAnsi"/>
                <w:b/>
                <w:color w:val="000000"/>
                <w:lang w:eastAsia="en-AU"/>
              </w:rPr>
              <w:t>Northern Territory</w:t>
            </w: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20.40</w:t>
            </w:r>
          </w:p>
        </w:tc>
        <w:tc>
          <w:tcPr>
            <w:tcW w:w="1474" w:type="dxa"/>
            <w:tcBorders>
              <w:top w:val="nil"/>
              <w:left w:val="single" w:sz="4" w:space="0" w:color="auto"/>
              <w:bottom w:val="nil"/>
              <w:right w:val="single" w:sz="4" w:space="0" w:color="auto"/>
            </w:tcBorders>
          </w:tcPr>
          <w:p w:rsidR="00721FDE" w:rsidRPr="005C5158" w:rsidRDefault="00721FDE" w:rsidP="00B458C8">
            <w:pPr>
              <w:spacing w:after="0"/>
              <w:jc w:val="right"/>
              <w:rPr>
                <w:rFonts w:eastAsia="Times New Roman" w:cstheme="minorHAnsi"/>
                <w:color w:val="000000"/>
                <w:lang w:eastAsia="en-AU"/>
              </w:rPr>
            </w:pPr>
            <w:r>
              <w:rPr>
                <w:rFonts w:eastAsia="Times New Roman" w:cstheme="minorHAnsi"/>
                <w:color w:val="000000"/>
                <w:lang w:eastAsia="en-AU"/>
              </w:rPr>
              <w:t>15,864</w:t>
            </w: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11,007</w:t>
            </w: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10,632</w:t>
            </w:r>
          </w:p>
        </w:tc>
      </w:tr>
      <w:tr w:rsidR="00721FDE" w:rsidRPr="005C5158" w:rsidTr="00B458C8">
        <w:trPr>
          <w:trHeight w:val="300"/>
        </w:trPr>
        <w:tc>
          <w:tcPr>
            <w:tcW w:w="3175" w:type="dxa"/>
            <w:vMerge/>
            <w:tcBorders>
              <w:left w:val="single" w:sz="4" w:space="0" w:color="auto"/>
              <w:right w:val="single" w:sz="4" w:space="0" w:color="auto"/>
            </w:tcBorders>
            <w:shd w:val="clear" w:color="auto" w:fill="auto"/>
            <w:noWrap/>
            <w:vAlign w:val="center"/>
            <w:hideMark/>
          </w:tcPr>
          <w:p w:rsidR="00721FDE" w:rsidRPr="005C5158" w:rsidRDefault="00721FDE" w:rsidP="00B458C8">
            <w:pPr>
              <w:spacing w:after="0"/>
              <w:rPr>
                <w:rFonts w:eastAsia="Times New Roman" w:cstheme="minorHAnsi"/>
                <w:b/>
                <w:color w:val="000000"/>
                <w:lang w:eastAsia="en-AU"/>
              </w:rPr>
            </w:pP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20.53</w:t>
            </w:r>
          </w:p>
        </w:tc>
        <w:tc>
          <w:tcPr>
            <w:tcW w:w="1474" w:type="dxa"/>
            <w:tcBorders>
              <w:top w:val="nil"/>
              <w:left w:val="single" w:sz="4" w:space="0" w:color="auto"/>
              <w:bottom w:val="nil"/>
              <w:right w:val="single" w:sz="4" w:space="0" w:color="auto"/>
            </w:tcBorders>
          </w:tcPr>
          <w:p w:rsidR="00721FDE" w:rsidRPr="005C5158" w:rsidRDefault="00721FDE" w:rsidP="00B458C8">
            <w:pPr>
              <w:spacing w:after="0"/>
              <w:jc w:val="right"/>
              <w:rPr>
                <w:rFonts w:eastAsia="Times New Roman" w:cstheme="minorHAnsi"/>
                <w:color w:val="000000"/>
                <w:lang w:eastAsia="en-AU"/>
              </w:rPr>
            </w:pP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4,857</w:t>
            </w: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4,692</w:t>
            </w:r>
          </w:p>
        </w:tc>
      </w:tr>
      <w:tr w:rsidR="00721FDE" w:rsidRPr="005C5158" w:rsidTr="00B458C8">
        <w:trPr>
          <w:trHeight w:val="300"/>
        </w:trPr>
        <w:tc>
          <w:tcPr>
            <w:tcW w:w="3175" w:type="dxa"/>
            <w:vMerge/>
            <w:tcBorders>
              <w:left w:val="single" w:sz="4" w:space="0" w:color="auto"/>
              <w:bottom w:val="single" w:sz="4" w:space="0" w:color="auto"/>
              <w:right w:val="single" w:sz="4" w:space="0" w:color="auto"/>
            </w:tcBorders>
            <w:shd w:val="clear" w:color="auto" w:fill="auto"/>
            <w:noWrap/>
            <w:vAlign w:val="center"/>
            <w:hideMark/>
          </w:tcPr>
          <w:p w:rsidR="00721FDE" w:rsidRPr="005C5158" w:rsidRDefault="00721FDE" w:rsidP="00B458C8">
            <w:pPr>
              <w:spacing w:after="0"/>
              <w:rPr>
                <w:rFonts w:eastAsia="Times New Roman" w:cstheme="minorHAnsi"/>
                <w:b/>
                <w:color w:val="000000"/>
                <w:lang w:eastAsia="en-AU"/>
              </w:rPr>
            </w:pP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20.54</w:t>
            </w:r>
          </w:p>
        </w:tc>
        <w:tc>
          <w:tcPr>
            <w:tcW w:w="1474" w:type="dxa"/>
            <w:tcBorders>
              <w:top w:val="nil"/>
              <w:left w:val="single" w:sz="4" w:space="0" w:color="auto"/>
              <w:bottom w:val="single" w:sz="4" w:space="0" w:color="auto"/>
              <w:right w:val="single" w:sz="4" w:space="0" w:color="auto"/>
            </w:tcBorders>
          </w:tcPr>
          <w:p w:rsidR="00721FDE" w:rsidRPr="005C5158" w:rsidRDefault="00721FDE" w:rsidP="00B458C8">
            <w:pPr>
              <w:spacing w:after="0"/>
              <w:jc w:val="right"/>
              <w:rPr>
                <w:rFonts w:eastAsia="Times New Roman" w:cstheme="minorHAnsi"/>
                <w:color w:val="000000"/>
                <w:lang w:eastAsia="en-AU"/>
              </w:rPr>
            </w:pP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0</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0</w:t>
            </w:r>
          </w:p>
        </w:tc>
      </w:tr>
      <w:tr w:rsidR="00721FDE" w:rsidRPr="005C5158" w:rsidTr="00B458C8">
        <w:trPr>
          <w:trHeight w:val="300"/>
        </w:trPr>
        <w:tc>
          <w:tcPr>
            <w:tcW w:w="3175" w:type="dxa"/>
            <w:vMerge w:val="restart"/>
            <w:tcBorders>
              <w:top w:val="nil"/>
              <w:left w:val="single" w:sz="4" w:space="0" w:color="auto"/>
              <w:right w:val="single" w:sz="4" w:space="0" w:color="auto"/>
            </w:tcBorders>
            <w:shd w:val="clear" w:color="auto" w:fill="auto"/>
            <w:noWrap/>
            <w:vAlign w:val="center"/>
            <w:hideMark/>
          </w:tcPr>
          <w:p w:rsidR="00721FDE" w:rsidRPr="005C5158" w:rsidRDefault="00721FDE" w:rsidP="00B458C8">
            <w:pPr>
              <w:spacing w:after="0"/>
              <w:rPr>
                <w:rFonts w:eastAsia="Times New Roman" w:cstheme="minorHAnsi"/>
                <w:b/>
                <w:color w:val="000000"/>
                <w:lang w:eastAsia="en-AU"/>
              </w:rPr>
            </w:pPr>
            <w:r w:rsidRPr="005C5158">
              <w:rPr>
                <w:rFonts w:eastAsia="Times New Roman" w:cstheme="minorHAnsi"/>
                <w:b/>
                <w:color w:val="000000"/>
                <w:lang w:eastAsia="en-AU"/>
              </w:rPr>
              <w:t>Australian Capital Territory</w:t>
            </w: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20.40</w:t>
            </w:r>
          </w:p>
        </w:tc>
        <w:tc>
          <w:tcPr>
            <w:tcW w:w="1474" w:type="dxa"/>
            <w:tcBorders>
              <w:top w:val="nil"/>
              <w:left w:val="single" w:sz="4" w:space="0" w:color="auto"/>
              <w:bottom w:val="nil"/>
              <w:right w:val="single" w:sz="4" w:space="0" w:color="auto"/>
            </w:tcBorders>
          </w:tcPr>
          <w:p w:rsidR="00721FDE" w:rsidRPr="005C5158" w:rsidRDefault="00721FDE" w:rsidP="00B458C8">
            <w:pPr>
              <w:spacing w:after="0"/>
              <w:jc w:val="right"/>
              <w:rPr>
                <w:rFonts w:eastAsia="Times New Roman" w:cstheme="minorHAnsi"/>
                <w:color w:val="000000"/>
                <w:lang w:eastAsia="en-AU"/>
              </w:rPr>
            </w:pPr>
            <w:r>
              <w:rPr>
                <w:rFonts w:eastAsia="Times New Roman" w:cstheme="minorHAnsi"/>
                <w:color w:val="000000"/>
                <w:lang w:eastAsia="en-AU"/>
              </w:rPr>
              <w:t>5,176</w:t>
            </w: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3,648</w:t>
            </w: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3,795</w:t>
            </w:r>
          </w:p>
        </w:tc>
      </w:tr>
      <w:tr w:rsidR="00721FDE" w:rsidRPr="005C5158" w:rsidTr="00B458C8">
        <w:trPr>
          <w:trHeight w:val="300"/>
        </w:trPr>
        <w:tc>
          <w:tcPr>
            <w:tcW w:w="3175" w:type="dxa"/>
            <w:vMerge/>
            <w:tcBorders>
              <w:left w:val="single" w:sz="4" w:space="0" w:color="auto"/>
              <w:right w:val="single" w:sz="4" w:space="0" w:color="auto"/>
            </w:tcBorders>
            <w:shd w:val="clear" w:color="auto" w:fill="auto"/>
            <w:noWrap/>
            <w:vAlign w:val="center"/>
            <w:hideMark/>
          </w:tcPr>
          <w:p w:rsidR="00721FDE" w:rsidRPr="005C5158" w:rsidRDefault="00721FDE" w:rsidP="00B458C8">
            <w:pPr>
              <w:spacing w:after="0"/>
              <w:rPr>
                <w:rFonts w:eastAsia="Times New Roman" w:cstheme="minorHAnsi"/>
                <w:b/>
                <w:color w:val="000000"/>
                <w:lang w:eastAsia="en-AU"/>
              </w:rPr>
            </w:pP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20.53</w:t>
            </w:r>
          </w:p>
        </w:tc>
        <w:tc>
          <w:tcPr>
            <w:tcW w:w="1474" w:type="dxa"/>
            <w:tcBorders>
              <w:top w:val="nil"/>
              <w:left w:val="single" w:sz="4" w:space="0" w:color="auto"/>
              <w:bottom w:val="nil"/>
              <w:right w:val="single" w:sz="4" w:space="0" w:color="auto"/>
            </w:tcBorders>
          </w:tcPr>
          <w:p w:rsidR="00721FDE" w:rsidRPr="005C5158" w:rsidRDefault="00721FDE" w:rsidP="00B458C8">
            <w:pPr>
              <w:spacing w:after="0"/>
              <w:jc w:val="right"/>
              <w:rPr>
                <w:rFonts w:eastAsia="Times New Roman" w:cstheme="minorHAnsi"/>
                <w:color w:val="000000"/>
                <w:lang w:eastAsia="en-AU"/>
              </w:rPr>
            </w:pP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407</w:t>
            </w:r>
          </w:p>
        </w:tc>
        <w:tc>
          <w:tcPr>
            <w:tcW w:w="1474" w:type="dxa"/>
            <w:tcBorders>
              <w:top w:val="nil"/>
              <w:left w:val="single" w:sz="4" w:space="0" w:color="auto"/>
              <w:bottom w:val="nil"/>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423</w:t>
            </w:r>
          </w:p>
        </w:tc>
      </w:tr>
      <w:tr w:rsidR="00721FDE" w:rsidRPr="005C5158" w:rsidTr="00B458C8">
        <w:trPr>
          <w:trHeight w:val="300"/>
        </w:trPr>
        <w:tc>
          <w:tcPr>
            <w:tcW w:w="3175" w:type="dxa"/>
            <w:vMerge/>
            <w:tcBorders>
              <w:left w:val="single" w:sz="4" w:space="0" w:color="auto"/>
              <w:bottom w:val="single" w:sz="4" w:space="0" w:color="auto"/>
              <w:right w:val="single" w:sz="4" w:space="0" w:color="auto"/>
            </w:tcBorders>
            <w:shd w:val="clear" w:color="auto" w:fill="auto"/>
            <w:noWrap/>
            <w:vAlign w:val="center"/>
            <w:hideMark/>
          </w:tcPr>
          <w:p w:rsidR="00721FDE" w:rsidRPr="005C5158" w:rsidRDefault="00721FDE" w:rsidP="00B458C8">
            <w:pPr>
              <w:spacing w:after="0"/>
              <w:rPr>
                <w:rFonts w:eastAsia="Times New Roman" w:cstheme="minorHAnsi"/>
                <w:b/>
                <w:color w:val="000000"/>
                <w:lang w:eastAsia="en-AU"/>
              </w:rPr>
            </w:pP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20.54</w:t>
            </w:r>
          </w:p>
        </w:tc>
        <w:tc>
          <w:tcPr>
            <w:tcW w:w="1474" w:type="dxa"/>
            <w:tcBorders>
              <w:top w:val="nil"/>
              <w:left w:val="single" w:sz="4" w:space="0" w:color="auto"/>
              <w:bottom w:val="single" w:sz="4" w:space="0" w:color="auto"/>
              <w:right w:val="single" w:sz="4" w:space="0" w:color="auto"/>
            </w:tcBorders>
          </w:tcPr>
          <w:p w:rsidR="00721FDE" w:rsidRPr="005C5158" w:rsidRDefault="00721FDE" w:rsidP="00B458C8">
            <w:pPr>
              <w:spacing w:after="0"/>
              <w:jc w:val="right"/>
              <w:rPr>
                <w:rFonts w:eastAsia="Times New Roman" w:cstheme="minorHAnsi"/>
                <w:color w:val="000000"/>
                <w:lang w:eastAsia="en-AU"/>
              </w:rPr>
            </w:pP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1,122</w:t>
            </w:r>
          </w:p>
        </w:tc>
        <w:tc>
          <w:tcPr>
            <w:tcW w:w="1474" w:type="dxa"/>
            <w:tcBorders>
              <w:top w:val="nil"/>
              <w:left w:val="single" w:sz="4" w:space="0" w:color="auto"/>
              <w:bottom w:val="single" w:sz="4" w:space="0" w:color="auto"/>
              <w:right w:val="single" w:sz="4" w:space="0" w:color="auto"/>
            </w:tcBorders>
            <w:shd w:val="clear" w:color="auto" w:fill="auto"/>
            <w:noWrap/>
            <w:vAlign w:val="center"/>
            <w:hideMark/>
          </w:tcPr>
          <w:p w:rsidR="00721FDE" w:rsidRPr="005C5158" w:rsidRDefault="00721FDE" w:rsidP="00B458C8">
            <w:pPr>
              <w:spacing w:after="0"/>
              <w:jc w:val="right"/>
              <w:rPr>
                <w:rFonts w:eastAsia="Times New Roman" w:cstheme="minorHAnsi"/>
                <w:color w:val="000000"/>
                <w:lang w:eastAsia="en-AU"/>
              </w:rPr>
            </w:pPr>
            <w:r w:rsidRPr="005C5158">
              <w:rPr>
                <w:rFonts w:eastAsia="Times New Roman" w:cstheme="minorHAnsi"/>
                <w:color w:val="000000"/>
                <w:lang w:eastAsia="en-AU"/>
              </w:rPr>
              <w:t>1,167</w:t>
            </w:r>
          </w:p>
        </w:tc>
      </w:tr>
    </w:tbl>
    <w:p w:rsidR="008D6C0E" w:rsidRPr="00721FDE" w:rsidRDefault="008D6C0E" w:rsidP="00721FDE"/>
    <w:sectPr w:rsidR="008D6C0E" w:rsidRPr="00721FDE" w:rsidSect="00A25A1D">
      <w:footerReference w:type="default" r:id="rId13"/>
      <w:pgSz w:w="11906" w:h="16838" w:code="9"/>
      <w:pgMar w:top="1588"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FDE" w:rsidRDefault="00721FDE" w:rsidP="006A55E0">
      <w:pPr>
        <w:spacing w:after="0"/>
      </w:pPr>
      <w:r>
        <w:separator/>
      </w:r>
    </w:p>
  </w:endnote>
  <w:endnote w:type="continuationSeparator" w:id="0">
    <w:p w:rsidR="00721FDE" w:rsidRDefault="00721FDE" w:rsidP="006A55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FDE" w:rsidRDefault="00721FDE" w:rsidP="00721FDE">
    <w:pPr>
      <w:pStyle w:val="Footer"/>
      <w:tabs>
        <w:tab w:val="clear" w:pos="4513"/>
      </w:tabs>
    </w:pPr>
    <w:r w:rsidRPr="003B7AB4">
      <w:t>Independent Hospital Pricing Authority</w:t>
    </w:r>
    <w:r>
      <w:tab/>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FDE" w:rsidRDefault="00721FDE" w:rsidP="00721FDE">
    <w:pPr>
      <w:pStyle w:val="Footer"/>
      <w:tabs>
        <w:tab w:val="clear" w:pos="4513"/>
      </w:tabs>
    </w:pPr>
    <w:r w:rsidRPr="003B7AB4">
      <w:t>Independent Hospital Pricing Authority</w:t>
    </w:r>
    <w:r>
      <w:tab/>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384" w:rsidRDefault="003B7AB4" w:rsidP="003B7AB4">
    <w:pPr>
      <w:pStyle w:val="Footer"/>
      <w:tabs>
        <w:tab w:val="clear" w:pos="4513"/>
      </w:tabs>
    </w:pPr>
    <w:r w:rsidRPr="003B7AB4">
      <w:t>Independent Hospital Pricing Authority</w:t>
    </w:r>
    <w:r>
      <w:tab/>
      <w:t xml:space="preserve">Page </w:t>
    </w:r>
    <w:r>
      <w:fldChar w:fldCharType="begin"/>
    </w:r>
    <w:r>
      <w:instrText xml:space="preserve"> PAGE   \* MERGEFORMAT </w:instrText>
    </w:r>
    <w:r>
      <w:fldChar w:fldCharType="separate"/>
    </w:r>
    <w:r w:rsidR="00721FDE">
      <w:rPr>
        <w:noProof/>
      </w:rPr>
      <w:t>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721FDE">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FDE" w:rsidRDefault="00721FDE" w:rsidP="006A55E0">
      <w:pPr>
        <w:spacing w:after="0"/>
      </w:pPr>
      <w:r>
        <w:separator/>
      </w:r>
    </w:p>
  </w:footnote>
  <w:footnote w:type="continuationSeparator" w:id="0">
    <w:p w:rsidR="00721FDE" w:rsidRDefault="00721FDE" w:rsidP="006A55E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FDE" w:rsidRDefault="00721FDE">
    <w:pPr>
      <w:pStyle w:val="Header"/>
    </w:pPr>
    <w:r w:rsidRPr="00721FDE">
      <w:t>Non-admitted home ventilation and maternity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C18F9E0"/>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221CE29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4E4607"/>
    <w:multiLevelType w:val="hybridMultilevel"/>
    <w:tmpl w:val="3BF81CE0"/>
    <w:lvl w:ilvl="0" w:tplc="298EAB8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46E1A1E"/>
    <w:multiLevelType w:val="hybridMultilevel"/>
    <w:tmpl w:val="4C329DF0"/>
    <w:lvl w:ilvl="0" w:tplc="B66CE392">
      <w:start w:val="1"/>
      <w:numFmt w:val="bullet"/>
      <w:pStyle w:val="Bullet1"/>
      <w:lvlText w:val=""/>
      <w:lvlJc w:val="left"/>
      <w:pPr>
        <w:ind w:left="720" w:hanging="360"/>
      </w:pPr>
      <w:rPr>
        <w:rFonts w:ascii="Wingdings" w:hAnsi="Wingdings" w:hint="default"/>
        <w:color w:val="000000" w:themeColor="text2"/>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730DAF"/>
    <w:multiLevelType w:val="hybridMultilevel"/>
    <w:tmpl w:val="6A4A365E"/>
    <w:lvl w:ilvl="0" w:tplc="B66CE392">
      <w:start w:val="1"/>
      <w:numFmt w:val="bullet"/>
      <w:lvlText w:val=""/>
      <w:lvlJc w:val="left"/>
      <w:pPr>
        <w:ind w:left="720" w:hanging="360"/>
      </w:pPr>
      <w:rPr>
        <w:rFonts w:ascii="Wingdings" w:hAnsi="Wingdings" w:hint="default"/>
        <w:color w:val="000000" w:themeColor="text2"/>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C012D25"/>
    <w:multiLevelType w:val="hybridMultilevel"/>
    <w:tmpl w:val="534ABD16"/>
    <w:lvl w:ilvl="0" w:tplc="9B2C4D08">
      <w:start w:val="1"/>
      <w:numFmt w:val="bullet"/>
      <w:lvlText w:val=""/>
      <w:lvlJc w:val="left"/>
      <w:pPr>
        <w:ind w:left="720" w:hanging="360"/>
      </w:pPr>
      <w:rPr>
        <w:rFonts w:ascii="Wingdings 2" w:hAnsi="Wingdings 2" w:hint="default"/>
        <w:color w:val="000000" w:themeColor="text2"/>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63213F6"/>
    <w:multiLevelType w:val="hybridMultilevel"/>
    <w:tmpl w:val="038C4B16"/>
    <w:lvl w:ilvl="0" w:tplc="EACACB22">
      <w:start w:val="1"/>
      <w:numFmt w:val="bullet"/>
      <w:lvlText w:val=""/>
      <w:lvlJc w:val="left"/>
      <w:pPr>
        <w:ind w:left="360" w:hanging="360"/>
      </w:pPr>
      <w:rPr>
        <w:rFonts w:ascii="Wingdings 2" w:hAnsi="Wingdings 2" w:hint="default"/>
        <w:color w:val="000000" w:themeColor="text1"/>
        <w:sz w:val="16"/>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7">
    <w:nsid w:val="2CAE4F19"/>
    <w:multiLevelType w:val="hybridMultilevel"/>
    <w:tmpl w:val="EF2638EA"/>
    <w:lvl w:ilvl="0" w:tplc="A5A8CE32">
      <w:start w:val="1"/>
      <w:numFmt w:val="bullet"/>
      <w:lvlText w:val=""/>
      <w:lvlJc w:val="left"/>
      <w:pPr>
        <w:ind w:left="720" w:hanging="360"/>
      </w:pPr>
      <w:rPr>
        <w:rFonts w:ascii="Wingdings 2" w:hAnsi="Wingdings 2" w:hint="default"/>
        <w:color w:val="000000" w:themeColor="text2"/>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283D80"/>
    <w:multiLevelType w:val="hybridMultilevel"/>
    <w:tmpl w:val="29A62476"/>
    <w:lvl w:ilvl="0" w:tplc="9B2C4D08">
      <w:start w:val="1"/>
      <w:numFmt w:val="bullet"/>
      <w:lvlText w:val=""/>
      <w:lvlJc w:val="left"/>
      <w:pPr>
        <w:ind w:left="720" w:hanging="360"/>
      </w:pPr>
      <w:rPr>
        <w:rFonts w:ascii="Wingdings 2" w:hAnsi="Wingdings 2" w:hint="default"/>
        <w:color w:val="000000" w:themeColor="text2"/>
        <w:sz w:val="16"/>
      </w:rPr>
    </w:lvl>
    <w:lvl w:ilvl="1" w:tplc="A5A8CE32">
      <w:start w:val="1"/>
      <w:numFmt w:val="bullet"/>
      <w:lvlText w:val=""/>
      <w:lvlJc w:val="left"/>
      <w:pPr>
        <w:ind w:left="1440" w:hanging="360"/>
      </w:pPr>
      <w:rPr>
        <w:rFonts w:ascii="Wingdings 2" w:hAnsi="Wingdings 2" w:hint="default"/>
        <w:color w:val="000000" w:themeColor="text2"/>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3267635"/>
    <w:multiLevelType w:val="hybridMultilevel"/>
    <w:tmpl w:val="245430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7C53847"/>
    <w:multiLevelType w:val="hybridMultilevel"/>
    <w:tmpl w:val="1624E3A6"/>
    <w:lvl w:ilvl="0" w:tplc="9B2C4D08">
      <w:start w:val="1"/>
      <w:numFmt w:val="bullet"/>
      <w:lvlText w:val=""/>
      <w:lvlJc w:val="left"/>
      <w:pPr>
        <w:ind w:left="720" w:hanging="360"/>
      </w:pPr>
      <w:rPr>
        <w:rFonts w:ascii="Wingdings 2" w:hAnsi="Wingdings 2" w:hint="default"/>
        <w:color w:val="000000" w:themeColor="text2"/>
        <w:sz w:val="16"/>
      </w:rPr>
    </w:lvl>
    <w:lvl w:ilvl="1" w:tplc="EACACB22">
      <w:start w:val="1"/>
      <w:numFmt w:val="bullet"/>
      <w:lvlText w:val=""/>
      <w:lvlJc w:val="left"/>
      <w:pPr>
        <w:ind w:left="1440" w:hanging="360"/>
      </w:pPr>
      <w:rPr>
        <w:rFonts w:ascii="Wingdings 2" w:hAnsi="Wingdings 2" w:hint="default"/>
        <w:color w:val="000000" w:themeColor="text1"/>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D01D0F"/>
    <w:multiLevelType w:val="hybridMultilevel"/>
    <w:tmpl w:val="52BEDC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42B60606"/>
    <w:multiLevelType w:val="hybridMultilevel"/>
    <w:tmpl w:val="B6881F5C"/>
    <w:lvl w:ilvl="0" w:tplc="B66CE392">
      <w:start w:val="1"/>
      <w:numFmt w:val="bullet"/>
      <w:lvlText w:val=""/>
      <w:lvlJc w:val="left"/>
      <w:pPr>
        <w:ind w:left="720" w:hanging="360"/>
      </w:pPr>
      <w:rPr>
        <w:rFonts w:ascii="Wingdings" w:hAnsi="Wingdings" w:hint="default"/>
        <w:color w:val="000000" w:themeColor="text2"/>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CB57FDB"/>
    <w:multiLevelType w:val="hybridMultilevel"/>
    <w:tmpl w:val="703AE82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10A3169"/>
    <w:multiLevelType w:val="hybridMultilevel"/>
    <w:tmpl w:val="AFA26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1B67F91"/>
    <w:multiLevelType w:val="hybridMultilevel"/>
    <w:tmpl w:val="40A674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583524A8"/>
    <w:multiLevelType w:val="hybridMultilevel"/>
    <w:tmpl w:val="03E00B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8C12AAB"/>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6635569C"/>
    <w:multiLevelType w:val="hybridMultilevel"/>
    <w:tmpl w:val="AD808B8E"/>
    <w:lvl w:ilvl="0" w:tplc="9B2C4D08">
      <w:start w:val="1"/>
      <w:numFmt w:val="bullet"/>
      <w:lvlText w:val=""/>
      <w:lvlJc w:val="left"/>
      <w:pPr>
        <w:ind w:left="720" w:hanging="360"/>
      </w:pPr>
      <w:rPr>
        <w:rFonts w:ascii="Wingdings 2" w:hAnsi="Wingdings 2" w:hint="default"/>
        <w:color w:val="000000" w:themeColor="text2"/>
        <w:sz w:val="16"/>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E73018A"/>
    <w:multiLevelType w:val="hybridMultilevel"/>
    <w:tmpl w:val="2A0A3F24"/>
    <w:lvl w:ilvl="0" w:tplc="CCC2C45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7078728C"/>
    <w:multiLevelType w:val="hybridMultilevel"/>
    <w:tmpl w:val="8AE60AF8"/>
    <w:lvl w:ilvl="0" w:tplc="A5A8CE32">
      <w:start w:val="1"/>
      <w:numFmt w:val="bullet"/>
      <w:lvlText w:val=""/>
      <w:lvlJc w:val="left"/>
      <w:pPr>
        <w:ind w:left="720" w:hanging="360"/>
      </w:pPr>
      <w:rPr>
        <w:rFonts w:ascii="Wingdings 2" w:hAnsi="Wingdings 2" w:hint="default"/>
        <w:color w:val="000000" w:themeColor="text2"/>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0DA1CA0"/>
    <w:multiLevelType w:val="hybridMultilevel"/>
    <w:tmpl w:val="B71ADB5E"/>
    <w:lvl w:ilvl="0" w:tplc="A5A8CE32">
      <w:start w:val="1"/>
      <w:numFmt w:val="bullet"/>
      <w:lvlText w:val=""/>
      <w:lvlJc w:val="left"/>
      <w:pPr>
        <w:ind w:left="720" w:hanging="360"/>
      </w:pPr>
      <w:rPr>
        <w:rFonts w:ascii="Wingdings 2" w:hAnsi="Wingdings 2" w:hint="default"/>
        <w:color w:val="000000" w:themeColor="text2"/>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27C5248"/>
    <w:multiLevelType w:val="hybridMultilevel"/>
    <w:tmpl w:val="DC52B21E"/>
    <w:lvl w:ilvl="0" w:tplc="B66CE392">
      <w:start w:val="1"/>
      <w:numFmt w:val="bullet"/>
      <w:lvlText w:val=""/>
      <w:lvlJc w:val="left"/>
      <w:pPr>
        <w:ind w:left="720" w:hanging="360"/>
      </w:pPr>
      <w:rPr>
        <w:rFonts w:ascii="Wingdings" w:hAnsi="Wingdings" w:hint="default"/>
        <w:color w:val="000000" w:themeColor="text2"/>
        <w:sz w:val="22"/>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7"/>
  </w:num>
  <w:num w:numId="4">
    <w:abstractNumId w:val="11"/>
  </w:num>
  <w:num w:numId="5">
    <w:abstractNumId w:val="20"/>
  </w:num>
  <w:num w:numId="6">
    <w:abstractNumId w:val="3"/>
  </w:num>
  <w:num w:numId="7">
    <w:abstractNumId w:val="12"/>
  </w:num>
  <w:num w:numId="8">
    <w:abstractNumId w:val="22"/>
  </w:num>
  <w:num w:numId="9">
    <w:abstractNumId w:val="5"/>
  </w:num>
  <w:num w:numId="10">
    <w:abstractNumId w:val="21"/>
  </w:num>
  <w:num w:numId="11">
    <w:abstractNumId w:val="18"/>
  </w:num>
  <w:num w:numId="12">
    <w:abstractNumId w:val="8"/>
  </w:num>
  <w:num w:numId="13">
    <w:abstractNumId w:val="10"/>
  </w:num>
  <w:num w:numId="14">
    <w:abstractNumId w:val="6"/>
  </w:num>
  <w:num w:numId="15">
    <w:abstractNumId w:val="1"/>
  </w:num>
  <w:num w:numId="16">
    <w:abstractNumId w:val="14"/>
  </w:num>
  <w:num w:numId="17">
    <w:abstractNumId w:val="15"/>
  </w:num>
  <w:num w:numId="18">
    <w:abstractNumId w:val="16"/>
  </w:num>
  <w:num w:numId="19">
    <w:abstractNumId w:val="0"/>
  </w:num>
  <w:num w:numId="20">
    <w:abstractNumId w:val="19"/>
  </w:num>
  <w:num w:numId="21">
    <w:abstractNumId w:val="2"/>
  </w:num>
  <w:num w:numId="22">
    <w:abstractNumId w:val="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FDE"/>
    <w:rsid w:val="00035724"/>
    <w:rsid w:val="00046DC4"/>
    <w:rsid w:val="00051651"/>
    <w:rsid w:val="00097886"/>
    <w:rsid w:val="000B1EBC"/>
    <w:rsid w:val="000F5AAD"/>
    <w:rsid w:val="000F6308"/>
    <w:rsid w:val="00123AF6"/>
    <w:rsid w:val="00124320"/>
    <w:rsid w:val="00166194"/>
    <w:rsid w:val="00203E1D"/>
    <w:rsid w:val="00205D84"/>
    <w:rsid w:val="00264AE5"/>
    <w:rsid w:val="00273412"/>
    <w:rsid w:val="00282DCC"/>
    <w:rsid w:val="00282F67"/>
    <w:rsid w:val="002A0733"/>
    <w:rsid w:val="002D11A4"/>
    <w:rsid w:val="002F2C5C"/>
    <w:rsid w:val="002F464B"/>
    <w:rsid w:val="003029AB"/>
    <w:rsid w:val="00324E8A"/>
    <w:rsid w:val="00325ACC"/>
    <w:rsid w:val="0032687E"/>
    <w:rsid w:val="00335A8F"/>
    <w:rsid w:val="003773F8"/>
    <w:rsid w:val="00396865"/>
    <w:rsid w:val="00397D4D"/>
    <w:rsid w:val="003B7AB4"/>
    <w:rsid w:val="003D29BD"/>
    <w:rsid w:val="003D7899"/>
    <w:rsid w:val="00405586"/>
    <w:rsid w:val="00430EF8"/>
    <w:rsid w:val="00485873"/>
    <w:rsid w:val="004A0EB5"/>
    <w:rsid w:val="004B071D"/>
    <w:rsid w:val="004C15AD"/>
    <w:rsid w:val="004C579A"/>
    <w:rsid w:val="004E19F0"/>
    <w:rsid w:val="004E7543"/>
    <w:rsid w:val="0052204F"/>
    <w:rsid w:val="005666BA"/>
    <w:rsid w:val="00573B42"/>
    <w:rsid w:val="00597232"/>
    <w:rsid w:val="00597285"/>
    <w:rsid w:val="00611772"/>
    <w:rsid w:val="00615A4C"/>
    <w:rsid w:val="00617CF6"/>
    <w:rsid w:val="00632055"/>
    <w:rsid w:val="006407E3"/>
    <w:rsid w:val="006472C0"/>
    <w:rsid w:val="006573B7"/>
    <w:rsid w:val="0066605E"/>
    <w:rsid w:val="00695520"/>
    <w:rsid w:val="006A55E0"/>
    <w:rsid w:val="006D7F4A"/>
    <w:rsid w:val="006F3841"/>
    <w:rsid w:val="00721FDE"/>
    <w:rsid w:val="00723516"/>
    <w:rsid w:val="00741A3F"/>
    <w:rsid w:val="0074518B"/>
    <w:rsid w:val="00771BEE"/>
    <w:rsid w:val="00773F70"/>
    <w:rsid w:val="00775A6C"/>
    <w:rsid w:val="00792F11"/>
    <w:rsid w:val="007A6284"/>
    <w:rsid w:val="007B2AD6"/>
    <w:rsid w:val="007C4A1B"/>
    <w:rsid w:val="00800E03"/>
    <w:rsid w:val="008037B8"/>
    <w:rsid w:val="00806318"/>
    <w:rsid w:val="00842C34"/>
    <w:rsid w:val="008B0084"/>
    <w:rsid w:val="008D6C0E"/>
    <w:rsid w:val="008F2EA2"/>
    <w:rsid w:val="008F5E43"/>
    <w:rsid w:val="00933433"/>
    <w:rsid w:val="00982E7C"/>
    <w:rsid w:val="00997AA1"/>
    <w:rsid w:val="009B2D6A"/>
    <w:rsid w:val="009B3D4E"/>
    <w:rsid w:val="009C749C"/>
    <w:rsid w:val="009E60AB"/>
    <w:rsid w:val="009E755B"/>
    <w:rsid w:val="009F6B50"/>
    <w:rsid w:val="00A07DFA"/>
    <w:rsid w:val="00A25A1D"/>
    <w:rsid w:val="00A773B5"/>
    <w:rsid w:val="00A94EA3"/>
    <w:rsid w:val="00AF1DB3"/>
    <w:rsid w:val="00B2651D"/>
    <w:rsid w:val="00B437EE"/>
    <w:rsid w:val="00B650A5"/>
    <w:rsid w:val="00B67B7F"/>
    <w:rsid w:val="00B8290B"/>
    <w:rsid w:val="00BA080F"/>
    <w:rsid w:val="00BC472B"/>
    <w:rsid w:val="00BC6A29"/>
    <w:rsid w:val="00BD7213"/>
    <w:rsid w:val="00C642D7"/>
    <w:rsid w:val="00C864ED"/>
    <w:rsid w:val="00CA70E9"/>
    <w:rsid w:val="00D00FC3"/>
    <w:rsid w:val="00D07729"/>
    <w:rsid w:val="00D23C0A"/>
    <w:rsid w:val="00D478E8"/>
    <w:rsid w:val="00D56762"/>
    <w:rsid w:val="00D648E8"/>
    <w:rsid w:val="00D75081"/>
    <w:rsid w:val="00DC6A18"/>
    <w:rsid w:val="00DF6CEE"/>
    <w:rsid w:val="00E33427"/>
    <w:rsid w:val="00E438B1"/>
    <w:rsid w:val="00E56652"/>
    <w:rsid w:val="00E67366"/>
    <w:rsid w:val="00E76384"/>
    <w:rsid w:val="00EB12D3"/>
    <w:rsid w:val="00EC68AC"/>
    <w:rsid w:val="00F00FB8"/>
    <w:rsid w:val="00F06398"/>
    <w:rsid w:val="00F44059"/>
    <w:rsid w:val="00F558B1"/>
    <w:rsid w:val="00F70E1A"/>
    <w:rsid w:val="00F8626D"/>
    <w:rsid w:val="00F91173"/>
    <w:rsid w:val="00FE181D"/>
    <w:rsid w:val="00FF22E7"/>
    <w:rsid w:val="00FF6E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4" w:unhideWhenUsed="0" w:qFormat="1"/>
    <w:lsdException w:name="heading 2" w:uiPriority="14"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semiHidden="0" w:unhideWhenUsed="0" w:qFormat="1"/>
    <w:lsdException w:name="List Bullet 2" w:semiHidden="0" w:unhideWhenUsed="0" w:qFormat="1"/>
    <w:lsdException w:name="Title" w:semiHidden="0" w:uiPriority="11" w:unhideWhenUsed="0" w:qFormat="1"/>
    <w:lsdException w:name="Signature" w:semiHidden="0" w:unhideWhenUsed="0"/>
    <w:lsdException w:name="Default Paragraph Font" w:uiPriority="1"/>
    <w:lsdException w:name="Subtitle" w:semiHidden="0" w:uiPriority="12"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locked="1" w:semiHidden="0" w:uiPriority="64" w:unhideWhenUsed="0"/>
    <w:lsdException w:name="Medium List 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locked="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locked="1" w:semiHidden="0" w:uiPriority="64" w:unhideWhenUsed="0"/>
    <w:lsdException w:name="Medium List 1 Accent 2"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locked="1" w:semiHidden="0" w:uiPriority="64" w:unhideWhenUsed="0"/>
    <w:lsdException w:name="Medium List 1 Accent 3"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locked="1" w:semiHidden="0" w:uiPriority="64" w:unhideWhenUsed="0"/>
    <w:lsdException w:name="Medium List 1 Accent 4"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locked="1" w:semiHidden="0" w:uiPriority="64" w:unhideWhenUsed="0"/>
    <w:lsdException w:name="Medium List 1 Accent 5"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locked="1" w:semiHidden="0" w:uiPriority="64" w:unhideWhenUsed="0"/>
    <w:lsdException w:name="Medium List 1 Accent 6"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uiPriority="33" w:unhideWhenUsed="0" w:qFormat="1"/>
    <w:lsdException w:name="Bibliography" w:uiPriority="37"/>
    <w:lsdException w:name="TOC Heading" w:uiPriority="39" w:qFormat="1"/>
  </w:latentStyles>
  <w:style w:type="paragraph" w:default="1" w:styleId="Normal">
    <w:name w:val="Normal"/>
    <w:qFormat/>
    <w:rsid w:val="00721FDE"/>
    <w:pPr>
      <w:spacing w:after="120" w:line="240" w:lineRule="auto"/>
    </w:pPr>
  </w:style>
  <w:style w:type="paragraph" w:styleId="Heading1">
    <w:name w:val="heading 1"/>
    <w:basedOn w:val="Normal"/>
    <w:next w:val="Normal"/>
    <w:link w:val="Heading1Char"/>
    <w:uiPriority w:val="14"/>
    <w:qFormat/>
    <w:rsid w:val="00F00FB8"/>
    <w:pPr>
      <w:keepNext/>
      <w:keepLines/>
      <w:spacing w:before="200" w:after="60"/>
      <w:outlineLvl w:val="0"/>
    </w:pPr>
    <w:rPr>
      <w:rFonts w:asciiTheme="majorHAnsi" w:eastAsiaTheme="majorEastAsia" w:hAnsiTheme="majorHAnsi" w:cstheme="majorBidi"/>
      <w:b/>
      <w:bCs/>
      <w:color w:val="000000" w:themeColor="background2"/>
      <w:sz w:val="32"/>
      <w:szCs w:val="28"/>
    </w:rPr>
  </w:style>
  <w:style w:type="paragraph" w:styleId="Heading2">
    <w:name w:val="heading 2"/>
    <w:basedOn w:val="Normal"/>
    <w:next w:val="Normal"/>
    <w:link w:val="Heading2Char"/>
    <w:uiPriority w:val="14"/>
    <w:qFormat/>
    <w:rsid w:val="00324E8A"/>
    <w:pPr>
      <w:keepNext/>
      <w:keepLines/>
      <w:spacing w:before="200" w:after="40"/>
      <w:outlineLvl w:val="1"/>
    </w:pPr>
    <w:rPr>
      <w:rFonts w:asciiTheme="majorHAnsi" w:eastAsiaTheme="majorEastAsia" w:hAnsiTheme="majorHAnsi" w:cstheme="majorBidi"/>
      <w:b/>
      <w:bCs/>
      <w:color w:val="000000" w:themeColor="background2"/>
      <w:sz w:val="28"/>
      <w:szCs w:val="32"/>
    </w:rPr>
  </w:style>
  <w:style w:type="paragraph" w:styleId="Heading3">
    <w:name w:val="heading 3"/>
    <w:basedOn w:val="Normal"/>
    <w:next w:val="Normal"/>
    <w:link w:val="Heading3Char"/>
    <w:uiPriority w:val="7"/>
    <w:qFormat/>
    <w:rsid w:val="00324E8A"/>
    <w:pPr>
      <w:keepNext/>
      <w:keepLines/>
      <w:spacing w:before="200" w:after="40"/>
      <w:outlineLvl w:val="2"/>
    </w:pPr>
    <w:rPr>
      <w:rFonts w:asciiTheme="majorHAnsi" w:eastAsiaTheme="majorEastAsia" w:hAnsiTheme="majorHAnsi" w:cstheme="majorBidi"/>
      <w:b/>
      <w:bCs/>
      <w:color w:val="000000" w:themeColor="text2"/>
      <w:sz w:val="26"/>
    </w:rPr>
  </w:style>
  <w:style w:type="paragraph" w:styleId="Heading4">
    <w:name w:val="heading 4"/>
    <w:basedOn w:val="Normal"/>
    <w:next w:val="Normal"/>
    <w:link w:val="Heading4Char"/>
    <w:uiPriority w:val="8"/>
    <w:unhideWhenUsed/>
    <w:qFormat/>
    <w:rsid w:val="008D6C0E"/>
    <w:pPr>
      <w:keepNext/>
      <w:keepLines/>
      <w:spacing w:before="200" w:after="0"/>
      <w:outlineLvl w:val="3"/>
    </w:pPr>
    <w:rPr>
      <w:rFonts w:asciiTheme="majorHAnsi" w:eastAsiaTheme="majorEastAsia" w:hAnsiTheme="majorHAnsi" w:cstheme="majorBidi"/>
      <w:b/>
      <w:bCs/>
      <w:iCs/>
      <w:color w:val="000000" w:themeColor="accent1"/>
      <w:sz w:val="24"/>
    </w:rPr>
  </w:style>
  <w:style w:type="paragraph" w:styleId="Heading5">
    <w:name w:val="heading 5"/>
    <w:basedOn w:val="Normal"/>
    <w:next w:val="Normal"/>
    <w:link w:val="Heading5Char"/>
    <w:uiPriority w:val="9"/>
    <w:unhideWhenUsed/>
    <w:qFormat/>
    <w:rsid w:val="008D6C0E"/>
    <w:pPr>
      <w:keepNext/>
      <w:keepLines/>
      <w:spacing w:before="200" w:after="0"/>
      <w:outlineLvl w:val="4"/>
    </w:pPr>
    <w:rPr>
      <w:rFonts w:asciiTheme="majorHAnsi" w:eastAsiaTheme="majorEastAsia" w:hAnsiTheme="majorHAnsi" w:cstheme="majorBidi"/>
      <w:color w:val="000000" w:themeColor="accent1" w:themeShade="7F"/>
      <w:sz w:val="24"/>
    </w:rPr>
  </w:style>
  <w:style w:type="paragraph" w:styleId="Heading6">
    <w:name w:val="heading 6"/>
    <w:basedOn w:val="Normal"/>
    <w:next w:val="Normal"/>
    <w:link w:val="Heading6Char"/>
    <w:uiPriority w:val="9"/>
    <w:unhideWhenUsed/>
    <w:qFormat/>
    <w:rsid w:val="008D6C0E"/>
    <w:pPr>
      <w:keepNext/>
      <w:keepLines/>
      <w:spacing w:before="200" w:after="0"/>
      <w:outlineLvl w:val="5"/>
    </w:pPr>
    <w:rPr>
      <w:rFonts w:asciiTheme="majorHAnsi" w:eastAsiaTheme="majorEastAsia" w:hAnsiTheme="majorHAnsi" w:cstheme="majorBidi"/>
      <w:i/>
      <w:iCs/>
      <w:color w:val="000000" w:themeColor="accent1" w:themeShade="7F"/>
      <w:sz w:val="24"/>
      <w:u w:val="single"/>
    </w:rPr>
  </w:style>
  <w:style w:type="paragraph" w:styleId="Heading7">
    <w:name w:val="heading 7"/>
    <w:basedOn w:val="Normal"/>
    <w:next w:val="Normal"/>
    <w:link w:val="Heading7Char"/>
    <w:uiPriority w:val="9"/>
    <w:unhideWhenUsed/>
    <w:qFormat/>
    <w:rsid w:val="00FF6E67"/>
    <w:pPr>
      <w:keepNext/>
      <w:keepLines/>
      <w:spacing w:before="20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rsid w:val="00BC472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C47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4"/>
    <w:rsid w:val="00F00FB8"/>
    <w:rPr>
      <w:rFonts w:asciiTheme="majorHAnsi" w:eastAsiaTheme="majorEastAsia" w:hAnsiTheme="majorHAnsi" w:cstheme="majorBidi"/>
      <w:b/>
      <w:bCs/>
      <w:color w:val="000000" w:themeColor="background2"/>
      <w:sz w:val="32"/>
      <w:szCs w:val="28"/>
    </w:rPr>
  </w:style>
  <w:style w:type="paragraph" w:styleId="Header">
    <w:name w:val="header"/>
    <w:basedOn w:val="Normal"/>
    <w:link w:val="HeaderChar"/>
    <w:uiPriority w:val="99"/>
    <w:unhideWhenUsed/>
    <w:rsid w:val="004B071D"/>
    <w:pPr>
      <w:tabs>
        <w:tab w:val="center" w:pos="4513"/>
        <w:tab w:val="right" w:pos="9026"/>
      </w:tabs>
      <w:spacing w:before="240" w:after="0"/>
    </w:pPr>
    <w:rPr>
      <w:noProof/>
      <w:lang w:eastAsia="en-AU"/>
    </w:rPr>
  </w:style>
  <w:style w:type="character" w:customStyle="1" w:styleId="HeaderChar">
    <w:name w:val="Header Char"/>
    <w:basedOn w:val="DefaultParagraphFont"/>
    <w:link w:val="Header"/>
    <w:uiPriority w:val="99"/>
    <w:rsid w:val="004B071D"/>
    <w:rPr>
      <w:noProof/>
      <w:lang w:eastAsia="en-AU"/>
    </w:rPr>
  </w:style>
  <w:style w:type="paragraph" w:styleId="Footer">
    <w:name w:val="footer"/>
    <w:basedOn w:val="Normal"/>
    <w:link w:val="FooterChar"/>
    <w:uiPriority w:val="99"/>
    <w:unhideWhenUsed/>
    <w:rsid w:val="00775A6C"/>
    <w:pPr>
      <w:tabs>
        <w:tab w:val="center" w:pos="4513"/>
        <w:tab w:val="right" w:pos="9026"/>
      </w:tabs>
      <w:spacing w:after="0"/>
    </w:pPr>
  </w:style>
  <w:style w:type="character" w:customStyle="1" w:styleId="FooterChar">
    <w:name w:val="Footer Char"/>
    <w:basedOn w:val="DefaultParagraphFont"/>
    <w:link w:val="Footer"/>
    <w:uiPriority w:val="99"/>
    <w:rsid w:val="00775A6C"/>
  </w:style>
  <w:style w:type="character" w:customStyle="1" w:styleId="Heading2Char">
    <w:name w:val="Heading 2 Char"/>
    <w:basedOn w:val="DefaultParagraphFont"/>
    <w:link w:val="Heading2"/>
    <w:uiPriority w:val="14"/>
    <w:rsid w:val="00324E8A"/>
    <w:rPr>
      <w:rFonts w:asciiTheme="majorHAnsi" w:eastAsiaTheme="majorEastAsia" w:hAnsiTheme="majorHAnsi" w:cstheme="majorBidi"/>
      <w:b/>
      <w:bCs/>
      <w:color w:val="000000" w:themeColor="background2"/>
      <w:sz w:val="28"/>
      <w:szCs w:val="32"/>
    </w:rPr>
  </w:style>
  <w:style w:type="character" w:customStyle="1" w:styleId="Heading3Char">
    <w:name w:val="Heading 3 Char"/>
    <w:basedOn w:val="DefaultParagraphFont"/>
    <w:link w:val="Heading3"/>
    <w:uiPriority w:val="7"/>
    <w:rsid w:val="00324E8A"/>
    <w:rPr>
      <w:rFonts w:asciiTheme="majorHAnsi" w:eastAsiaTheme="majorEastAsia" w:hAnsiTheme="majorHAnsi" w:cstheme="majorBidi"/>
      <w:b/>
      <w:bCs/>
      <w:color w:val="000000" w:themeColor="text2"/>
      <w:sz w:val="26"/>
    </w:rPr>
  </w:style>
  <w:style w:type="paragraph" w:styleId="ListParagraph">
    <w:name w:val="List Paragraph"/>
    <w:basedOn w:val="Normal"/>
    <w:uiPriority w:val="34"/>
    <w:rsid w:val="00430EF8"/>
    <w:pPr>
      <w:ind w:left="720"/>
    </w:pPr>
  </w:style>
  <w:style w:type="paragraph" w:styleId="Quote">
    <w:name w:val="Quote"/>
    <w:basedOn w:val="Normal"/>
    <w:next w:val="Normal"/>
    <w:link w:val="QuoteChar"/>
    <w:uiPriority w:val="28"/>
    <w:qFormat/>
    <w:rsid w:val="00335A8F"/>
    <w:rPr>
      <w:i/>
      <w:iCs/>
      <w:color w:val="000000" w:themeColor="text1"/>
    </w:rPr>
  </w:style>
  <w:style w:type="character" w:customStyle="1" w:styleId="QuoteChar">
    <w:name w:val="Quote Char"/>
    <w:basedOn w:val="DefaultParagraphFont"/>
    <w:link w:val="Quote"/>
    <w:uiPriority w:val="28"/>
    <w:rsid w:val="006D7F4A"/>
    <w:rPr>
      <w:i/>
      <w:iCs/>
      <w:color w:val="000000" w:themeColor="text1"/>
      <w:sz w:val="24"/>
    </w:rPr>
  </w:style>
  <w:style w:type="paragraph" w:customStyle="1" w:styleId="Bullet1">
    <w:name w:val="Bullet 1"/>
    <w:basedOn w:val="Normal"/>
    <w:uiPriority w:val="34"/>
    <w:semiHidden/>
    <w:rsid w:val="00800E03"/>
    <w:pPr>
      <w:numPr>
        <w:numId w:val="6"/>
      </w:numPr>
      <w:tabs>
        <w:tab w:val="num" w:pos="360"/>
      </w:tabs>
      <w:ind w:left="0" w:firstLine="0"/>
    </w:pPr>
  </w:style>
  <w:style w:type="character" w:customStyle="1" w:styleId="Act">
    <w:name w:val="Act"/>
    <w:basedOn w:val="DefaultParagraphFont"/>
    <w:uiPriority w:val="23"/>
    <w:qFormat/>
    <w:rsid w:val="00335A8F"/>
    <w:rPr>
      <w:i/>
    </w:rPr>
  </w:style>
  <w:style w:type="paragraph" w:styleId="Title">
    <w:name w:val="Title"/>
    <w:basedOn w:val="Normal"/>
    <w:next w:val="Subtitle"/>
    <w:link w:val="TitleChar"/>
    <w:uiPriority w:val="11"/>
    <w:qFormat/>
    <w:rsid w:val="000F6308"/>
    <w:pPr>
      <w:spacing w:before="1600" w:after="300"/>
      <w:ind w:right="1088"/>
      <w:contextualSpacing/>
    </w:pPr>
    <w:rPr>
      <w:rFonts w:asciiTheme="majorHAnsi" w:eastAsiaTheme="majorEastAsia" w:hAnsiTheme="majorHAnsi" w:cstheme="majorBidi"/>
      <w:color w:val="000000" w:themeColor="background2"/>
      <w:spacing w:val="5"/>
      <w:kern w:val="28"/>
      <w:sz w:val="72"/>
      <w:szCs w:val="52"/>
    </w:rPr>
  </w:style>
  <w:style w:type="character" w:customStyle="1" w:styleId="TitleChar">
    <w:name w:val="Title Char"/>
    <w:basedOn w:val="DefaultParagraphFont"/>
    <w:link w:val="Title"/>
    <w:uiPriority w:val="11"/>
    <w:rsid w:val="000F6308"/>
    <w:rPr>
      <w:rFonts w:asciiTheme="majorHAnsi" w:eastAsiaTheme="majorEastAsia" w:hAnsiTheme="majorHAnsi" w:cstheme="majorBidi"/>
      <w:color w:val="000000" w:themeColor="background2"/>
      <w:spacing w:val="5"/>
      <w:kern w:val="28"/>
      <w:sz w:val="72"/>
      <w:szCs w:val="52"/>
    </w:rPr>
  </w:style>
  <w:style w:type="paragraph" w:styleId="Subtitle">
    <w:name w:val="Subtitle"/>
    <w:basedOn w:val="Normal"/>
    <w:next w:val="VersionandDate"/>
    <w:link w:val="SubtitleChar"/>
    <w:uiPriority w:val="12"/>
    <w:qFormat/>
    <w:rsid w:val="006472C0"/>
    <w:pPr>
      <w:numPr>
        <w:ilvl w:val="1"/>
      </w:numPr>
    </w:pPr>
    <w:rPr>
      <w:rFonts w:asciiTheme="majorHAnsi" w:eastAsiaTheme="majorEastAsia" w:hAnsiTheme="majorHAnsi" w:cstheme="majorBidi"/>
      <w:iCs/>
      <w:color w:val="000000" w:themeColor="accent1"/>
      <w:spacing w:val="15"/>
      <w:sz w:val="40"/>
      <w:szCs w:val="40"/>
    </w:rPr>
  </w:style>
  <w:style w:type="character" w:customStyle="1" w:styleId="SubtitleChar">
    <w:name w:val="Subtitle Char"/>
    <w:basedOn w:val="DefaultParagraphFont"/>
    <w:link w:val="Subtitle"/>
    <w:uiPriority w:val="12"/>
    <w:rsid w:val="006D7F4A"/>
    <w:rPr>
      <w:rFonts w:asciiTheme="majorHAnsi" w:eastAsiaTheme="majorEastAsia" w:hAnsiTheme="majorHAnsi" w:cstheme="majorBidi"/>
      <w:iCs/>
      <w:color w:val="000000" w:themeColor="accent1"/>
      <w:spacing w:val="15"/>
      <w:sz w:val="40"/>
      <w:szCs w:val="40"/>
    </w:rPr>
  </w:style>
  <w:style w:type="paragraph" w:styleId="BalloonText">
    <w:name w:val="Balloon Text"/>
    <w:basedOn w:val="Normal"/>
    <w:link w:val="BalloonTextChar"/>
    <w:uiPriority w:val="99"/>
    <w:semiHidden/>
    <w:unhideWhenUsed/>
    <w:rsid w:val="008B00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084"/>
    <w:rPr>
      <w:rFonts w:ascii="Tahoma" w:hAnsi="Tahoma" w:cs="Tahoma"/>
      <w:sz w:val="16"/>
      <w:szCs w:val="16"/>
    </w:rPr>
  </w:style>
  <w:style w:type="paragraph" w:customStyle="1" w:styleId="VersionandDate">
    <w:name w:val="Version and Date"/>
    <w:basedOn w:val="Normal"/>
    <w:next w:val="Normal"/>
    <w:uiPriority w:val="13"/>
    <w:qFormat/>
    <w:rsid w:val="006472C0"/>
    <w:rPr>
      <w:sz w:val="28"/>
      <w:szCs w:val="28"/>
    </w:rPr>
  </w:style>
  <w:style w:type="paragraph" w:customStyle="1" w:styleId="Covernote">
    <w:name w:val="Cover note"/>
    <w:basedOn w:val="Normal"/>
    <w:next w:val="Normal"/>
    <w:uiPriority w:val="14"/>
    <w:qFormat/>
    <w:rsid w:val="006472C0"/>
    <w:rPr>
      <w:i/>
    </w:rPr>
  </w:style>
  <w:style w:type="character" w:customStyle="1" w:styleId="Heading4Char">
    <w:name w:val="Heading 4 Char"/>
    <w:basedOn w:val="DefaultParagraphFont"/>
    <w:link w:val="Heading4"/>
    <w:uiPriority w:val="8"/>
    <w:rsid w:val="008D6C0E"/>
    <w:rPr>
      <w:rFonts w:asciiTheme="majorHAnsi" w:eastAsiaTheme="majorEastAsia" w:hAnsiTheme="majorHAnsi" w:cstheme="majorBidi"/>
      <w:b/>
      <w:bCs/>
      <w:iCs/>
      <w:color w:val="000000" w:themeColor="accent1"/>
      <w:sz w:val="24"/>
    </w:rPr>
  </w:style>
  <w:style w:type="table" w:styleId="TableGrid">
    <w:name w:val="Table Grid"/>
    <w:basedOn w:val="TableNormal"/>
    <w:uiPriority w:val="59"/>
    <w:rsid w:val="000B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BEE"/>
    <w:pPr>
      <w:autoSpaceDE w:val="0"/>
      <w:autoSpaceDN w:val="0"/>
      <w:adjustRightInd w:val="0"/>
      <w:spacing w:after="0" w:line="240" w:lineRule="auto"/>
    </w:pPr>
    <w:rPr>
      <w:rFonts w:ascii="Arial" w:hAnsi="Arial" w:cs="Arial"/>
      <w:color w:val="000000"/>
      <w:sz w:val="24"/>
      <w:szCs w:val="24"/>
    </w:rPr>
  </w:style>
  <w:style w:type="table" w:styleId="LightList-Accent6">
    <w:name w:val="Light List Accent 6"/>
    <w:basedOn w:val="TableNormal"/>
    <w:uiPriority w:val="61"/>
    <w:rsid w:val="00EC68AC"/>
    <w:pPr>
      <w:spacing w:before="40" w:after="40" w:line="240" w:lineRule="auto"/>
    </w:p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accent6"/>
      </w:tcPr>
    </w:tblStylePr>
    <w:tblStylePr w:type="lastRow">
      <w:pPr>
        <w:wordWrap/>
        <w:spacing w:beforeLines="0" w:before="40" w:beforeAutospacing="0" w:afterLines="0" w:after="40" w:afterAutospacing="0" w:line="240" w:lineRule="auto"/>
      </w:pPr>
      <w:rPr>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tcBorders>
      </w:tcPr>
    </w:tblStylePr>
    <w:tblStylePr w:type="firstCol">
      <w:rPr>
        <w:b/>
        <w:bCs/>
      </w:rPr>
    </w:tblStylePr>
    <w:tblStylePr w:type="lastCol">
      <w:rPr>
        <w:b/>
        <w:bCs/>
      </w:r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2Horz">
      <w:tblPr/>
      <w:tcPr>
        <w:shd w:val="clear" w:color="auto" w:fill="DBDCDD" w:themeFill="accent4" w:themeFillTint="66"/>
      </w:tcPr>
    </w:tblStylePr>
  </w:style>
  <w:style w:type="table" w:styleId="LightList-Accent3">
    <w:name w:val="Light List Accent 3"/>
    <w:basedOn w:val="TableNormal"/>
    <w:uiPriority w:val="61"/>
    <w:rsid w:val="00842C34"/>
    <w:pPr>
      <w:spacing w:before="40" w:after="40" w:line="240" w:lineRule="auto"/>
    </w:pPr>
    <w:tblPr>
      <w:tblStyleRowBandSize w:val="1"/>
      <w:tblStyleColBandSize w:val="1"/>
      <w:tblBorders>
        <w:top w:val="single" w:sz="8" w:space="0" w:color="58595B" w:themeColor="accent2"/>
        <w:left w:val="single" w:sz="8" w:space="0" w:color="58595B" w:themeColor="accent2"/>
        <w:bottom w:val="single" w:sz="8" w:space="0" w:color="58595B" w:themeColor="accent2"/>
        <w:right w:val="single" w:sz="8" w:space="0" w:color="58595B" w:themeColor="accent2"/>
        <w:insideH w:val="single" w:sz="8" w:space="0" w:color="58595B" w:themeColor="accent2"/>
        <w:insideV w:val="single" w:sz="8" w:space="0" w:color="58595B" w:themeColor="accent2"/>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808285" w:themeColor="accent3"/>
          <w:left w:val="single" w:sz="8" w:space="0" w:color="808285" w:themeColor="accent3"/>
          <w:bottom w:val="single" w:sz="8" w:space="0" w:color="808285" w:themeColor="accent3"/>
          <w:right w:val="single" w:sz="8" w:space="0" w:color="808285" w:themeColor="accent3"/>
        </w:tcBorders>
      </w:tcPr>
    </w:tblStylePr>
    <w:tblStylePr w:type="firstCol">
      <w:rPr>
        <w:b/>
        <w:bCs/>
      </w:rPr>
    </w:tblStylePr>
    <w:tblStylePr w:type="lastCol">
      <w:rPr>
        <w:b/>
        <w:bCs/>
      </w:rPr>
    </w:tblStylePr>
    <w:tblStylePr w:type="band1Vert">
      <w:tblPr/>
      <w:tcPr>
        <w:tcBorders>
          <w:top w:val="single" w:sz="8" w:space="0" w:color="808285" w:themeColor="accent3"/>
          <w:left w:val="single" w:sz="8" w:space="0" w:color="808285" w:themeColor="accent3"/>
          <w:bottom w:val="single" w:sz="8" w:space="0" w:color="808285" w:themeColor="accent3"/>
          <w:right w:val="single" w:sz="8" w:space="0" w:color="808285" w:themeColor="accent3"/>
        </w:tcBorders>
      </w:tcPr>
    </w:tblStylePr>
    <w:tblStylePr w:type="band1Horz">
      <w:tblPr/>
      <w:tcPr>
        <w:tcBorders>
          <w:top w:val="single" w:sz="8" w:space="0" w:color="808285" w:themeColor="accent3"/>
          <w:left w:val="single" w:sz="8" w:space="0" w:color="808285" w:themeColor="accent3"/>
          <w:bottom w:val="single" w:sz="8" w:space="0" w:color="808285" w:themeColor="accent3"/>
          <w:right w:val="single" w:sz="8" w:space="0" w:color="808285" w:themeColor="accent3"/>
        </w:tcBorders>
      </w:tcPr>
    </w:tblStylePr>
    <w:tblStylePr w:type="band2Horz">
      <w:tblPr/>
      <w:tcPr>
        <w:tcBorders>
          <w:top w:val="single" w:sz="8" w:space="0" w:color="58595B" w:themeColor="accent2"/>
          <w:left w:val="single" w:sz="8" w:space="0" w:color="58595B" w:themeColor="accent2"/>
          <w:bottom w:val="single" w:sz="8" w:space="0" w:color="58595B" w:themeColor="accent2"/>
          <w:right w:val="single" w:sz="8" w:space="0" w:color="58595B" w:themeColor="accent2"/>
          <w:insideH w:val="single" w:sz="8" w:space="0" w:color="58595B" w:themeColor="accent2"/>
          <w:insideV w:val="single" w:sz="8" w:space="0" w:color="58595B" w:themeColor="accent2"/>
          <w:tl2br w:val="nil"/>
          <w:tr2bl w:val="nil"/>
        </w:tcBorders>
        <w:shd w:val="clear" w:color="auto" w:fill="A7A9AC" w:themeFill="accent4"/>
      </w:tcPr>
    </w:tblStylePr>
  </w:style>
  <w:style w:type="table" w:styleId="LightShading-Accent4">
    <w:name w:val="Light Shading Accent 4"/>
    <w:basedOn w:val="TableNormal"/>
    <w:uiPriority w:val="60"/>
    <w:locked/>
    <w:rsid w:val="00DC6A18"/>
    <w:pPr>
      <w:spacing w:after="0" w:line="240" w:lineRule="auto"/>
    </w:pPr>
    <w:rPr>
      <w:color w:val="7B7E82" w:themeColor="accent4" w:themeShade="BF"/>
    </w:rPr>
    <w:tblPr>
      <w:tblStyleRowBandSize w:val="1"/>
      <w:tblStyleColBandSize w:val="1"/>
      <w:tblBorders>
        <w:top w:val="single" w:sz="8" w:space="0" w:color="A7A9AC" w:themeColor="accent4"/>
        <w:bottom w:val="single" w:sz="8" w:space="0" w:color="A7A9AC" w:themeColor="accent4"/>
      </w:tblBorders>
    </w:tblPr>
    <w:tblStylePr w:type="firstRow">
      <w:pPr>
        <w:spacing w:before="0" w:after="0" w:line="240" w:lineRule="auto"/>
      </w:pPr>
      <w:rPr>
        <w:b/>
        <w:bCs/>
      </w:rPr>
      <w:tblPr/>
      <w:tcPr>
        <w:tcBorders>
          <w:top w:val="single" w:sz="8" w:space="0" w:color="A7A9AC" w:themeColor="accent4"/>
          <w:left w:val="nil"/>
          <w:bottom w:val="single" w:sz="8" w:space="0" w:color="A7A9AC" w:themeColor="accent4"/>
          <w:right w:val="nil"/>
          <w:insideH w:val="nil"/>
          <w:insideV w:val="nil"/>
        </w:tcBorders>
      </w:tcPr>
    </w:tblStylePr>
    <w:tblStylePr w:type="lastRow">
      <w:pPr>
        <w:spacing w:before="0" w:after="0" w:line="240" w:lineRule="auto"/>
      </w:pPr>
      <w:rPr>
        <w:b/>
        <w:bCs/>
      </w:rPr>
      <w:tblPr/>
      <w:tcPr>
        <w:tcBorders>
          <w:top w:val="single" w:sz="8" w:space="0" w:color="A7A9AC" w:themeColor="accent4"/>
          <w:left w:val="nil"/>
          <w:bottom w:val="single" w:sz="8" w:space="0" w:color="A7A9A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A" w:themeFill="accent4" w:themeFillTint="3F"/>
      </w:tcPr>
    </w:tblStylePr>
    <w:tblStylePr w:type="band1Horz">
      <w:tblPr/>
      <w:tcPr>
        <w:tcBorders>
          <w:left w:val="nil"/>
          <w:right w:val="nil"/>
          <w:insideH w:val="nil"/>
          <w:insideV w:val="nil"/>
        </w:tcBorders>
        <w:shd w:val="clear" w:color="auto" w:fill="E9E9EA" w:themeFill="accent4" w:themeFillTint="3F"/>
      </w:tcPr>
    </w:tblStylePr>
  </w:style>
  <w:style w:type="character" w:styleId="Hyperlink">
    <w:name w:val="Hyperlink"/>
    <w:basedOn w:val="DefaultParagraphFont"/>
    <w:uiPriority w:val="99"/>
    <w:unhideWhenUsed/>
    <w:rsid w:val="00771BEE"/>
    <w:rPr>
      <w:color w:val="0000FF" w:themeColor="hyperlink"/>
      <w:u w:val="single"/>
    </w:rPr>
  </w:style>
  <w:style w:type="paragraph" w:styleId="ListBullet">
    <w:name w:val="List Bullet"/>
    <w:basedOn w:val="Normal"/>
    <w:uiPriority w:val="2"/>
    <w:qFormat/>
    <w:rsid w:val="00FF6E67"/>
    <w:pPr>
      <w:numPr>
        <w:numId w:val="15"/>
      </w:numPr>
      <w:tabs>
        <w:tab w:val="clear" w:pos="360"/>
        <w:tab w:val="num" w:pos="720"/>
      </w:tabs>
      <w:ind w:left="714" w:hanging="357"/>
      <w:contextualSpacing/>
    </w:pPr>
  </w:style>
  <w:style w:type="paragraph" w:styleId="ListBullet2">
    <w:name w:val="List Bullet 2"/>
    <w:basedOn w:val="ListBullet"/>
    <w:uiPriority w:val="3"/>
    <w:qFormat/>
    <w:rsid w:val="00FF6E67"/>
    <w:pPr>
      <w:tabs>
        <w:tab w:val="clear" w:pos="720"/>
        <w:tab w:val="num" w:pos="1080"/>
      </w:tabs>
      <w:ind w:left="1083"/>
    </w:pPr>
  </w:style>
  <w:style w:type="character" w:styleId="Emphasis">
    <w:name w:val="Emphasis"/>
    <w:basedOn w:val="DefaultParagraphFont"/>
    <w:uiPriority w:val="20"/>
    <w:qFormat/>
    <w:rsid w:val="009E755B"/>
    <w:rPr>
      <w:i/>
      <w:iCs/>
    </w:rPr>
  </w:style>
  <w:style w:type="character" w:styleId="Strong">
    <w:name w:val="Strong"/>
    <w:basedOn w:val="DefaultParagraphFont"/>
    <w:uiPriority w:val="22"/>
    <w:qFormat/>
    <w:rsid w:val="003773F8"/>
    <w:rPr>
      <w:b/>
      <w:bCs/>
    </w:rPr>
  </w:style>
  <w:style w:type="table" w:styleId="MediumShading1">
    <w:name w:val="Medium Shading 1"/>
    <w:basedOn w:val="TableNormal"/>
    <w:uiPriority w:val="63"/>
    <w:rsid w:val="00842C34"/>
    <w:pPr>
      <w:spacing w:before="40" w:after="4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TOCHeading">
    <w:name w:val="TOC Heading"/>
    <w:basedOn w:val="Heading1"/>
    <w:next w:val="Normal"/>
    <w:uiPriority w:val="39"/>
    <w:unhideWhenUsed/>
    <w:qFormat/>
    <w:rsid w:val="00051651"/>
    <w:pPr>
      <w:outlineLvl w:val="9"/>
    </w:pPr>
    <w:rPr>
      <w:lang w:val="en-US" w:eastAsia="ja-JP"/>
    </w:rPr>
  </w:style>
  <w:style w:type="paragraph" w:styleId="TOC1">
    <w:name w:val="toc 1"/>
    <w:basedOn w:val="Normal"/>
    <w:next w:val="Normal"/>
    <w:autoRedefine/>
    <w:uiPriority w:val="39"/>
    <w:unhideWhenUsed/>
    <w:rsid w:val="00741A3F"/>
    <w:pPr>
      <w:tabs>
        <w:tab w:val="left" w:pos="709"/>
        <w:tab w:val="right" w:leader="dot" w:pos="9016"/>
      </w:tabs>
      <w:spacing w:after="100"/>
    </w:pPr>
    <w:rPr>
      <w:b/>
      <w:noProof/>
      <w:color w:val="000000" w:themeColor="text1"/>
    </w:rPr>
  </w:style>
  <w:style w:type="paragraph" w:styleId="TOC2">
    <w:name w:val="toc 2"/>
    <w:basedOn w:val="Normal"/>
    <w:next w:val="Normal"/>
    <w:autoRedefine/>
    <w:uiPriority w:val="39"/>
    <w:unhideWhenUsed/>
    <w:rsid w:val="00B2651D"/>
    <w:pPr>
      <w:tabs>
        <w:tab w:val="left" w:pos="709"/>
        <w:tab w:val="right" w:leader="dot" w:pos="9016"/>
      </w:tabs>
      <w:spacing w:after="100"/>
    </w:pPr>
    <w:rPr>
      <w:noProof/>
    </w:rPr>
  </w:style>
  <w:style w:type="paragraph" w:styleId="TOC4">
    <w:name w:val="toc 4"/>
    <w:basedOn w:val="Normal"/>
    <w:next w:val="Normal"/>
    <w:autoRedefine/>
    <w:uiPriority w:val="39"/>
    <w:unhideWhenUsed/>
    <w:rsid w:val="00485873"/>
    <w:pPr>
      <w:tabs>
        <w:tab w:val="right" w:leader="dot" w:pos="9016"/>
      </w:tabs>
      <w:spacing w:after="100"/>
    </w:pPr>
    <w:rPr>
      <w:i/>
    </w:rPr>
  </w:style>
  <w:style w:type="paragraph" w:styleId="TOC3">
    <w:name w:val="toc 3"/>
    <w:basedOn w:val="Normal"/>
    <w:next w:val="Normal"/>
    <w:autoRedefine/>
    <w:uiPriority w:val="39"/>
    <w:unhideWhenUsed/>
    <w:rsid w:val="007C4A1B"/>
    <w:pPr>
      <w:tabs>
        <w:tab w:val="left" w:pos="709"/>
        <w:tab w:val="right" w:leader="dot" w:pos="9016"/>
      </w:tabs>
      <w:spacing w:after="100"/>
    </w:pPr>
    <w:rPr>
      <w:i/>
      <w:noProof/>
    </w:rPr>
  </w:style>
  <w:style w:type="table" w:styleId="LightShading-Accent1">
    <w:name w:val="Light Shading Accent 1"/>
    <w:basedOn w:val="TableNormal"/>
    <w:uiPriority w:val="60"/>
    <w:locked/>
    <w:rsid w:val="004B071D"/>
    <w:pPr>
      <w:spacing w:after="0" w:line="240" w:lineRule="auto"/>
    </w:pPr>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
    <w:name w:val="Light Shading"/>
    <w:basedOn w:val="TableNormal"/>
    <w:uiPriority w:val="60"/>
    <w:locked/>
    <w:rsid w:val="00D23C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8037B8"/>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LightList-Accent1">
    <w:name w:val="Light List Accent 1"/>
    <w:basedOn w:val="TableNormal"/>
    <w:uiPriority w:val="61"/>
    <w:rsid w:val="008037B8"/>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LightList-Accent2">
    <w:name w:val="Light List Accent 2"/>
    <w:basedOn w:val="TableNormal"/>
    <w:uiPriority w:val="61"/>
    <w:rsid w:val="00AF1DB3"/>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58595B" w:themeFill="accent2"/>
      </w:tcPr>
    </w:tblStylePr>
    <w:tblStylePr w:type="lastRow">
      <w:pPr>
        <w:wordWrap/>
        <w:spacing w:beforeLines="0" w:before="40" w:beforeAutospacing="0" w:afterLines="0" w:after="4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MediumShading1-Accent3">
    <w:name w:val="Medium Shading 1 Accent 3"/>
    <w:basedOn w:val="TableNormal"/>
    <w:uiPriority w:val="63"/>
    <w:rsid w:val="00842C34"/>
    <w:pPr>
      <w:spacing w:before="40" w:after="40" w:line="240" w:lineRule="auto"/>
    </w:pPr>
    <w:tblPr>
      <w:tblStyleRowBandSize w:val="1"/>
      <w:tblBorders>
        <w:top w:val="single" w:sz="8" w:space="0" w:color="9FA1A3" w:themeColor="accent3" w:themeTint="BF"/>
        <w:left w:val="single" w:sz="8" w:space="0" w:color="9FA1A3" w:themeColor="accent3" w:themeTint="BF"/>
        <w:bottom w:val="single" w:sz="8" w:space="0" w:color="9FA1A3" w:themeColor="accent3" w:themeTint="BF"/>
        <w:right w:val="single" w:sz="8" w:space="0" w:color="9FA1A3" w:themeColor="accent3" w:themeTint="BF"/>
        <w:insideH w:val="single" w:sz="8" w:space="0" w:color="9FA1A3" w:themeColor="accent3" w:themeTint="BF"/>
      </w:tblBorders>
    </w:tblPr>
    <w:tcPr>
      <w:shd w:val="clear" w:color="auto" w:fill="FFFFFF" w:themeFill="background1"/>
    </w:tcPr>
    <w:tblStylePr w:type="firstRow">
      <w:pPr>
        <w:wordWrap/>
        <w:spacing w:beforeLines="0" w:before="40" w:beforeAutospacing="0" w:afterLines="0" w:after="40" w:afterAutospacing="0" w:line="240" w:lineRule="auto"/>
      </w:pPr>
      <w:rPr>
        <w:b/>
        <w:bCs/>
        <w:color w:val="FFFFFF" w:themeColor="background1"/>
      </w:rPr>
      <w:tblPr/>
      <w:tcPr>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9FA1A3" w:themeColor="accent3" w:themeTint="BF"/>
          <w:left w:val="single" w:sz="8" w:space="0" w:color="9FA1A3" w:themeColor="accent3" w:themeTint="BF"/>
          <w:bottom w:val="single" w:sz="8" w:space="0" w:color="9FA1A3" w:themeColor="accent3" w:themeTint="BF"/>
          <w:right w:val="single" w:sz="8" w:space="0" w:color="9FA1A3" w:themeColor="accent3" w:themeTint="BF"/>
          <w:insideH w:val="nil"/>
          <w:insideV w:val="nil"/>
        </w:tcBorders>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tcBorders>
          <w:insideH w:val="nil"/>
          <w:insideV w:val="nil"/>
        </w:tcBorders>
      </w:tcPr>
    </w:tblStylePr>
  </w:style>
  <w:style w:type="table" w:styleId="DarkList-Accent6">
    <w:name w:val="Dark List Accent 6"/>
    <w:basedOn w:val="TableNormal"/>
    <w:uiPriority w:val="70"/>
    <w:locked/>
    <w:rsid w:val="00A07DFA"/>
    <w:pPr>
      <w:spacing w:after="0" w:line="240" w:lineRule="auto"/>
    </w:pPr>
    <w:rPr>
      <w:color w:val="FFFFFF" w:themeColor="background1"/>
    </w:rPr>
    <w:tblPr>
      <w:tblStyleRowBandSize w:val="1"/>
      <w:tblStyleColBandSize w:val="1"/>
    </w:tblPr>
    <w:tcPr>
      <w:shd w:val="clear" w:color="auto" w:fill="0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6" w:themeFillShade="BF"/>
      </w:tcPr>
    </w:tblStylePr>
    <w:tblStylePr w:type="band1Vert">
      <w:tblPr/>
      <w:tcPr>
        <w:tcBorders>
          <w:top w:val="nil"/>
          <w:left w:val="nil"/>
          <w:bottom w:val="nil"/>
          <w:right w:val="nil"/>
          <w:insideH w:val="nil"/>
          <w:insideV w:val="nil"/>
        </w:tcBorders>
        <w:shd w:val="clear" w:color="auto" w:fill="000000" w:themeFill="accent6" w:themeFillShade="BF"/>
      </w:tcPr>
    </w:tblStylePr>
    <w:tblStylePr w:type="band1Horz">
      <w:tblPr/>
      <w:tcPr>
        <w:tcBorders>
          <w:top w:val="nil"/>
          <w:left w:val="nil"/>
          <w:bottom w:val="nil"/>
          <w:right w:val="nil"/>
          <w:insideH w:val="nil"/>
          <w:insideV w:val="nil"/>
        </w:tcBorders>
        <w:shd w:val="clear" w:color="auto" w:fill="000000" w:themeFill="accent6" w:themeFillShade="BF"/>
      </w:tcPr>
    </w:tblStylePr>
  </w:style>
  <w:style w:type="paragraph" w:customStyle="1" w:styleId="OrganisationName">
    <w:name w:val="Organisation Name"/>
    <w:basedOn w:val="Normal"/>
    <w:next w:val="Title"/>
    <w:uiPriority w:val="10"/>
    <w:qFormat/>
    <w:rsid w:val="00396865"/>
    <w:pPr>
      <w:jc w:val="center"/>
    </w:pPr>
    <w:rPr>
      <w:b/>
      <w:sz w:val="36"/>
      <w:szCs w:val="36"/>
    </w:rPr>
  </w:style>
  <w:style w:type="paragraph" w:styleId="Caption">
    <w:name w:val="caption"/>
    <w:basedOn w:val="Normal"/>
    <w:next w:val="Normal"/>
    <w:uiPriority w:val="35"/>
    <w:unhideWhenUsed/>
    <w:rsid w:val="000F6308"/>
    <w:rPr>
      <w:bCs/>
      <w:color w:val="000000" w:themeColor="accent1"/>
      <w:szCs w:val="18"/>
    </w:rPr>
  </w:style>
  <w:style w:type="character" w:customStyle="1" w:styleId="Heading5Char">
    <w:name w:val="Heading 5 Char"/>
    <w:basedOn w:val="DefaultParagraphFont"/>
    <w:link w:val="Heading5"/>
    <w:uiPriority w:val="9"/>
    <w:rsid w:val="008D6C0E"/>
    <w:rPr>
      <w:rFonts w:asciiTheme="majorHAnsi" w:eastAsiaTheme="majorEastAsia" w:hAnsiTheme="majorHAnsi" w:cstheme="majorBidi"/>
      <w:color w:val="000000" w:themeColor="accent1" w:themeShade="7F"/>
      <w:sz w:val="24"/>
    </w:rPr>
  </w:style>
  <w:style w:type="character" w:customStyle="1" w:styleId="Heading6Char">
    <w:name w:val="Heading 6 Char"/>
    <w:basedOn w:val="DefaultParagraphFont"/>
    <w:link w:val="Heading6"/>
    <w:uiPriority w:val="9"/>
    <w:rsid w:val="008D6C0E"/>
    <w:rPr>
      <w:rFonts w:asciiTheme="majorHAnsi" w:eastAsiaTheme="majorEastAsia" w:hAnsiTheme="majorHAnsi" w:cstheme="majorBidi"/>
      <w:i/>
      <w:iCs/>
      <w:color w:val="000000" w:themeColor="accent1" w:themeShade="7F"/>
      <w:sz w:val="24"/>
      <w:u w:val="single"/>
    </w:rPr>
  </w:style>
  <w:style w:type="character" w:customStyle="1" w:styleId="Heading7Char">
    <w:name w:val="Heading 7 Char"/>
    <w:basedOn w:val="DefaultParagraphFont"/>
    <w:link w:val="Heading7"/>
    <w:uiPriority w:val="9"/>
    <w:rsid w:val="00FF6E67"/>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0F630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F6308"/>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741A3F"/>
    <w:rPr>
      <w:color w:val="808080"/>
    </w:rPr>
  </w:style>
  <w:style w:type="paragraph" w:styleId="NoSpacing">
    <w:name w:val="No Spacing"/>
    <w:basedOn w:val="Normal"/>
    <w:uiPriority w:val="1"/>
    <w:qFormat/>
    <w:rsid w:val="00FF6E67"/>
    <w:pPr>
      <w:spacing w:after="0"/>
    </w:pPr>
  </w:style>
  <w:style w:type="table" w:styleId="MediumShading1-Accent1">
    <w:name w:val="Medium Shading 1 Accent 1"/>
    <w:basedOn w:val="TableNormal"/>
    <w:uiPriority w:val="63"/>
    <w:rsid w:val="00842C34"/>
    <w:pPr>
      <w:spacing w:before="40" w:after="40" w:line="240" w:lineRule="auto"/>
    </w:p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wordWrap/>
        <w:spacing w:beforeLines="0" w:before="40" w:beforeAutospacing="0" w:afterLines="0" w:after="40" w:afterAutospacing="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ColorfulList-Accent6">
    <w:name w:val="Colorful List Accent 6"/>
    <w:basedOn w:val="TableNormal"/>
    <w:uiPriority w:val="72"/>
    <w:locked/>
    <w:rsid w:val="007A6284"/>
    <w:pPr>
      <w:spacing w:after="0" w:line="240" w:lineRule="auto"/>
    </w:pPr>
    <w:rPr>
      <w:color w:val="000000" w:themeColor="text1"/>
    </w:rPr>
    <w:tblPr>
      <w:tblStyleRowBandSize w:val="1"/>
      <w:tblStyleColBandSize w:val="1"/>
    </w:tblPr>
    <w:tcPr>
      <w:shd w:val="clear" w:color="auto" w:fill="E6E6E6" w:themeFill="accent6" w:themeFillTint="19"/>
    </w:tcPr>
    <w:tblStylePr w:type="firstRow">
      <w:rPr>
        <w:b/>
        <w:bCs/>
        <w:color w:val="FFFFFF" w:themeColor="background1"/>
      </w:rPr>
      <w:tblPr/>
      <w:tcPr>
        <w:tcBorders>
          <w:bottom w:val="single" w:sz="12" w:space="0" w:color="FFFFFF" w:themeColor="background1"/>
        </w:tcBorders>
        <w:shd w:val="clear" w:color="auto" w:fill="000000" w:themeFill="accent5" w:themeFillShade="CC"/>
      </w:tcPr>
    </w:tblStylePr>
    <w:tblStylePr w:type="lastRow">
      <w:rPr>
        <w:b/>
        <w:bCs/>
        <w:color w:val="000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6" w:themeFillTint="3F"/>
      </w:tcPr>
    </w:tblStylePr>
    <w:tblStylePr w:type="band1Horz">
      <w:tblPr/>
      <w:tcPr>
        <w:shd w:val="clear" w:color="auto" w:fill="CCCCCC" w:themeFill="accent6" w:themeFillTint="33"/>
      </w:tcPr>
    </w:tblStylePr>
  </w:style>
  <w:style w:type="table" w:styleId="LightList-Accent5">
    <w:name w:val="Light List Accent 5"/>
    <w:basedOn w:val="TableNormal"/>
    <w:uiPriority w:val="61"/>
    <w:rsid w:val="00EC68AC"/>
    <w:pPr>
      <w:spacing w:before="40" w:after="40"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accent5"/>
      </w:tcPr>
    </w:tblStylePr>
    <w:tblStylePr w:type="lastRow">
      <w:pPr>
        <w:wordWrap/>
        <w:spacing w:beforeLines="0" w:before="40" w:beforeAutospacing="0" w:afterLines="0" w:after="40" w:afterAutospacing="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2Horz">
      <w:tblPr/>
      <w:tcPr>
        <w:shd w:val="clear" w:color="auto" w:fill="DBDCDD" w:themeFill="accent4" w:themeFillTint="66"/>
      </w:tcPr>
    </w:tblStylePr>
  </w:style>
  <w:style w:type="table" w:styleId="MediumGrid1">
    <w:name w:val="Medium Grid 1"/>
    <w:basedOn w:val="TableNormal"/>
    <w:uiPriority w:val="67"/>
    <w:locked/>
    <w:rsid w:val="007A62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6">
    <w:name w:val="Light Shading Accent 6"/>
    <w:basedOn w:val="TableNormal"/>
    <w:uiPriority w:val="60"/>
    <w:locked/>
    <w:rsid w:val="007A6284"/>
    <w:pPr>
      <w:spacing w:after="0" w:line="240" w:lineRule="auto"/>
    </w:pPr>
    <w:rPr>
      <w:color w:val="000000" w:themeColor="accent6" w:themeShade="BF"/>
    </w:rPr>
    <w:tblPr>
      <w:tblStyleRowBandSize w:val="1"/>
      <w:tblStyleColBandSize w:val="1"/>
      <w:tblBorders>
        <w:top w:val="single" w:sz="8" w:space="0" w:color="000000" w:themeColor="accent6"/>
        <w:bottom w:val="single" w:sz="8" w:space="0" w:color="000000" w:themeColor="accent6"/>
      </w:tblBorders>
    </w:tblPr>
    <w:tblStylePr w:type="fir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la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left w:val="nil"/>
          <w:right w:val="nil"/>
          <w:insideH w:val="nil"/>
          <w:insideV w:val="nil"/>
        </w:tcBorders>
        <w:shd w:val="clear" w:color="auto" w:fill="C0C0C0" w:themeFill="accent6" w:themeFillTint="3F"/>
      </w:tcPr>
    </w:tblStylePr>
  </w:style>
  <w:style w:type="table" w:styleId="MediumShading1-Accent2">
    <w:name w:val="Medium Shading 1 Accent 2"/>
    <w:basedOn w:val="TableNormal"/>
    <w:uiPriority w:val="63"/>
    <w:rsid w:val="00842C34"/>
    <w:pPr>
      <w:spacing w:before="40" w:after="40" w:line="240" w:lineRule="auto"/>
    </w:pPr>
    <w:tblPr>
      <w:tblStyleRowBandSize w:val="1"/>
      <w:tblStyleColBandSize w:val="1"/>
      <w:tblBorders>
        <w:top w:val="single" w:sz="8"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single" w:sz="8" w:space="0" w:color="808285" w:themeColor="accent2"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nil"/>
          <w:insideV w:val="nil"/>
        </w:tcBorders>
        <w:shd w:val="clear" w:color="auto" w:fill="58595B" w:themeFill="accent2"/>
      </w:tcPr>
    </w:tblStylePr>
    <w:tblStylePr w:type="lastRow">
      <w:pPr>
        <w:wordWrap/>
        <w:spacing w:beforeLines="0" w:before="40" w:beforeAutospacing="0" w:afterLines="0" w:after="400" w:afterAutospacing="0" w:line="240" w:lineRule="auto"/>
      </w:pPr>
      <w:rPr>
        <w:b/>
        <w:bCs/>
      </w:rPr>
      <w:tblPr/>
      <w:tcPr>
        <w:tcBorders>
          <w:top w:val="double" w:sz="6"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D5D6" w:themeFill="accent2" w:themeFillTint="3F"/>
      </w:tcPr>
    </w:tblStylePr>
    <w:tblStylePr w:type="band1Horz">
      <w:tblPr/>
      <w:tcPr>
        <w:tcBorders>
          <w:insideH w:val="nil"/>
          <w:insideV w:val="nil"/>
        </w:tcBorders>
        <w:shd w:val="clear" w:color="auto" w:fill="D5D5D6"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42C34"/>
    <w:pPr>
      <w:spacing w:after="0" w:line="240" w:lineRule="auto"/>
    </w:pPr>
    <w:tblPr>
      <w:tblStyleRowBandSize w:val="1"/>
      <w:tblStyleColBandSize w:val="1"/>
      <w:tblBorders>
        <w:top w:val="single" w:sz="8"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single" w:sz="8" w:space="0" w:color="BCBEC0" w:themeColor="accent4" w:themeTint="BF"/>
      </w:tblBorders>
    </w:tblPr>
    <w:tblStylePr w:type="firstRow">
      <w:pPr>
        <w:spacing w:before="0" w:after="0" w:line="240" w:lineRule="auto"/>
      </w:pPr>
      <w:rPr>
        <w:b/>
        <w:bCs/>
        <w:color w:val="FFFFFF" w:themeColor="background1"/>
      </w:rPr>
      <w:tblPr/>
      <w:tcPr>
        <w:tcBorders>
          <w:top w:val="single" w:sz="8"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nil"/>
          <w:insideV w:val="nil"/>
        </w:tcBorders>
        <w:shd w:val="clear" w:color="auto" w:fill="A7A9AC" w:themeFill="accent4"/>
      </w:tcPr>
    </w:tblStylePr>
    <w:tblStylePr w:type="lastRow">
      <w:pPr>
        <w:spacing w:before="0" w:after="0" w:line="240" w:lineRule="auto"/>
      </w:pPr>
      <w:rPr>
        <w:b/>
        <w:bCs/>
      </w:rPr>
      <w:tblPr/>
      <w:tcPr>
        <w:tcBorders>
          <w:top w:val="double" w:sz="6"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E9EA" w:themeFill="accent4" w:themeFillTint="3F"/>
      </w:tcPr>
    </w:tblStylePr>
    <w:tblStylePr w:type="band1Horz">
      <w:tblPr/>
      <w:tcPr>
        <w:tcBorders>
          <w:insideH w:val="nil"/>
          <w:insideV w:val="nil"/>
        </w:tcBorders>
        <w:shd w:val="clear" w:color="auto" w:fill="E9E9EA" w:themeFill="accent4"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842C34"/>
    <w:pPr>
      <w:spacing w:after="0" w:line="240" w:lineRule="auto"/>
    </w:p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18" w:space="0" w:color="000000" w:themeColor="accent6"/>
          <w:right w:val="single" w:sz="8" w:space="0" w:color="000000" w:themeColor="accent6"/>
          <w:insideH w:val="nil"/>
          <w:insideV w:val="single" w:sz="8" w:space="0" w:color="0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insideH w:val="nil"/>
          <w:insideV w:val="single" w:sz="8" w:space="0" w:color="0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shd w:val="clear" w:color="auto" w:fill="C0C0C0" w:themeFill="accent6" w:themeFillTint="3F"/>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shd w:val="clear" w:color="auto" w:fill="C0C0C0" w:themeFill="accent6" w:themeFillTint="3F"/>
      </w:tcPr>
    </w:tblStylePr>
    <w:tblStylePr w:type="band2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tcPr>
    </w:tblStylePr>
  </w:style>
  <w:style w:type="table" w:styleId="MediumShading1-Accent5">
    <w:name w:val="Medium Shading 1 Accent 5"/>
    <w:basedOn w:val="TableNormal"/>
    <w:uiPriority w:val="63"/>
    <w:rsid w:val="00EC68AC"/>
    <w:pPr>
      <w:spacing w:before="40" w:after="40"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cBorders>
        <w:shd w:val="clear" w:color="auto" w:fill="000000" w:themeFill="accent5"/>
      </w:tcPr>
    </w:tblStylePr>
    <w:tblStylePr w:type="lastRow">
      <w:pPr>
        <w:wordWrap/>
        <w:spacing w:beforeLines="0" w:before="40" w:beforeAutospacing="0" w:afterLines="0" w:after="40" w:afterAutospacing="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C864ED"/>
    <w:pPr>
      <w:spacing w:before="40" w:after="40" w:line="240" w:lineRule="auto"/>
    </w:pPr>
    <w:tblPr>
      <w:tblStyleRowBandSize w:val="1"/>
      <w:tblStyleColBandSize w:val="1"/>
      <w:tblBorders>
        <w:top w:val="single" w:sz="8" w:space="0" w:color="808285" w:themeColor="accent3"/>
        <w:left w:val="single" w:sz="8" w:space="0" w:color="808285" w:themeColor="accent3"/>
        <w:bottom w:val="single" w:sz="8" w:space="0" w:color="808285" w:themeColor="accent3"/>
        <w:right w:val="single" w:sz="8" w:space="0" w:color="808285" w:themeColor="accent3"/>
        <w:insideH w:val="single" w:sz="8" w:space="0" w:color="808285" w:themeColor="accent3"/>
        <w:insideV w:val="single" w:sz="8" w:space="0" w:color="808285" w:themeColor="accent3"/>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808285" w:themeColor="accent3"/>
          <w:left w:val="single" w:sz="8" w:space="0" w:color="808285" w:themeColor="accent3"/>
          <w:bottom w:val="single" w:sz="8" w:space="0" w:color="808285" w:themeColor="accent3"/>
          <w:right w:val="single" w:sz="8" w:space="0" w:color="808285" w:themeColor="accent3"/>
          <w:insideH w:val="single" w:sz="8" w:space="0" w:color="808285" w:themeColor="accent3"/>
          <w:insideV w:val="single" w:sz="8" w:space="0" w:color="808285" w:themeColor="accent3"/>
        </w:tcBorders>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808285" w:themeColor="accent3"/>
          <w:left w:val="single" w:sz="8" w:space="0" w:color="808285" w:themeColor="accent3"/>
          <w:bottom w:val="single" w:sz="8" w:space="0" w:color="808285" w:themeColor="accent3"/>
          <w:right w:val="single" w:sz="8" w:space="0" w:color="808285" w:themeColor="accent3"/>
          <w:insideH w:val="nil"/>
          <w:insideV w:val="single" w:sz="8" w:space="0" w:color="808285" w:themeColor="accent3"/>
          <w:tl2br w:val="nil"/>
          <w:tr2bl w:val="nil"/>
        </w:tcBorders>
      </w:tcPr>
    </w:tblStylePr>
    <w:tblStylePr w:type="firstCol">
      <w:rPr>
        <w:b/>
        <w:bCs/>
      </w:rPr>
    </w:tblStylePr>
    <w:tblStylePr w:type="lastCol">
      <w:rPr>
        <w:b/>
        <w:bCs/>
      </w:rPr>
    </w:tblStylePr>
    <w:tblStylePr w:type="band1Vert">
      <w:tblPr/>
      <w:tcPr>
        <w:tcBorders>
          <w:top w:val="single" w:sz="8" w:space="0" w:color="A7A9AC" w:themeColor="accent4"/>
          <w:left w:val="single" w:sz="8" w:space="0" w:color="A7A9AC" w:themeColor="accent4"/>
          <w:bottom w:val="single" w:sz="8" w:space="0" w:color="A7A9AC" w:themeColor="accent4"/>
          <w:right w:val="single" w:sz="8" w:space="0" w:color="A7A9AC" w:themeColor="accent4"/>
        </w:tcBorders>
      </w:tcPr>
    </w:tblStylePr>
    <w:tblStylePr w:type="band1Horz">
      <w:tblPr/>
      <w:tcPr>
        <w:tcBorders>
          <w:top w:val="single" w:sz="8" w:space="0" w:color="A7A9AC" w:themeColor="accent4"/>
          <w:left w:val="single" w:sz="8" w:space="0" w:color="A7A9AC" w:themeColor="accent4"/>
          <w:bottom w:val="single" w:sz="8" w:space="0" w:color="A7A9AC" w:themeColor="accent4"/>
          <w:right w:val="single" w:sz="8" w:space="0" w:color="A7A9AC" w:themeColor="accent4"/>
        </w:tcBorders>
      </w:tcPr>
    </w:tblStylePr>
    <w:tblStylePr w:type="band2Horz">
      <w:tblPr/>
      <w:tcPr>
        <w:shd w:val="clear" w:color="auto" w:fill="A7A9AC" w:themeFill="accent4"/>
      </w:tcPr>
    </w:tblStylePr>
  </w:style>
  <w:style w:type="paragraph" w:styleId="Signature">
    <w:name w:val="Signature"/>
    <w:basedOn w:val="Normal"/>
    <w:link w:val="SignatureChar"/>
    <w:uiPriority w:val="99"/>
    <w:rsid w:val="00723516"/>
    <w:pPr>
      <w:pBdr>
        <w:top w:val="single" w:sz="4" w:space="1" w:color="auto"/>
      </w:pBdr>
      <w:spacing w:before="640" w:after="80"/>
    </w:pPr>
  </w:style>
  <w:style w:type="character" w:customStyle="1" w:styleId="SignatureChar">
    <w:name w:val="Signature Char"/>
    <w:basedOn w:val="DefaultParagraphFont"/>
    <w:link w:val="Signature"/>
    <w:uiPriority w:val="99"/>
    <w:rsid w:val="00723516"/>
  </w:style>
  <w:style w:type="paragraph" w:customStyle="1" w:styleId="Disclaimer">
    <w:name w:val="Disclaimer"/>
    <w:basedOn w:val="Normal"/>
    <w:uiPriority w:val="29"/>
    <w:qFormat/>
    <w:rsid w:val="00723516"/>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4" w:unhideWhenUsed="0" w:qFormat="1"/>
    <w:lsdException w:name="heading 2" w:uiPriority="14"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semiHidden="0" w:unhideWhenUsed="0" w:qFormat="1"/>
    <w:lsdException w:name="List Bullet 2" w:semiHidden="0" w:unhideWhenUsed="0" w:qFormat="1"/>
    <w:lsdException w:name="Title" w:semiHidden="0" w:uiPriority="11" w:unhideWhenUsed="0" w:qFormat="1"/>
    <w:lsdException w:name="Signature" w:semiHidden="0" w:unhideWhenUsed="0"/>
    <w:lsdException w:name="Default Paragraph Font" w:uiPriority="1"/>
    <w:lsdException w:name="Subtitle" w:semiHidden="0" w:uiPriority="12"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locked="1" w:semiHidden="0" w:uiPriority="64" w:unhideWhenUsed="0"/>
    <w:lsdException w:name="Medium List 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locked="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locked="1" w:semiHidden="0" w:uiPriority="64" w:unhideWhenUsed="0"/>
    <w:lsdException w:name="Medium List 1 Accent 2"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locked="1" w:semiHidden="0" w:uiPriority="64" w:unhideWhenUsed="0"/>
    <w:lsdException w:name="Medium List 1 Accent 3"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locked="1" w:semiHidden="0" w:uiPriority="64" w:unhideWhenUsed="0"/>
    <w:lsdException w:name="Medium List 1 Accent 4"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locked="1" w:semiHidden="0" w:uiPriority="64" w:unhideWhenUsed="0"/>
    <w:lsdException w:name="Medium List 1 Accent 5"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locked="1" w:semiHidden="0" w:uiPriority="64" w:unhideWhenUsed="0"/>
    <w:lsdException w:name="Medium List 1 Accent 6"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uiPriority="33" w:unhideWhenUsed="0" w:qFormat="1"/>
    <w:lsdException w:name="Bibliography" w:uiPriority="37"/>
    <w:lsdException w:name="TOC Heading" w:uiPriority="39" w:qFormat="1"/>
  </w:latentStyles>
  <w:style w:type="paragraph" w:default="1" w:styleId="Normal">
    <w:name w:val="Normal"/>
    <w:qFormat/>
    <w:rsid w:val="00721FDE"/>
    <w:pPr>
      <w:spacing w:after="120" w:line="240" w:lineRule="auto"/>
    </w:pPr>
  </w:style>
  <w:style w:type="paragraph" w:styleId="Heading1">
    <w:name w:val="heading 1"/>
    <w:basedOn w:val="Normal"/>
    <w:next w:val="Normal"/>
    <w:link w:val="Heading1Char"/>
    <w:uiPriority w:val="14"/>
    <w:qFormat/>
    <w:rsid w:val="00F00FB8"/>
    <w:pPr>
      <w:keepNext/>
      <w:keepLines/>
      <w:spacing w:before="200" w:after="60"/>
      <w:outlineLvl w:val="0"/>
    </w:pPr>
    <w:rPr>
      <w:rFonts w:asciiTheme="majorHAnsi" w:eastAsiaTheme="majorEastAsia" w:hAnsiTheme="majorHAnsi" w:cstheme="majorBidi"/>
      <w:b/>
      <w:bCs/>
      <w:color w:val="000000" w:themeColor="background2"/>
      <w:sz w:val="32"/>
      <w:szCs w:val="28"/>
    </w:rPr>
  </w:style>
  <w:style w:type="paragraph" w:styleId="Heading2">
    <w:name w:val="heading 2"/>
    <w:basedOn w:val="Normal"/>
    <w:next w:val="Normal"/>
    <w:link w:val="Heading2Char"/>
    <w:uiPriority w:val="14"/>
    <w:qFormat/>
    <w:rsid w:val="00324E8A"/>
    <w:pPr>
      <w:keepNext/>
      <w:keepLines/>
      <w:spacing w:before="200" w:after="40"/>
      <w:outlineLvl w:val="1"/>
    </w:pPr>
    <w:rPr>
      <w:rFonts w:asciiTheme="majorHAnsi" w:eastAsiaTheme="majorEastAsia" w:hAnsiTheme="majorHAnsi" w:cstheme="majorBidi"/>
      <w:b/>
      <w:bCs/>
      <w:color w:val="000000" w:themeColor="background2"/>
      <w:sz w:val="28"/>
      <w:szCs w:val="32"/>
    </w:rPr>
  </w:style>
  <w:style w:type="paragraph" w:styleId="Heading3">
    <w:name w:val="heading 3"/>
    <w:basedOn w:val="Normal"/>
    <w:next w:val="Normal"/>
    <w:link w:val="Heading3Char"/>
    <w:uiPriority w:val="7"/>
    <w:qFormat/>
    <w:rsid w:val="00324E8A"/>
    <w:pPr>
      <w:keepNext/>
      <w:keepLines/>
      <w:spacing w:before="200" w:after="40"/>
      <w:outlineLvl w:val="2"/>
    </w:pPr>
    <w:rPr>
      <w:rFonts w:asciiTheme="majorHAnsi" w:eastAsiaTheme="majorEastAsia" w:hAnsiTheme="majorHAnsi" w:cstheme="majorBidi"/>
      <w:b/>
      <w:bCs/>
      <w:color w:val="000000" w:themeColor="text2"/>
      <w:sz w:val="26"/>
    </w:rPr>
  </w:style>
  <w:style w:type="paragraph" w:styleId="Heading4">
    <w:name w:val="heading 4"/>
    <w:basedOn w:val="Normal"/>
    <w:next w:val="Normal"/>
    <w:link w:val="Heading4Char"/>
    <w:uiPriority w:val="8"/>
    <w:unhideWhenUsed/>
    <w:qFormat/>
    <w:rsid w:val="008D6C0E"/>
    <w:pPr>
      <w:keepNext/>
      <w:keepLines/>
      <w:spacing w:before="200" w:after="0"/>
      <w:outlineLvl w:val="3"/>
    </w:pPr>
    <w:rPr>
      <w:rFonts w:asciiTheme="majorHAnsi" w:eastAsiaTheme="majorEastAsia" w:hAnsiTheme="majorHAnsi" w:cstheme="majorBidi"/>
      <w:b/>
      <w:bCs/>
      <w:iCs/>
      <w:color w:val="000000" w:themeColor="accent1"/>
      <w:sz w:val="24"/>
    </w:rPr>
  </w:style>
  <w:style w:type="paragraph" w:styleId="Heading5">
    <w:name w:val="heading 5"/>
    <w:basedOn w:val="Normal"/>
    <w:next w:val="Normal"/>
    <w:link w:val="Heading5Char"/>
    <w:uiPriority w:val="9"/>
    <w:unhideWhenUsed/>
    <w:qFormat/>
    <w:rsid w:val="008D6C0E"/>
    <w:pPr>
      <w:keepNext/>
      <w:keepLines/>
      <w:spacing w:before="200" w:after="0"/>
      <w:outlineLvl w:val="4"/>
    </w:pPr>
    <w:rPr>
      <w:rFonts w:asciiTheme="majorHAnsi" w:eastAsiaTheme="majorEastAsia" w:hAnsiTheme="majorHAnsi" w:cstheme="majorBidi"/>
      <w:color w:val="000000" w:themeColor="accent1" w:themeShade="7F"/>
      <w:sz w:val="24"/>
    </w:rPr>
  </w:style>
  <w:style w:type="paragraph" w:styleId="Heading6">
    <w:name w:val="heading 6"/>
    <w:basedOn w:val="Normal"/>
    <w:next w:val="Normal"/>
    <w:link w:val="Heading6Char"/>
    <w:uiPriority w:val="9"/>
    <w:unhideWhenUsed/>
    <w:qFormat/>
    <w:rsid w:val="008D6C0E"/>
    <w:pPr>
      <w:keepNext/>
      <w:keepLines/>
      <w:spacing w:before="200" w:after="0"/>
      <w:outlineLvl w:val="5"/>
    </w:pPr>
    <w:rPr>
      <w:rFonts w:asciiTheme="majorHAnsi" w:eastAsiaTheme="majorEastAsia" w:hAnsiTheme="majorHAnsi" w:cstheme="majorBidi"/>
      <w:i/>
      <w:iCs/>
      <w:color w:val="000000" w:themeColor="accent1" w:themeShade="7F"/>
      <w:sz w:val="24"/>
      <w:u w:val="single"/>
    </w:rPr>
  </w:style>
  <w:style w:type="paragraph" w:styleId="Heading7">
    <w:name w:val="heading 7"/>
    <w:basedOn w:val="Normal"/>
    <w:next w:val="Normal"/>
    <w:link w:val="Heading7Char"/>
    <w:uiPriority w:val="9"/>
    <w:unhideWhenUsed/>
    <w:qFormat/>
    <w:rsid w:val="00FF6E67"/>
    <w:pPr>
      <w:keepNext/>
      <w:keepLines/>
      <w:spacing w:before="20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rsid w:val="00BC472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C47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4"/>
    <w:rsid w:val="00F00FB8"/>
    <w:rPr>
      <w:rFonts w:asciiTheme="majorHAnsi" w:eastAsiaTheme="majorEastAsia" w:hAnsiTheme="majorHAnsi" w:cstheme="majorBidi"/>
      <w:b/>
      <w:bCs/>
      <w:color w:val="000000" w:themeColor="background2"/>
      <w:sz w:val="32"/>
      <w:szCs w:val="28"/>
    </w:rPr>
  </w:style>
  <w:style w:type="paragraph" w:styleId="Header">
    <w:name w:val="header"/>
    <w:basedOn w:val="Normal"/>
    <w:link w:val="HeaderChar"/>
    <w:uiPriority w:val="99"/>
    <w:unhideWhenUsed/>
    <w:rsid w:val="004B071D"/>
    <w:pPr>
      <w:tabs>
        <w:tab w:val="center" w:pos="4513"/>
        <w:tab w:val="right" w:pos="9026"/>
      </w:tabs>
      <w:spacing w:before="240" w:after="0"/>
    </w:pPr>
    <w:rPr>
      <w:noProof/>
      <w:lang w:eastAsia="en-AU"/>
    </w:rPr>
  </w:style>
  <w:style w:type="character" w:customStyle="1" w:styleId="HeaderChar">
    <w:name w:val="Header Char"/>
    <w:basedOn w:val="DefaultParagraphFont"/>
    <w:link w:val="Header"/>
    <w:uiPriority w:val="99"/>
    <w:rsid w:val="004B071D"/>
    <w:rPr>
      <w:noProof/>
      <w:lang w:eastAsia="en-AU"/>
    </w:rPr>
  </w:style>
  <w:style w:type="paragraph" w:styleId="Footer">
    <w:name w:val="footer"/>
    <w:basedOn w:val="Normal"/>
    <w:link w:val="FooterChar"/>
    <w:uiPriority w:val="99"/>
    <w:unhideWhenUsed/>
    <w:rsid w:val="00775A6C"/>
    <w:pPr>
      <w:tabs>
        <w:tab w:val="center" w:pos="4513"/>
        <w:tab w:val="right" w:pos="9026"/>
      </w:tabs>
      <w:spacing w:after="0"/>
    </w:pPr>
  </w:style>
  <w:style w:type="character" w:customStyle="1" w:styleId="FooterChar">
    <w:name w:val="Footer Char"/>
    <w:basedOn w:val="DefaultParagraphFont"/>
    <w:link w:val="Footer"/>
    <w:uiPriority w:val="99"/>
    <w:rsid w:val="00775A6C"/>
  </w:style>
  <w:style w:type="character" w:customStyle="1" w:styleId="Heading2Char">
    <w:name w:val="Heading 2 Char"/>
    <w:basedOn w:val="DefaultParagraphFont"/>
    <w:link w:val="Heading2"/>
    <w:uiPriority w:val="14"/>
    <w:rsid w:val="00324E8A"/>
    <w:rPr>
      <w:rFonts w:asciiTheme="majorHAnsi" w:eastAsiaTheme="majorEastAsia" w:hAnsiTheme="majorHAnsi" w:cstheme="majorBidi"/>
      <w:b/>
      <w:bCs/>
      <w:color w:val="000000" w:themeColor="background2"/>
      <w:sz w:val="28"/>
      <w:szCs w:val="32"/>
    </w:rPr>
  </w:style>
  <w:style w:type="character" w:customStyle="1" w:styleId="Heading3Char">
    <w:name w:val="Heading 3 Char"/>
    <w:basedOn w:val="DefaultParagraphFont"/>
    <w:link w:val="Heading3"/>
    <w:uiPriority w:val="7"/>
    <w:rsid w:val="00324E8A"/>
    <w:rPr>
      <w:rFonts w:asciiTheme="majorHAnsi" w:eastAsiaTheme="majorEastAsia" w:hAnsiTheme="majorHAnsi" w:cstheme="majorBidi"/>
      <w:b/>
      <w:bCs/>
      <w:color w:val="000000" w:themeColor="text2"/>
      <w:sz w:val="26"/>
    </w:rPr>
  </w:style>
  <w:style w:type="paragraph" w:styleId="ListParagraph">
    <w:name w:val="List Paragraph"/>
    <w:basedOn w:val="Normal"/>
    <w:uiPriority w:val="34"/>
    <w:rsid w:val="00430EF8"/>
    <w:pPr>
      <w:ind w:left="720"/>
    </w:pPr>
  </w:style>
  <w:style w:type="paragraph" w:styleId="Quote">
    <w:name w:val="Quote"/>
    <w:basedOn w:val="Normal"/>
    <w:next w:val="Normal"/>
    <w:link w:val="QuoteChar"/>
    <w:uiPriority w:val="28"/>
    <w:qFormat/>
    <w:rsid w:val="00335A8F"/>
    <w:rPr>
      <w:i/>
      <w:iCs/>
      <w:color w:val="000000" w:themeColor="text1"/>
    </w:rPr>
  </w:style>
  <w:style w:type="character" w:customStyle="1" w:styleId="QuoteChar">
    <w:name w:val="Quote Char"/>
    <w:basedOn w:val="DefaultParagraphFont"/>
    <w:link w:val="Quote"/>
    <w:uiPriority w:val="28"/>
    <w:rsid w:val="006D7F4A"/>
    <w:rPr>
      <w:i/>
      <w:iCs/>
      <w:color w:val="000000" w:themeColor="text1"/>
      <w:sz w:val="24"/>
    </w:rPr>
  </w:style>
  <w:style w:type="paragraph" w:customStyle="1" w:styleId="Bullet1">
    <w:name w:val="Bullet 1"/>
    <w:basedOn w:val="Normal"/>
    <w:uiPriority w:val="34"/>
    <w:semiHidden/>
    <w:rsid w:val="00800E03"/>
    <w:pPr>
      <w:numPr>
        <w:numId w:val="6"/>
      </w:numPr>
      <w:tabs>
        <w:tab w:val="num" w:pos="360"/>
      </w:tabs>
      <w:ind w:left="0" w:firstLine="0"/>
    </w:pPr>
  </w:style>
  <w:style w:type="character" w:customStyle="1" w:styleId="Act">
    <w:name w:val="Act"/>
    <w:basedOn w:val="DefaultParagraphFont"/>
    <w:uiPriority w:val="23"/>
    <w:qFormat/>
    <w:rsid w:val="00335A8F"/>
    <w:rPr>
      <w:i/>
    </w:rPr>
  </w:style>
  <w:style w:type="paragraph" w:styleId="Title">
    <w:name w:val="Title"/>
    <w:basedOn w:val="Normal"/>
    <w:next w:val="Subtitle"/>
    <w:link w:val="TitleChar"/>
    <w:uiPriority w:val="11"/>
    <w:qFormat/>
    <w:rsid w:val="000F6308"/>
    <w:pPr>
      <w:spacing w:before="1600" w:after="300"/>
      <w:ind w:right="1088"/>
      <w:contextualSpacing/>
    </w:pPr>
    <w:rPr>
      <w:rFonts w:asciiTheme="majorHAnsi" w:eastAsiaTheme="majorEastAsia" w:hAnsiTheme="majorHAnsi" w:cstheme="majorBidi"/>
      <w:color w:val="000000" w:themeColor="background2"/>
      <w:spacing w:val="5"/>
      <w:kern w:val="28"/>
      <w:sz w:val="72"/>
      <w:szCs w:val="52"/>
    </w:rPr>
  </w:style>
  <w:style w:type="character" w:customStyle="1" w:styleId="TitleChar">
    <w:name w:val="Title Char"/>
    <w:basedOn w:val="DefaultParagraphFont"/>
    <w:link w:val="Title"/>
    <w:uiPriority w:val="11"/>
    <w:rsid w:val="000F6308"/>
    <w:rPr>
      <w:rFonts w:asciiTheme="majorHAnsi" w:eastAsiaTheme="majorEastAsia" w:hAnsiTheme="majorHAnsi" w:cstheme="majorBidi"/>
      <w:color w:val="000000" w:themeColor="background2"/>
      <w:spacing w:val="5"/>
      <w:kern w:val="28"/>
      <w:sz w:val="72"/>
      <w:szCs w:val="52"/>
    </w:rPr>
  </w:style>
  <w:style w:type="paragraph" w:styleId="Subtitle">
    <w:name w:val="Subtitle"/>
    <w:basedOn w:val="Normal"/>
    <w:next w:val="VersionandDate"/>
    <w:link w:val="SubtitleChar"/>
    <w:uiPriority w:val="12"/>
    <w:qFormat/>
    <w:rsid w:val="006472C0"/>
    <w:pPr>
      <w:numPr>
        <w:ilvl w:val="1"/>
      </w:numPr>
    </w:pPr>
    <w:rPr>
      <w:rFonts w:asciiTheme="majorHAnsi" w:eastAsiaTheme="majorEastAsia" w:hAnsiTheme="majorHAnsi" w:cstheme="majorBidi"/>
      <w:iCs/>
      <w:color w:val="000000" w:themeColor="accent1"/>
      <w:spacing w:val="15"/>
      <w:sz w:val="40"/>
      <w:szCs w:val="40"/>
    </w:rPr>
  </w:style>
  <w:style w:type="character" w:customStyle="1" w:styleId="SubtitleChar">
    <w:name w:val="Subtitle Char"/>
    <w:basedOn w:val="DefaultParagraphFont"/>
    <w:link w:val="Subtitle"/>
    <w:uiPriority w:val="12"/>
    <w:rsid w:val="006D7F4A"/>
    <w:rPr>
      <w:rFonts w:asciiTheme="majorHAnsi" w:eastAsiaTheme="majorEastAsia" w:hAnsiTheme="majorHAnsi" w:cstheme="majorBidi"/>
      <w:iCs/>
      <w:color w:val="000000" w:themeColor="accent1"/>
      <w:spacing w:val="15"/>
      <w:sz w:val="40"/>
      <w:szCs w:val="40"/>
    </w:rPr>
  </w:style>
  <w:style w:type="paragraph" w:styleId="BalloonText">
    <w:name w:val="Balloon Text"/>
    <w:basedOn w:val="Normal"/>
    <w:link w:val="BalloonTextChar"/>
    <w:uiPriority w:val="99"/>
    <w:semiHidden/>
    <w:unhideWhenUsed/>
    <w:rsid w:val="008B008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084"/>
    <w:rPr>
      <w:rFonts w:ascii="Tahoma" w:hAnsi="Tahoma" w:cs="Tahoma"/>
      <w:sz w:val="16"/>
      <w:szCs w:val="16"/>
    </w:rPr>
  </w:style>
  <w:style w:type="paragraph" w:customStyle="1" w:styleId="VersionandDate">
    <w:name w:val="Version and Date"/>
    <w:basedOn w:val="Normal"/>
    <w:next w:val="Normal"/>
    <w:uiPriority w:val="13"/>
    <w:qFormat/>
    <w:rsid w:val="006472C0"/>
    <w:rPr>
      <w:sz w:val="28"/>
      <w:szCs w:val="28"/>
    </w:rPr>
  </w:style>
  <w:style w:type="paragraph" w:customStyle="1" w:styleId="Covernote">
    <w:name w:val="Cover note"/>
    <w:basedOn w:val="Normal"/>
    <w:next w:val="Normal"/>
    <w:uiPriority w:val="14"/>
    <w:qFormat/>
    <w:rsid w:val="006472C0"/>
    <w:rPr>
      <w:i/>
    </w:rPr>
  </w:style>
  <w:style w:type="character" w:customStyle="1" w:styleId="Heading4Char">
    <w:name w:val="Heading 4 Char"/>
    <w:basedOn w:val="DefaultParagraphFont"/>
    <w:link w:val="Heading4"/>
    <w:uiPriority w:val="8"/>
    <w:rsid w:val="008D6C0E"/>
    <w:rPr>
      <w:rFonts w:asciiTheme="majorHAnsi" w:eastAsiaTheme="majorEastAsia" w:hAnsiTheme="majorHAnsi" w:cstheme="majorBidi"/>
      <w:b/>
      <w:bCs/>
      <w:iCs/>
      <w:color w:val="000000" w:themeColor="accent1"/>
      <w:sz w:val="24"/>
    </w:rPr>
  </w:style>
  <w:style w:type="table" w:styleId="TableGrid">
    <w:name w:val="Table Grid"/>
    <w:basedOn w:val="TableNormal"/>
    <w:uiPriority w:val="59"/>
    <w:rsid w:val="000B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BEE"/>
    <w:pPr>
      <w:autoSpaceDE w:val="0"/>
      <w:autoSpaceDN w:val="0"/>
      <w:adjustRightInd w:val="0"/>
      <w:spacing w:after="0" w:line="240" w:lineRule="auto"/>
    </w:pPr>
    <w:rPr>
      <w:rFonts w:ascii="Arial" w:hAnsi="Arial" w:cs="Arial"/>
      <w:color w:val="000000"/>
      <w:sz w:val="24"/>
      <w:szCs w:val="24"/>
    </w:rPr>
  </w:style>
  <w:style w:type="table" w:styleId="LightList-Accent6">
    <w:name w:val="Light List Accent 6"/>
    <w:basedOn w:val="TableNormal"/>
    <w:uiPriority w:val="61"/>
    <w:rsid w:val="00EC68AC"/>
    <w:pPr>
      <w:spacing w:before="40" w:after="40" w:line="240" w:lineRule="auto"/>
    </w:p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accent6"/>
      </w:tcPr>
    </w:tblStylePr>
    <w:tblStylePr w:type="lastRow">
      <w:pPr>
        <w:wordWrap/>
        <w:spacing w:beforeLines="0" w:before="40" w:beforeAutospacing="0" w:afterLines="0" w:after="40" w:afterAutospacing="0" w:line="240" w:lineRule="auto"/>
      </w:pPr>
      <w:rPr>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tcBorders>
      </w:tcPr>
    </w:tblStylePr>
    <w:tblStylePr w:type="firstCol">
      <w:rPr>
        <w:b/>
        <w:bCs/>
      </w:rPr>
    </w:tblStylePr>
    <w:tblStylePr w:type="lastCol">
      <w:rPr>
        <w:b/>
        <w:bCs/>
      </w:r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2Horz">
      <w:tblPr/>
      <w:tcPr>
        <w:shd w:val="clear" w:color="auto" w:fill="DBDCDD" w:themeFill="accent4" w:themeFillTint="66"/>
      </w:tcPr>
    </w:tblStylePr>
  </w:style>
  <w:style w:type="table" w:styleId="LightList-Accent3">
    <w:name w:val="Light List Accent 3"/>
    <w:basedOn w:val="TableNormal"/>
    <w:uiPriority w:val="61"/>
    <w:rsid w:val="00842C34"/>
    <w:pPr>
      <w:spacing w:before="40" w:after="40" w:line="240" w:lineRule="auto"/>
    </w:pPr>
    <w:tblPr>
      <w:tblStyleRowBandSize w:val="1"/>
      <w:tblStyleColBandSize w:val="1"/>
      <w:tblBorders>
        <w:top w:val="single" w:sz="8" w:space="0" w:color="58595B" w:themeColor="accent2"/>
        <w:left w:val="single" w:sz="8" w:space="0" w:color="58595B" w:themeColor="accent2"/>
        <w:bottom w:val="single" w:sz="8" w:space="0" w:color="58595B" w:themeColor="accent2"/>
        <w:right w:val="single" w:sz="8" w:space="0" w:color="58595B" w:themeColor="accent2"/>
        <w:insideH w:val="single" w:sz="8" w:space="0" w:color="58595B" w:themeColor="accent2"/>
        <w:insideV w:val="single" w:sz="8" w:space="0" w:color="58595B" w:themeColor="accent2"/>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808285" w:themeColor="accent3"/>
          <w:left w:val="single" w:sz="8" w:space="0" w:color="808285" w:themeColor="accent3"/>
          <w:bottom w:val="single" w:sz="8" w:space="0" w:color="808285" w:themeColor="accent3"/>
          <w:right w:val="single" w:sz="8" w:space="0" w:color="808285" w:themeColor="accent3"/>
        </w:tcBorders>
      </w:tcPr>
    </w:tblStylePr>
    <w:tblStylePr w:type="firstCol">
      <w:rPr>
        <w:b/>
        <w:bCs/>
      </w:rPr>
    </w:tblStylePr>
    <w:tblStylePr w:type="lastCol">
      <w:rPr>
        <w:b/>
        <w:bCs/>
      </w:rPr>
    </w:tblStylePr>
    <w:tblStylePr w:type="band1Vert">
      <w:tblPr/>
      <w:tcPr>
        <w:tcBorders>
          <w:top w:val="single" w:sz="8" w:space="0" w:color="808285" w:themeColor="accent3"/>
          <w:left w:val="single" w:sz="8" w:space="0" w:color="808285" w:themeColor="accent3"/>
          <w:bottom w:val="single" w:sz="8" w:space="0" w:color="808285" w:themeColor="accent3"/>
          <w:right w:val="single" w:sz="8" w:space="0" w:color="808285" w:themeColor="accent3"/>
        </w:tcBorders>
      </w:tcPr>
    </w:tblStylePr>
    <w:tblStylePr w:type="band1Horz">
      <w:tblPr/>
      <w:tcPr>
        <w:tcBorders>
          <w:top w:val="single" w:sz="8" w:space="0" w:color="808285" w:themeColor="accent3"/>
          <w:left w:val="single" w:sz="8" w:space="0" w:color="808285" w:themeColor="accent3"/>
          <w:bottom w:val="single" w:sz="8" w:space="0" w:color="808285" w:themeColor="accent3"/>
          <w:right w:val="single" w:sz="8" w:space="0" w:color="808285" w:themeColor="accent3"/>
        </w:tcBorders>
      </w:tcPr>
    </w:tblStylePr>
    <w:tblStylePr w:type="band2Horz">
      <w:tblPr/>
      <w:tcPr>
        <w:tcBorders>
          <w:top w:val="single" w:sz="8" w:space="0" w:color="58595B" w:themeColor="accent2"/>
          <w:left w:val="single" w:sz="8" w:space="0" w:color="58595B" w:themeColor="accent2"/>
          <w:bottom w:val="single" w:sz="8" w:space="0" w:color="58595B" w:themeColor="accent2"/>
          <w:right w:val="single" w:sz="8" w:space="0" w:color="58595B" w:themeColor="accent2"/>
          <w:insideH w:val="single" w:sz="8" w:space="0" w:color="58595B" w:themeColor="accent2"/>
          <w:insideV w:val="single" w:sz="8" w:space="0" w:color="58595B" w:themeColor="accent2"/>
          <w:tl2br w:val="nil"/>
          <w:tr2bl w:val="nil"/>
        </w:tcBorders>
        <w:shd w:val="clear" w:color="auto" w:fill="A7A9AC" w:themeFill="accent4"/>
      </w:tcPr>
    </w:tblStylePr>
  </w:style>
  <w:style w:type="table" w:styleId="LightShading-Accent4">
    <w:name w:val="Light Shading Accent 4"/>
    <w:basedOn w:val="TableNormal"/>
    <w:uiPriority w:val="60"/>
    <w:locked/>
    <w:rsid w:val="00DC6A18"/>
    <w:pPr>
      <w:spacing w:after="0" w:line="240" w:lineRule="auto"/>
    </w:pPr>
    <w:rPr>
      <w:color w:val="7B7E82" w:themeColor="accent4" w:themeShade="BF"/>
    </w:rPr>
    <w:tblPr>
      <w:tblStyleRowBandSize w:val="1"/>
      <w:tblStyleColBandSize w:val="1"/>
      <w:tblBorders>
        <w:top w:val="single" w:sz="8" w:space="0" w:color="A7A9AC" w:themeColor="accent4"/>
        <w:bottom w:val="single" w:sz="8" w:space="0" w:color="A7A9AC" w:themeColor="accent4"/>
      </w:tblBorders>
    </w:tblPr>
    <w:tblStylePr w:type="firstRow">
      <w:pPr>
        <w:spacing w:before="0" w:after="0" w:line="240" w:lineRule="auto"/>
      </w:pPr>
      <w:rPr>
        <w:b/>
        <w:bCs/>
      </w:rPr>
      <w:tblPr/>
      <w:tcPr>
        <w:tcBorders>
          <w:top w:val="single" w:sz="8" w:space="0" w:color="A7A9AC" w:themeColor="accent4"/>
          <w:left w:val="nil"/>
          <w:bottom w:val="single" w:sz="8" w:space="0" w:color="A7A9AC" w:themeColor="accent4"/>
          <w:right w:val="nil"/>
          <w:insideH w:val="nil"/>
          <w:insideV w:val="nil"/>
        </w:tcBorders>
      </w:tcPr>
    </w:tblStylePr>
    <w:tblStylePr w:type="lastRow">
      <w:pPr>
        <w:spacing w:before="0" w:after="0" w:line="240" w:lineRule="auto"/>
      </w:pPr>
      <w:rPr>
        <w:b/>
        <w:bCs/>
      </w:rPr>
      <w:tblPr/>
      <w:tcPr>
        <w:tcBorders>
          <w:top w:val="single" w:sz="8" w:space="0" w:color="A7A9AC" w:themeColor="accent4"/>
          <w:left w:val="nil"/>
          <w:bottom w:val="single" w:sz="8" w:space="0" w:color="A7A9A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A" w:themeFill="accent4" w:themeFillTint="3F"/>
      </w:tcPr>
    </w:tblStylePr>
    <w:tblStylePr w:type="band1Horz">
      <w:tblPr/>
      <w:tcPr>
        <w:tcBorders>
          <w:left w:val="nil"/>
          <w:right w:val="nil"/>
          <w:insideH w:val="nil"/>
          <w:insideV w:val="nil"/>
        </w:tcBorders>
        <w:shd w:val="clear" w:color="auto" w:fill="E9E9EA" w:themeFill="accent4" w:themeFillTint="3F"/>
      </w:tcPr>
    </w:tblStylePr>
  </w:style>
  <w:style w:type="character" w:styleId="Hyperlink">
    <w:name w:val="Hyperlink"/>
    <w:basedOn w:val="DefaultParagraphFont"/>
    <w:uiPriority w:val="99"/>
    <w:unhideWhenUsed/>
    <w:rsid w:val="00771BEE"/>
    <w:rPr>
      <w:color w:val="0000FF" w:themeColor="hyperlink"/>
      <w:u w:val="single"/>
    </w:rPr>
  </w:style>
  <w:style w:type="paragraph" w:styleId="ListBullet">
    <w:name w:val="List Bullet"/>
    <w:basedOn w:val="Normal"/>
    <w:uiPriority w:val="2"/>
    <w:qFormat/>
    <w:rsid w:val="00FF6E67"/>
    <w:pPr>
      <w:numPr>
        <w:numId w:val="15"/>
      </w:numPr>
      <w:tabs>
        <w:tab w:val="clear" w:pos="360"/>
        <w:tab w:val="num" w:pos="720"/>
      </w:tabs>
      <w:ind w:left="714" w:hanging="357"/>
      <w:contextualSpacing/>
    </w:pPr>
  </w:style>
  <w:style w:type="paragraph" w:styleId="ListBullet2">
    <w:name w:val="List Bullet 2"/>
    <w:basedOn w:val="ListBullet"/>
    <w:uiPriority w:val="3"/>
    <w:qFormat/>
    <w:rsid w:val="00FF6E67"/>
    <w:pPr>
      <w:tabs>
        <w:tab w:val="clear" w:pos="720"/>
        <w:tab w:val="num" w:pos="1080"/>
      </w:tabs>
      <w:ind w:left="1083"/>
    </w:pPr>
  </w:style>
  <w:style w:type="character" w:styleId="Emphasis">
    <w:name w:val="Emphasis"/>
    <w:basedOn w:val="DefaultParagraphFont"/>
    <w:uiPriority w:val="20"/>
    <w:qFormat/>
    <w:rsid w:val="009E755B"/>
    <w:rPr>
      <w:i/>
      <w:iCs/>
    </w:rPr>
  </w:style>
  <w:style w:type="character" w:styleId="Strong">
    <w:name w:val="Strong"/>
    <w:basedOn w:val="DefaultParagraphFont"/>
    <w:uiPriority w:val="22"/>
    <w:qFormat/>
    <w:rsid w:val="003773F8"/>
    <w:rPr>
      <w:b/>
      <w:bCs/>
    </w:rPr>
  </w:style>
  <w:style w:type="table" w:styleId="MediumShading1">
    <w:name w:val="Medium Shading 1"/>
    <w:basedOn w:val="TableNormal"/>
    <w:uiPriority w:val="63"/>
    <w:rsid w:val="00842C34"/>
    <w:pPr>
      <w:spacing w:before="40" w:after="4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TOCHeading">
    <w:name w:val="TOC Heading"/>
    <w:basedOn w:val="Heading1"/>
    <w:next w:val="Normal"/>
    <w:uiPriority w:val="39"/>
    <w:unhideWhenUsed/>
    <w:qFormat/>
    <w:rsid w:val="00051651"/>
    <w:pPr>
      <w:outlineLvl w:val="9"/>
    </w:pPr>
    <w:rPr>
      <w:lang w:val="en-US" w:eastAsia="ja-JP"/>
    </w:rPr>
  </w:style>
  <w:style w:type="paragraph" w:styleId="TOC1">
    <w:name w:val="toc 1"/>
    <w:basedOn w:val="Normal"/>
    <w:next w:val="Normal"/>
    <w:autoRedefine/>
    <w:uiPriority w:val="39"/>
    <w:unhideWhenUsed/>
    <w:rsid w:val="00741A3F"/>
    <w:pPr>
      <w:tabs>
        <w:tab w:val="left" w:pos="709"/>
        <w:tab w:val="right" w:leader="dot" w:pos="9016"/>
      </w:tabs>
      <w:spacing w:after="100"/>
    </w:pPr>
    <w:rPr>
      <w:b/>
      <w:noProof/>
      <w:color w:val="000000" w:themeColor="text1"/>
    </w:rPr>
  </w:style>
  <w:style w:type="paragraph" w:styleId="TOC2">
    <w:name w:val="toc 2"/>
    <w:basedOn w:val="Normal"/>
    <w:next w:val="Normal"/>
    <w:autoRedefine/>
    <w:uiPriority w:val="39"/>
    <w:unhideWhenUsed/>
    <w:rsid w:val="00B2651D"/>
    <w:pPr>
      <w:tabs>
        <w:tab w:val="left" w:pos="709"/>
        <w:tab w:val="right" w:leader="dot" w:pos="9016"/>
      </w:tabs>
      <w:spacing w:after="100"/>
    </w:pPr>
    <w:rPr>
      <w:noProof/>
    </w:rPr>
  </w:style>
  <w:style w:type="paragraph" w:styleId="TOC4">
    <w:name w:val="toc 4"/>
    <w:basedOn w:val="Normal"/>
    <w:next w:val="Normal"/>
    <w:autoRedefine/>
    <w:uiPriority w:val="39"/>
    <w:unhideWhenUsed/>
    <w:rsid w:val="00485873"/>
    <w:pPr>
      <w:tabs>
        <w:tab w:val="right" w:leader="dot" w:pos="9016"/>
      </w:tabs>
      <w:spacing w:after="100"/>
    </w:pPr>
    <w:rPr>
      <w:i/>
    </w:rPr>
  </w:style>
  <w:style w:type="paragraph" w:styleId="TOC3">
    <w:name w:val="toc 3"/>
    <w:basedOn w:val="Normal"/>
    <w:next w:val="Normal"/>
    <w:autoRedefine/>
    <w:uiPriority w:val="39"/>
    <w:unhideWhenUsed/>
    <w:rsid w:val="007C4A1B"/>
    <w:pPr>
      <w:tabs>
        <w:tab w:val="left" w:pos="709"/>
        <w:tab w:val="right" w:leader="dot" w:pos="9016"/>
      </w:tabs>
      <w:spacing w:after="100"/>
    </w:pPr>
    <w:rPr>
      <w:i/>
      <w:noProof/>
    </w:rPr>
  </w:style>
  <w:style w:type="table" w:styleId="LightShading-Accent1">
    <w:name w:val="Light Shading Accent 1"/>
    <w:basedOn w:val="TableNormal"/>
    <w:uiPriority w:val="60"/>
    <w:locked/>
    <w:rsid w:val="004B071D"/>
    <w:pPr>
      <w:spacing w:after="0" w:line="240" w:lineRule="auto"/>
    </w:pPr>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
    <w:name w:val="Light Shading"/>
    <w:basedOn w:val="TableNormal"/>
    <w:uiPriority w:val="60"/>
    <w:locked/>
    <w:rsid w:val="00D23C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8037B8"/>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LightList-Accent1">
    <w:name w:val="Light List Accent 1"/>
    <w:basedOn w:val="TableNormal"/>
    <w:uiPriority w:val="61"/>
    <w:rsid w:val="008037B8"/>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LightList-Accent2">
    <w:name w:val="Light List Accent 2"/>
    <w:basedOn w:val="TableNormal"/>
    <w:uiPriority w:val="61"/>
    <w:rsid w:val="00AF1DB3"/>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58595B" w:themeFill="accent2"/>
      </w:tcPr>
    </w:tblStylePr>
    <w:tblStylePr w:type="lastRow">
      <w:pPr>
        <w:wordWrap/>
        <w:spacing w:beforeLines="0" w:before="40" w:beforeAutospacing="0" w:afterLines="0" w:after="4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MediumShading1-Accent3">
    <w:name w:val="Medium Shading 1 Accent 3"/>
    <w:basedOn w:val="TableNormal"/>
    <w:uiPriority w:val="63"/>
    <w:rsid w:val="00842C34"/>
    <w:pPr>
      <w:spacing w:before="40" w:after="40" w:line="240" w:lineRule="auto"/>
    </w:pPr>
    <w:tblPr>
      <w:tblStyleRowBandSize w:val="1"/>
      <w:tblBorders>
        <w:top w:val="single" w:sz="8" w:space="0" w:color="9FA1A3" w:themeColor="accent3" w:themeTint="BF"/>
        <w:left w:val="single" w:sz="8" w:space="0" w:color="9FA1A3" w:themeColor="accent3" w:themeTint="BF"/>
        <w:bottom w:val="single" w:sz="8" w:space="0" w:color="9FA1A3" w:themeColor="accent3" w:themeTint="BF"/>
        <w:right w:val="single" w:sz="8" w:space="0" w:color="9FA1A3" w:themeColor="accent3" w:themeTint="BF"/>
        <w:insideH w:val="single" w:sz="8" w:space="0" w:color="9FA1A3" w:themeColor="accent3" w:themeTint="BF"/>
      </w:tblBorders>
    </w:tblPr>
    <w:tcPr>
      <w:shd w:val="clear" w:color="auto" w:fill="FFFFFF" w:themeFill="background1"/>
    </w:tcPr>
    <w:tblStylePr w:type="firstRow">
      <w:pPr>
        <w:wordWrap/>
        <w:spacing w:beforeLines="0" w:before="40" w:beforeAutospacing="0" w:afterLines="0" w:after="40" w:afterAutospacing="0" w:line="240" w:lineRule="auto"/>
      </w:pPr>
      <w:rPr>
        <w:b/>
        <w:bCs/>
        <w:color w:val="FFFFFF" w:themeColor="background1"/>
      </w:rPr>
      <w:tblPr/>
      <w:tcPr>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9FA1A3" w:themeColor="accent3" w:themeTint="BF"/>
          <w:left w:val="single" w:sz="8" w:space="0" w:color="9FA1A3" w:themeColor="accent3" w:themeTint="BF"/>
          <w:bottom w:val="single" w:sz="8" w:space="0" w:color="9FA1A3" w:themeColor="accent3" w:themeTint="BF"/>
          <w:right w:val="single" w:sz="8" w:space="0" w:color="9FA1A3" w:themeColor="accent3" w:themeTint="BF"/>
          <w:insideH w:val="nil"/>
          <w:insideV w:val="nil"/>
        </w:tcBorders>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tcBorders>
          <w:insideH w:val="nil"/>
          <w:insideV w:val="nil"/>
        </w:tcBorders>
      </w:tcPr>
    </w:tblStylePr>
  </w:style>
  <w:style w:type="table" w:styleId="DarkList-Accent6">
    <w:name w:val="Dark List Accent 6"/>
    <w:basedOn w:val="TableNormal"/>
    <w:uiPriority w:val="70"/>
    <w:locked/>
    <w:rsid w:val="00A07DFA"/>
    <w:pPr>
      <w:spacing w:after="0" w:line="240" w:lineRule="auto"/>
    </w:pPr>
    <w:rPr>
      <w:color w:val="FFFFFF" w:themeColor="background1"/>
    </w:rPr>
    <w:tblPr>
      <w:tblStyleRowBandSize w:val="1"/>
      <w:tblStyleColBandSize w:val="1"/>
    </w:tblPr>
    <w:tcPr>
      <w:shd w:val="clear" w:color="auto" w:fill="0000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6" w:themeFillShade="BF"/>
      </w:tcPr>
    </w:tblStylePr>
    <w:tblStylePr w:type="band1Vert">
      <w:tblPr/>
      <w:tcPr>
        <w:tcBorders>
          <w:top w:val="nil"/>
          <w:left w:val="nil"/>
          <w:bottom w:val="nil"/>
          <w:right w:val="nil"/>
          <w:insideH w:val="nil"/>
          <w:insideV w:val="nil"/>
        </w:tcBorders>
        <w:shd w:val="clear" w:color="auto" w:fill="000000" w:themeFill="accent6" w:themeFillShade="BF"/>
      </w:tcPr>
    </w:tblStylePr>
    <w:tblStylePr w:type="band1Horz">
      <w:tblPr/>
      <w:tcPr>
        <w:tcBorders>
          <w:top w:val="nil"/>
          <w:left w:val="nil"/>
          <w:bottom w:val="nil"/>
          <w:right w:val="nil"/>
          <w:insideH w:val="nil"/>
          <w:insideV w:val="nil"/>
        </w:tcBorders>
        <w:shd w:val="clear" w:color="auto" w:fill="000000" w:themeFill="accent6" w:themeFillShade="BF"/>
      </w:tcPr>
    </w:tblStylePr>
  </w:style>
  <w:style w:type="paragraph" w:customStyle="1" w:styleId="OrganisationName">
    <w:name w:val="Organisation Name"/>
    <w:basedOn w:val="Normal"/>
    <w:next w:val="Title"/>
    <w:uiPriority w:val="10"/>
    <w:qFormat/>
    <w:rsid w:val="00396865"/>
    <w:pPr>
      <w:jc w:val="center"/>
    </w:pPr>
    <w:rPr>
      <w:b/>
      <w:sz w:val="36"/>
      <w:szCs w:val="36"/>
    </w:rPr>
  </w:style>
  <w:style w:type="paragraph" w:styleId="Caption">
    <w:name w:val="caption"/>
    <w:basedOn w:val="Normal"/>
    <w:next w:val="Normal"/>
    <w:uiPriority w:val="35"/>
    <w:unhideWhenUsed/>
    <w:rsid w:val="000F6308"/>
    <w:rPr>
      <w:bCs/>
      <w:color w:val="000000" w:themeColor="accent1"/>
      <w:szCs w:val="18"/>
    </w:rPr>
  </w:style>
  <w:style w:type="character" w:customStyle="1" w:styleId="Heading5Char">
    <w:name w:val="Heading 5 Char"/>
    <w:basedOn w:val="DefaultParagraphFont"/>
    <w:link w:val="Heading5"/>
    <w:uiPriority w:val="9"/>
    <w:rsid w:val="008D6C0E"/>
    <w:rPr>
      <w:rFonts w:asciiTheme="majorHAnsi" w:eastAsiaTheme="majorEastAsia" w:hAnsiTheme="majorHAnsi" w:cstheme="majorBidi"/>
      <w:color w:val="000000" w:themeColor="accent1" w:themeShade="7F"/>
      <w:sz w:val="24"/>
    </w:rPr>
  </w:style>
  <w:style w:type="character" w:customStyle="1" w:styleId="Heading6Char">
    <w:name w:val="Heading 6 Char"/>
    <w:basedOn w:val="DefaultParagraphFont"/>
    <w:link w:val="Heading6"/>
    <w:uiPriority w:val="9"/>
    <w:rsid w:val="008D6C0E"/>
    <w:rPr>
      <w:rFonts w:asciiTheme="majorHAnsi" w:eastAsiaTheme="majorEastAsia" w:hAnsiTheme="majorHAnsi" w:cstheme="majorBidi"/>
      <w:i/>
      <w:iCs/>
      <w:color w:val="000000" w:themeColor="accent1" w:themeShade="7F"/>
      <w:sz w:val="24"/>
      <w:u w:val="single"/>
    </w:rPr>
  </w:style>
  <w:style w:type="character" w:customStyle="1" w:styleId="Heading7Char">
    <w:name w:val="Heading 7 Char"/>
    <w:basedOn w:val="DefaultParagraphFont"/>
    <w:link w:val="Heading7"/>
    <w:uiPriority w:val="9"/>
    <w:rsid w:val="00FF6E67"/>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0F630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F6308"/>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741A3F"/>
    <w:rPr>
      <w:color w:val="808080"/>
    </w:rPr>
  </w:style>
  <w:style w:type="paragraph" w:styleId="NoSpacing">
    <w:name w:val="No Spacing"/>
    <w:basedOn w:val="Normal"/>
    <w:uiPriority w:val="1"/>
    <w:qFormat/>
    <w:rsid w:val="00FF6E67"/>
    <w:pPr>
      <w:spacing w:after="0"/>
    </w:pPr>
  </w:style>
  <w:style w:type="table" w:styleId="MediumShading1-Accent1">
    <w:name w:val="Medium Shading 1 Accent 1"/>
    <w:basedOn w:val="TableNormal"/>
    <w:uiPriority w:val="63"/>
    <w:rsid w:val="00842C34"/>
    <w:pPr>
      <w:spacing w:before="40" w:after="40" w:line="240" w:lineRule="auto"/>
    </w:p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wordWrap/>
        <w:spacing w:beforeLines="0" w:before="40" w:beforeAutospacing="0" w:afterLines="0" w:after="40" w:afterAutospacing="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ColorfulList-Accent6">
    <w:name w:val="Colorful List Accent 6"/>
    <w:basedOn w:val="TableNormal"/>
    <w:uiPriority w:val="72"/>
    <w:locked/>
    <w:rsid w:val="007A6284"/>
    <w:pPr>
      <w:spacing w:after="0" w:line="240" w:lineRule="auto"/>
    </w:pPr>
    <w:rPr>
      <w:color w:val="000000" w:themeColor="text1"/>
    </w:rPr>
    <w:tblPr>
      <w:tblStyleRowBandSize w:val="1"/>
      <w:tblStyleColBandSize w:val="1"/>
    </w:tblPr>
    <w:tcPr>
      <w:shd w:val="clear" w:color="auto" w:fill="E6E6E6" w:themeFill="accent6" w:themeFillTint="19"/>
    </w:tcPr>
    <w:tblStylePr w:type="firstRow">
      <w:rPr>
        <w:b/>
        <w:bCs/>
        <w:color w:val="FFFFFF" w:themeColor="background1"/>
      </w:rPr>
      <w:tblPr/>
      <w:tcPr>
        <w:tcBorders>
          <w:bottom w:val="single" w:sz="12" w:space="0" w:color="FFFFFF" w:themeColor="background1"/>
        </w:tcBorders>
        <w:shd w:val="clear" w:color="auto" w:fill="000000" w:themeFill="accent5" w:themeFillShade="CC"/>
      </w:tcPr>
    </w:tblStylePr>
    <w:tblStylePr w:type="lastRow">
      <w:rPr>
        <w:b/>
        <w:bCs/>
        <w:color w:val="000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6" w:themeFillTint="3F"/>
      </w:tcPr>
    </w:tblStylePr>
    <w:tblStylePr w:type="band1Horz">
      <w:tblPr/>
      <w:tcPr>
        <w:shd w:val="clear" w:color="auto" w:fill="CCCCCC" w:themeFill="accent6" w:themeFillTint="33"/>
      </w:tcPr>
    </w:tblStylePr>
  </w:style>
  <w:style w:type="table" w:styleId="LightList-Accent5">
    <w:name w:val="Light List Accent 5"/>
    <w:basedOn w:val="TableNormal"/>
    <w:uiPriority w:val="61"/>
    <w:rsid w:val="00EC68AC"/>
    <w:pPr>
      <w:spacing w:before="40" w:after="40"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accent5"/>
      </w:tcPr>
    </w:tblStylePr>
    <w:tblStylePr w:type="lastRow">
      <w:pPr>
        <w:wordWrap/>
        <w:spacing w:beforeLines="0" w:before="40" w:beforeAutospacing="0" w:afterLines="0" w:after="40" w:afterAutospacing="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2Horz">
      <w:tblPr/>
      <w:tcPr>
        <w:shd w:val="clear" w:color="auto" w:fill="DBDCDD" w:themeFill="accent4" w:themeFillTint="66"/>
      </w:tcPr>
    </w:tblStylePr>
  </w:style>
  <w:style w:type="table" w:styleId="MediumGrid1">
    <w:name w:val="Medium Grid 1"/>
    <w:basedOn w:val="TableNormal"/>
    <w:uiPriority w:val="67"/>
    <w:locked/>
    <w:rsid w:val="007A62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6">
    <w:name w:val="Light Shading Accent 6"/>
    <w:basedOn w:val="TableNormal"/>
    <w:uiPriority w:val="60"/>
    <w:locked/>
    <w:rsid w:val="007A6284"/>
    <w:pPr>
      <w:spacing w:after="0" w:line="240" w:lineRule="auto"/>
    </w:pPr>
    <w:rPr>
      <w:color w:val="000000" w:themeColor="accent6" w:themeShade="BF"/>
    </w:rPr>
    <w:tblPr>
      <w:tblStyleRowBandSize w:val="1"/>
      <w:tblStyleColBandSize w:val="1"/>
      <w:tblBorders>
        <w:top w:val="single" w:sz="8" w:space="0" w:color="000000" w:themeColor="accent6"/>
        <w:bottom w:val="single" w:sz="8" w:space="0" w:color="000000" w:themeColor="accent6"/>
      </w:tblBorders>
    </w:tblPr>
    <w:tblStylePr w:type="fir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la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left w:val="nil"/>
          <w:right w:val="nil"/>
          <w:insideH w:val="nil"/>
          <w:insideV w:val="nil"/>
        </w:tcBorders>
        <w:shd w:val="clear" w:color="auto" w:fill="C0C0C0" w:themeFill="accent6" w:themeFillTint="3F"/>
      </w:tcPr>
    </w:tblStylePr>
  </w:style>
  <w:style w:type="table" w:styleId="MediumShading1-Accent2">
    <w:name w:val="Medium Shading 1 Accent 2"/>
    <w:basedOn w:val="TableNormal"/>
    <w:uiPriority w:val="63"/>
    <w:rsid w:val="00842C34"/>
    <w:pPr>
      <w:spacing w:before="40" w:after="40" w:line="240" w:lineRule="auto"/>
    </w:pPr>
    <w:tblPr>
      <w:tblStyleRowBandSize w:val="1"/>
      <w:tblStyleColBandSize w:val="1"/>
      <w:tblBorders>
        <w:top w:val="single" w:sz="8"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single" w:sz="8" w:space="0" w:color="808285" w:themeColor="accent2"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nil"/>
          <w:insideV w:val="nil"/>
        </w:tcBorders>
        <w:shd w:val="clear" w:color="auto" w:fill="58595B" w:themeFill="accent2"/>
      </w:tcPr>
    </w:tblStylePr>
    <w:tblStylePr w:type="lastRow">
      <w:pPr>
        <w:wordWrap/>
        <w:spacing w:beforeLines="0" w:before="40" w:beforeAutospacing="0" w:afterLines="0" w:after="400" w:afterAutospacing="0" w:line="240" w:lineRule="auto"/>
      </w:pPr>
      <w:rPr>
        <w:b/>
        <w:bCs/>
      </w:rPr>
      <w:tblPr/>
      <w:tcPr>
        <w:tcBorders>
          <w:top w:val="double" w:sz="6"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D5D6" w:themeFill="accent2" w:themeFillTint="3F"/>
      </w:tcPr>
    </w:tblStylePr>
    <w:tblStylePr w:type="band1Horz">
      <w:tblPr/>
      <w:tcPr>
        <w:tcBorders>
          <w:insideH w:val="nil"/>
          <w:insideV w:val="nil"/>
        </w:tcBorders>
        <w:shd w:val="clear" w:color="auto" w:fill="D5D5D6"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42C34"/>
    <w:pPr>
      <w:spacing w:after="0" w:line="240" w:lineRule="auto"/>
    </w:pPr>
    <w:tblPr>
      <w:tblStyleRowBandSize w:val="1"/>
      <w:tblStyleColBandSize w:val="1"/>
      <w:tblBorders>
        <w:top w:val="single" w:sz="8"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single" w:sz="8" w:space="0" w:color="BCBEC0" w:themeColor="accent4" w:themeTint="BF"/>
      </w:tblBorders>
    </w:tblPr>
    <w:tblStylePr w:type="firstRow">
      <w:pPr>
        <w:spacing w:before="0" w:after="0" w:line="240" w:lineRule="auto"/>
      </w:pPr>
      <w:rPr>
        <w:b/>
        <w:bCs/>
        <w:color w:val="FFFFFF" w:themeColor="background1"/>
      </w:rPr>
      <w:tblPr/>
      <w:tcPr>
        <w:tcBorders>
          <w:top w:val="single" w:sz="8"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nil"/>
          <w:insideV w:val="nil"/>
        </w:tcBorders>
        <w:shd w:val="clear" w:color="auto" w:fill="A7A9AC" w:themeFill="accent4"/>
      </w:tcPr>
    </w:tblStylePr>
    <w:tblStylePr w:type="lastRow">
      <w:pPr>
        <w:spacing w:before="0" w:after="0" w:line="240" w:lineRule="auto"/>
      </w:pPr>
      <w:rPr>
        <w:b/>
        <w:bCs/>
      </w:rPr>
      <w:tblPr/>
      <w:tcPr>
        <w:tcBorders>
          <w:top w:val="double" w:sz="6"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E9EA" w:themeFill="accent4" w:themeFillTint="3F"/>
      </w:tcPr>
    </w:tblStylePr>
    <w:tblStylePr w:type="band1Horz">
      <w:tblPr/>
      <w:tcPr>
        <w:tcBorders>
          <w:insideH w:val="nil"/>
          <w:insideV w:val="nil"/>
        </w:tcBorders>
        <w:shd w:val="clear" w:color="auto" w:fill="E9E9EA" w:themeFill="accent4"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842C34"/>
    <w:pPr>
      <w:spacing w:after="0" w:line="240" w:lineRule="auto"/>
    </w:pPr>
    <w:tblPr>
      <w:tblStyleRowBandSize w:val="1"/>
      <w:tblStyleColBandSize w:val="1"/>
      <w:tblBorders>
        <w:top w:val="single" w:sz="8" w:space="0" w:color="000000" w:themeColor="accent6"/>
        <w:left w:val="single" w:sz="8" w:space="0" w:color="000000" w:themeColor="accent6"/>
        <w:bottom w:val="single" w:sz="8" w:space="0" w:color="000000" w:themeColor="accent6"/>
        <w:right w:val="single" w:sz="8" w:space="0" w:color="000000" w:themeColor="accent6"/>
        <w:insideH w:val="single" w:sz="8" w:space="0" w:color="000000" w:themeColor="accent6"/>
        <w:insideV w:val="single" w:sz="8" w:space="0" w:color="0000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18" w:space="0" w:color="000000" w:themeColor="accent6"/>
          <w:right w:val="single" w:sz="8" w:space="0" w:color="000000" w:themeColor="accent6"/>
          <w:insideH w:val="nil"/>
          <w:insideV w:val="single" w:sz="8" w:space="0" w:color="0000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6"/>
          <w:left w:val="single" w:sz="8" w:space="0" w:color="000000" w:themeColor="accent6"/>
          <w:bottom w:val="single" w:sz="8" w:space="0" w:color="000000" w:themeColor="accent6"/>
          <w:right w:val="single" w:sz="8" w:space="0" w:color="000000" w:themeColor="accent6"/>
          <w:insideH w:val="nil"/>
          <w:insideV w:val="single" w:sz="8" w:space="0" w:color="0000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tcPr>
    </w:tblStylePr>
    <w:tblStylePr w:type="band1Vert">
      <w:tblPr/>
      <w:tcPr>
        <w:tcBorders>
          <w:top w:val="single" w:sz="8" w:space="0" w:color="000000" w:themeColor="accent6"/>
          <w:left w:val="single" w:sz="8" w:space="0" w:color="000000" w:themeColor="accent6"/>
          <w:bottom w:val="single" w:sz="8" w:space="0" w:color="000000" w:themeColor="accent6"/>
          <w:right w:val="single" w:sz="8" w:space="0" w:color="000000" w:themeColor="accent6"/>
        </w:tcBorders>
        <w:shd w:val="clear" w:color="auto" w:fill="C0C0C0" w:themeFill="accent6" w:themeFillTint="3F"/>
      </w:tcPr>
    </w:tblStylePr>
    <w:tblStylePr w:type="band1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shd w:val="clear" w:color="auto" w:fill="C0C0C0" w:themeFill="accent6" w:themeFillTint="3F"/>
      </w:tcPr>
    </w:tblStylePr>
    <w:tblStylePr w:type="band2Horz">
      <w:tblPr/>
      <w:tcPr>
        <w:tcBorders>
          <w:top w:val="single" w:sz="8" w:space="0" w:color="000000" w:themeColor="accent6"/>
          <w:left w:val="single" w:sz="8" w:space="0" w:color="000000" w:themeColor="accent6"/>
          <w:bottom w:val="single" w:sz="8" w:space="0" w:color="000000" w:themeColor="accent6"/>
          <w:right w:val="single" w:sz="8" w:space="0" w:color="000000" w:themeColor="accent6"/>
          <w:insideV w:val="single" w:sz="8" w:space="0" w:color="000000" w:themeColor="accent6"/>
        </w:tcBorders>
      </w:tcPr>
    </w:tblStylePr>
  </w:style>
  <w:style w:type="table" w:styleId="MediumShading1-Accent5">
    <w:name w:val="Medium Shading 1 Accent 5"/>
    <w:basedOn w:val="TableNormal"/>
    <w:uiPriority w:val="63"/>
    <w:rsid w:val="00EC68AC"/>
    <w:pPr>
      <w:spacing w:before="40" w:after="40"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cBorders>
        <w:shd w:val="clear" w:color="auto" w:fill="000000" w:themeFill="accent5"/>
      </w:tcPr>
    </w:tblStylePr>
    <w:tblStylePr w:type="lastRow">
      <w:pPr>
        <w:wordWrap/>
        <w:spacing w:beforeLines="0" w:before="40" w:beforeAutospacing="0" w:afterLines="0" w:after="40" w:afterAutospacing="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C864ED"/>
    <w:pPr>
      <w:spacing w:before="40" w:after="40" w:line="240" w:lineRule="auto"/>
    </w:pPr>
    <w:tblPr>
      <w:tblStyleRowBandSize w:val="1"/>
      <w:tblStyleColBandSize w:val="1"/>
      <w:tblBorders>
        <w:top w:val="single" w:sz="8" w:space="0" w:color="808285" w:themeColor="accent3"/>
        <w:left w:val="single" w:sz="8" w:space="0" w:color="808285" w:themeColor="accent3"/>
        <w:bottom w:val="single" w:sz="8" w:space="0" w:color="808285" w:themeColor="accent3"/>
        <w:right w:val="single" w:sz="8" w:space="0" w:color="808285" w:themeColor="accent3"/>
        <w:insideH w:val="single" w:sz="8" w:space="0" w:color="808285" w:themeColor="accent3"/>
        <w:insideV w:val="single" w:sz="8" w:space="0" w:color="808285" w:themeColor="accent3"/>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808285" w:themeColor="accent3"/>
          <w:left w:val="single" w:sz="8" w:space="0" w:color="808285" w:themeColor="accent3"/>
          <w:bottom w:val="single" w:sz="8" w:space="0" w:color="808285" w:themeColor="accent3"/>
          <w:right w:val="single" w:sz="8" w:space="0" w:color="808285" w:themeColor="accent3"/>
          <w:insideH w:val="single" w:sz="8" w:space="0" w:color="808285" w:themeColor="accent3"/>
          <w:insideV w:val="single" w:sz="8" w:space="0" w:color="808285" w:themeColor="accent3"/>
        </w:tcBorders>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808285" w:themeColor="accent3"/>
          <w:left w:val="single" w:sz="8" w:space="0" w:color="808285" w:themeColor="accent3"/>
          <w:bottom w:val="single" w:sz="8" w:space="0" w:color="808285" w:themeColor="accent3"/>
          <w:right w:val="single" w:sz="8" w:space="0" w:color="808285" w:themeColor="accent3"/>
          <w:insideH w:val="nil"/>
          <w:insideV w:val="single" w:sz="8" w:space="0" w:color="808285" w:themeColor="accent3"/>
          <w:tl2br w:val="nil"/>
          <w:tr2bl w:val="nil"/>
        </w:tcBorders>
      </w:tcPr>
    </w:tblStylePr>
    <w:tblStylePr w:type="firstCol">
      <w:rPr>
        <w:b/>
        <w:bCs/>
      </w:rPr>
    </w:tblStylePr>
    <w:tblStylePr w:type="lastCol">
      <w:rPr>
        <w:b/>
        <w:bCs/>
      </w:rPr>
    </w:tblStylePr>
    <w:tblStylePr w:type="band1Vert">
      <w:tblPr/>
      <w:tcPr>
        <w:tcBorders>
          <w:top w:val="single" w:sz="8" w:space="0" w:color="A7A9AC" w:themeColor="accent4"/>
          <w:left w:val="single" w:sz="8" w:space="0" w:color="A7A9AC" w:themeColor="accent4"/>
          <w:bottom w:val="single" w:sz="8" w:space="0" w:color="A7A9AC" w:themeColor="accent4"/>
          <w:right w:val="single" w:sz="8" w:space="0" w:color="A7A9AC" w:themeColor="accent4"/>
        </w:tcBorders>
      </w:tcPr>
    </w:tblStylePr>
    <w:tblStylePr w:type="band1Horz">
      <w:tblPr/>
      <w:tcPr>
        <w:tcBorders>
          <w:top w:val="single" w:sz="8" w:space="0" w:color="A7A9AC" w:themeColor="accent4"/>
          <w:left w:val="single" w:sz="8" w:space="0" w:color="A7A9AC" w:themeColor="accent4"/>
          <w:bottom w:val="single" w:sz="8" w:space="0" w:color="A7A9AC" w:themeColor="accent4"/>
          <w:right w:val="single" w:sz="8" w:space="0" w:color="A7A9AC" w:themeColor="accent4"/>
        </w:tcBorders>
      </w:tcPr>
    </w:tblStylePr>
    <w:tblStylePr w:type="band2Horz">
      <w:tblPr/>
      <w:tcPr>
        <w:shd w:val="clear" w:color="auto" w:fill="A7A9AC" w:themeFill="accent4"/>
      </w:tcPr>
    </w:tblStylePr>
  </w:style>
  <w:style w:type="paragraph" w:styleId="Signature">
    <w:name w:val="Signature"/>
    <w:basedOn w:val="Normal"/>
    <w:link w:val="SignatureChar"/>
    <w:uiPriority w:val="99"/>
    <w:rsid w:val="00723516"/>
    <w:pPr>
      <w:pBdr>
        <w:top w:val="single" w:sz="4" w:space="1" w:color="auto"/>
      </w:pBdr>
      <w:spacing w:before="640" w:after="80"/>
    </w:pPr>
  </w:style>
  <w:style w:type="character" w:customStyle="1" w:styleId="SignatureChar">
    <w:name w:val="Signature Char"/>
    <w:basedOn w:val="DefaultParagraphFont"/>
    <w:link w:val="Signature"/>
    <w:uiPriority w:val="99"/>
    <w:rsid w:val="00723516"/>
  </w:style>
  <w:style w:type="paragraph" w:customStyle="1" w:styleId="Disclaimer">
    <w:name w:val="Disclaimer"/>
    <w:basedOn w:val="Normal"/>
    <w:uiPriority w:val="29"/>
    <w:qFormat/>
    <w:rsid w:val="00723516"/>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016096">
      <w:bodyDiv w:val="1"/>
      <w:marLeft w:val="0"/>
      <w:marRight w:val="0"/>
      <w:marTop w:val="0"/>
      <w:marBottom w:val="0"/>
      <w:divBdr>
        <w:top w:val="none" w:sz="0" w:space="0" w:color="auto"/>
        <w:left w:val="none" w:sz="0" w:space="0" w:color="auto"/>
        <w:bottom w:val="none" w:sz="0" w:space="0" w:color="auto"/>
        <w:right w:val="none" w:sz="0" w:space="0" w:color="auto"/>
      </w:divBdr>
      <w:divsChild>
        <w:div w:id="1597136041">
          <w:marLeft w:val="0"/>
          <w:marRight w:val="0"/>
          <w:marTop w:val="0"/>
          <w:marBottom w:val="0"/>
          <w:divBdr>
            <w:top w:val="none" w:sz="0" w:space="0" w:color="auto"/>
            <w:left w:val="none" w:sz="0" w:space="0" w:color="auto"/>
            <w:bottom w:val="none" w:sz="0" w:space="0" w:color="auto"/>
            <w:right w:val="none" w:sz="0" w:space="0" w:color="auto"/>
          </w:divBdr>
        </w:div>
        <w:div w:id="1837837152">
          <w:marLeft w:val="0"/>
          <w:marRight w:val="0"/>
          <w:marTop w:val="0"/>
          <w:marBottom w:val="0"/>
          <w:divBdr>
            <w:top w:val="none" w:sz="0" w:space="0" w:color="auto"/>
            <w:left w:val="none" w:sz="0" w:space="0" w:color="auto"/>
            <w:bottom w:val="none" w:sz="0" w:space="0" w:color="auto"/>
            <w:right w:val="none" w:sz="0" w:space="0" w:color="auto"/>
          </w:divBdr>
        </w:div>
        <w:div w:id="102238642">
          <w:marLeft w:val="0"/>
          <w:marRight w:val="0"/>
          <w:marTop w:val="0"/>
          <w:marBottom w:val="0"/>
          <w:divBdr>
            <w:top w:val="none" w:sz="0" w:space="0" w:color="auto"/>
            <w:left w:val="none" w:sz="0" w:space="0" w:color="auto"/>
            <w:bottom w:val="none" w:sz="0" w:space="0" w:color="auto"/>
            <w:right w:val="none" w:sz="0" w:space="0" w:color="auto"/>
          </w:divBdr>
        </w:div>
        <w:div w:id="58333017">
          <w:marLeft w:val="0"/>
          <w:marRight w:val="0"/>
          <w:marTop w:val="0"/>
          <w:marBottom w:val="0"/>
          <w:divBdr>
            <w:top w:val="none" w:sz="0" w:space="0" w:color="auto"/>
            <w:left w:val="none" w:sz="0" w:space="0" w:color="auto"/>
            <w:bottom w:val="none" w:sz="0" w:space="0" w:color="auto"/>
            <w:right w:val="none" w:sz="0" w:space="0" w:color="auto"/>
          </w:divBdr>
        </w:div>
        <w:div w:id="984237947">
          <w:marLeft w:val="0"/>
          <w:marRight w:val="0"/>
          <w:marTop w:val="0"/>
          <w:marBottom w:val="0"/>
          <w:divBdr>
            <w:top w:val="none" w:sz="0" w:space="0" w:color="auto"/>
            <w:left w:val="none" w:sz="0" w:space="0" w:color="auto"/>
            <w:bottom w:val="none" w:sz="0" w:space="0" w:color="auto"/>
            <w:right w:val="none" w:sz="0" w:space="0" w:color="auto"/>
          </w:divBdr>
        </w:div>
        <w:div w:id="1587348545">
          <w:marLeft w:val="0"/>
          <w:marRight w:val="0"/>
          <w:marTop w:val="0"/>
          <w:marBottom w:val="0"/>
          <w:divBdr>
            <w:top w:val="none" w:sz="0" w:space="0" w:color="auto"/>
            <w:left w:val="none" w:sz="0" w:space="0" w:color="auto"/>
            <w:bottom w:val="none" w:sz="0" w:space="0" w:color="auto"/>
            <w:right w:val="none" w:sz="0" w:space="0" w:color="auto"/>
          </w:divBdr>
        </w:div>
        <w:div w:id="1037586069">
          <w:marLeft w:val="0"/>
          <w:marRight w:val="0"/>
          <w:marTop w:val="0"/>
          <w:marBottom w:val="0"/>
          <w:divBdr>
            <w:top w:val="none" w:sz="0" w:space="0" w:color="auto"/>
            <w:left w:val="none" w:sz="0" w:space="0" w:color="auto"/>
            <w:bottom w:val="none" w:sz="0" w:space="0" w:color="auto"/>
            <w:right w:val="none" w:sz="0" w:space="0" w:color="auto"/>
          </w:divBdr>
        </w:div>
        <w:div w:id="1518814095">
          <w:marLeft w:val="0"/>
          <w:marRight w:val="0"/>
          <w:marTop w:val="0"/>
          <w:marBottom w:val="0"/>
          <w:divBdr>
            <w:top w:val="none" w:sz="0" w:space="0" w:color="auto"/>
            <w:left w:val="none" w:sz="0" w:space="0" w:color="auto"/>
            <w:bottom w:val="none" w:sz="0" w:space="0" w:color="auto"/>
            <w:right w:val="none" w:sz="0" w:space="0" w:color="auto"/>
          </w:divBdr>
        </w:div>
        <w:div w:id="1368025216">
          <w:marLeft w:val="0"/>
          <w:marRight w:val="0"/>
          <w:marTop w:val="0"/>
          <w:marBottom w:val="0"/>
          <w:divBdr>
            <w:top w:val="none" w:sz="0" w:space="0" w:color="auto"/>
            <w:left w:val="none" w:sz="0" w:space="0" w:color="auto"/>
            <w:bottom w:val="none" w:sz="0" w:space="0" w:color="auto"/>
            <w:right w:val="none" w:sz="0" w:space="0" w:color="auto"/>
          </w:divBdr>
        </w:div>
        <w:div w:id="283970248">
          <w:marLeft w:val="0"/>
          <w:marRight w:val="0"/>
          <w:marTop w:val="0"/>
          <w:marBottom w:val="0"/>
          <w:divBdr>
            <w:top w:val="none" w:sz="0" w:space="0" w:color="auto"/>
            <w:left w:val="none" w:sz="0" w:space="0" w:color="auto"/>
            <w:bottom w:val="none" w:sz="0" w:space="0" w:color="auto"/>
            <w:right w:val="none" w:sz="0" w:space="0" w:color="auto"/>
          </w:divBdr>
        </w:div>
        <w:div w:id="437022254">
          <w:marLeft w:val="0"/>
          <w:marRight w:val="0"/>
          <w:marTop w:val="0"/>
          <w:marBottom w:val="0"/>
          <w:divBdr>
            <w:top w:val="none" w:sz="0" w:space="0" w:color="auto"/>
            <w:left w:val="none" w:sz="0" w:space="0" w:color="auto"/>
            <w:bottom w:val="none" w:sz="0" w:space="0" w:color="auto"/>
            <w:right w:val="none" w:sz="0" w:space="0" w:color="auto"/>
          </w:divBdr>
        </w:div>
        <w:div w:id="1944266732">
          <w:marLeft w:val="0"/>
          <w:marRight w:val="0"/>
          <w:marTop w:val="0"/>
          <w:marBottom w:val="0"/>
          <w:divBdr>
            <w:top w:val="none" w:sz="0" w:space="0" w:color="auto"/>
            <w:left w:val="none" w:sz="0" w:space="0" w:color="auto"/>
            <w:bottom w:val="none" w:sz="0" w:space="0" w:color="auto"/>
            <w:right w:val="none" w:sz="0" w:space="0" w:color="auto"/>
          </w:divBdr>
        </w:div>
        <w:div w:id="213155157">
          <w:marLeft w:val="0"/>
          <w:marRight w:val="0"/>
          <w:marTop w:val="0"/>
          <w:marBottom w:val="0"/>
          <w:divBdr>
            <w:top w:val="none" w:sz="0" w:space="0" w:color="auto"/>
            <w:left w:val="none" w:sz="0" w:space="0" w:color="auto"/>
            <w:bottom w:val="none" w:sz="0" w:space="0" w:color="auto"/>
            <w:right w:val="none" w:sz="0" w:space="0" w:color="auto"/>
          </w:divBdr>
        </w:div>
        <w:div w:id="1211040498">
          <w:marLeft w:val="0"/>
          <w:marRight w:val="0"/>
          <w:marTop w:val="0"/>
          <w:marBottom w:val="0"/>
          <w:divBdr>
            <w:top w:val="none" w:sz="0" w:space="0" w:color="auto"/>
            <w:left w:val="none" w:sz="0" w:space="0" w:color="auto"/>
            <w:bottom w:val="none" w:sz="0" w:space="0" w:color="auto"/>
            <w:right w:val="none" w:sz="0" w:space="0" w:color="auto"/>
          </w:divBdr>
        </w:div>
        <w:div w:id="1963539240">
          <w:marLeft w:val="0"/>
          <w:marRight w:val="0"/>
          <w:marTop w:val="0"/>
          <w:marBottom w:val="0"/>
          <w:divBdr>
            <w:top w:val="none" w:sz="0" w:space="0" w:color="auto"/>
            <w:left w:val="none" w:sz="0" w:space="0" w:color="auto"/>
            <w:bottom w:val="none" w:sz="0" w:space="0" w:color="auto"/>
            <w:right w:val="none" w:sz="0" w:space="0" w:color="auto"/>
          </w:divBdr>
        </w:div>
        <w:div w:id="337512382">
          <w:marLeft w:val="0"/>
          <w:marRight w:val="0"/>
          <w:marTop w:val="0"/>
          <w:marBottom w:val="0"/>
          <w:divBdr>
            <w:top w:val="none" w:sz="0" w:space="0" w:color="auto"/>
            <w:left w:val="none" w:sz="0" w:space="0" w:color="auto"/>
            <w:bottom w:val="none" w:sz="0" w:space="0" w:color="auto"/>
            <w:right w:val="none" w:sz="0" w:space="0" w:color="auto"/>
          </w:divBdr>
        </w:div>
        <w:div w:id="114908513">
          <w:marLeft w:val="0"/>
          <w:marRight w:val="0"/>
          <w:marTop w:val="0"/>
          <w:marBottom w:val="0"/>
          <w:divBdr>
            <w:top w:val="none" w:sz="0" w:space="0" w:color="auto"/>
            <w:left w:val="none" w:sz="0" w:space="0" w:color="auto"/>
            <w:bottom w:val="none" w:sz="0" w:space="0" w:color="auto"/>
            <w:right w:val="none" w:sz="0" w:space="0" w:color="auto"/>
          </w:divBdr>
        </w:div>
        <w:div w:id="1697534098">
          <w:marLeft w:val="0"/>
          <w:marRight w:val="0"/>
          <w:marTop w:val="0"/>
          <w:marBottom w:val="0"/>
          <w:divBdr>
            <w:top w:val="none" w:sz="0" w:space="0" w:color="auto"/>
            <w:left w:val="none" w:sz="0" w:space="0" w:color="auto"/>
            <w:bottom w:val="none" w:sz="0" w:space="0" w:color="auto"/>
            <w:right w:val="none" w:sz="0" w:space="0" w:color="auto"/>
          </w:divBdr>
        </w:div>
        <w:div w:id="426776993">
          <w:marLeft w:val="0"/>
          <w:marRight w:val="0"/>
          <w:marTop w:val="0"/>
          <w:marBottom w:val="0"/>
          <w:divBdr>
            <w:top w:val="none" w:sz="0" w:space="0" w:color="auto"/>
            <w:left w:val="none" w:sz="0" w:space="0" w:color="auto"/>
            <w:bottom w:val="none" w:sz="0" w:space="0" w:color="auto"/>
            <w:right w:val="none" w:sz="0" w:space="0" w:color="auto"/>
          </w:divBdr>
        </w:div>
        <w:div w:id="1452281202">
          <w:marLeft w:val="0"/>
          <w:marRight w:val="0"/>
          <w:marTop w:val="0"/>
          <w:marBottom w:val="0"/>
          <w:divBdr>
            <w:top w:val="none" w:sz="0" w:space="0" w:color="auto"/>
            <w:left w:val="none" w:sz="0" w:space="0" w:color="auto"/>
            <w:bottom w:val="none" w:sz="0" w:space="0" w:color="auto"/>
            <w:right w:val="none" w:sz="0" w:space="0" w:color="auto"/>
          </w:divBdr>
        </w:div>
        <w:div w:id="1244686789">
          <w:marLeft w:val="0"/>
          <w:marRight w:val="0"/>
          <w:marTop w:val="0"/>
          <w:marBottom w:val="0"/>
          <w:divBdr>
            <w:top w:val="none" w:sz="0" w:space="0" w:color="auto"/>
            <w:left w:val="none" w:sz="0" w:space="0" w:color="auto"/>
            <w:bottom w:val="none" w:sz="0" w:space="0" w:color="auto"/>
            <w:right w:val="none" w:sz="0" w:space="0" w:color="auto"/>
          </w:divBdr>
        </w:div>
        <w:div w:id="1322543759">
          <w:marLeft w:val="0"/>
          <w:marRight w:val="0"/>
          <w:marTop w:val="0"/>
          <w:marBottom w:val="0"/>
          <w:divBdr>
            <w:top w:val="none" w:sz="0" w:space="0" w:color="auto"/>
            <w:left w:val="none" w:sz="0" w:space="0" w:color="auto"/>
            <w:bottom w:val="none" w:sz="0" w:space="0" w:color="auto"/>
            <w:right w:val="none" w:sz="0" w:space="0" w:color="auto"/>
          </w:divBdr>
        </w:div>
        <w:div w:id="412510324">
          <w:marLeft w:val="0"/>
          <w:marRight w:val="0"/>
          <w:marTop w:val="0"/>
          <w:marBottom w:val="0"/>
          <w:divBdr>
            <w:top w:val="none" w:sz="0" w:space="0" w:color="auto"/>
            <w:left w:val="none" w:sz="0" w:space="0" w:color="auto"/>
            <w:bottom w:val="none" w:sz="0" w:space="0" w:color="auto"/>
            <w:right w:val="none" w:sz="0" w:space="0" w:color="auto"/>
          </w:divBdr>
        </w:div>
        <w:div w:id="1251162309">
          <w:marLeft w:val="0"/>
          <w:marRight w:val="0"/>
          <w:marTop w:val="0"/>
          <w:marBottom w:val="0"/>
          <w:divBdr>
            <w:top w:val="none" w:sz="0" w:space="0" w:color="auto"/>
            <w:left w:val="none" w:sz="0" w:space="0" w:color="auto"/>
            <w:bottom w:val="none" w:sz="0" w:space="0" w:color="auto"/>
            <w:right w:val="none" w:sz="0" w:space="0" w:color="auto"/>
          </w:divBdr>
        </w:div>
        <w:div w:id="93332197">
          <w:marLeft w:val="0"/>
          <w:marRight w:val="0"/>
          <w:marTop w:val="0"/>
          <w:marBottom w:val="0"/>
          <w:divBdr>
            <w:top w:val="none" w:sz="0" w:space="0" w:color="auto"/>
            <w:left w:val="none" w:sz="0" w:space="0" w:color="auto"/>
            <w:bottom w:val="none" w:sz="0" w:space="0" w:color="auto"/>
            <w:right w:val="none" w:sz="0" w:space="0" w:color="auto"/>
          </w:divBdr>
        </w:div>
        <w:div w:id="767118247">
          <w:marLeft w:val="0"/>
          <w:marRight w:val="0"/>
          <w:marTop w:val="0"/>
          <w:marBottom w:val="0"/>
          <w:divBdr>
            <w:top w:val="none" w:sz="0" w:space="0" w:color="auto"/>
            <w:left w:val="none" w:sz="0" w:space="0" w:color="auto"/>
            <w:bottom w:val="none" w:sz="0" w:space="0" w:color="auto"/>
            <w:right w:val="none" w:sz="0" w:space="0" w:color="auto"/>
          </w:divBdr>
        </w:div>
        <w:div w:id="1827210154">
          <w:marLeft w:val="0"/>
          <w:marRight w:val="0"/>
          <w:marTop w:val="0"/>
          <w:marBottom w:val="0"/>
          <w:divBdr>
            <w:top w:val="none" w:sz="0" w:space="0" w:color="auto"/>
            <w:left w:val="none" w:sz="0" w:space="0" w:color="auto"/>
            <w:bottom w:val="none" w:sz="0" w:space="0" w:color="auto"/>
            <w:right w:val="none" w:sz="0" w:space="0" w:color="auto"/>
          </w:divBdr>
        </w:div>
        <w:div w:id="454064972">
          <w:marLeft w:val="0"/>
          <w:marRight w:val="0"/>
          <w:marTop w:val="0"/>
          <w:marBottom w:val="0"/>
          <w:divBdr>
            <w:top w:val="none" w:sz="0" w:space="0" w:color="auto"/>
            <w:left w:val="none" w:sz="0" w:space="0" w:color="auto"/>
            <w:bottom w:val="none" w:sz="0" w:space="0" w:color="auto"/>
            <w:right w:val="none" w:sz="0" w:space="0" w:color="auto"/>
          </w:divBdr>
        </w:div>
        <w:div w:id="1088228798">
          <w:marLeft w:val="0"/>
          <w:marRight w:val="0"/>
          <w:marTop w:val="0"/>
          <w:marBottom w:val="0"/>
          <w:divBdr>
            <w:top w:val="none" w:sz="0" w:space="0" w:color="auto"/>
            <w:left w:val="none" w:sz="0" w:space="0" w:color="auto"/>
            <w:bottom w:val="none" w:sz="0" w:space="0" w:color="auto"/>
            <w:right w:val="none" w:sz="0" w:space="0" w:color="auto"/>
          </w:divBdr>
        </w:div>
        <w:div w:id="1262254157">
          <w:marLeft w:val="0"/>
          <w:marRight w:val="0"/>
          <w:marTop w:val="0"/>
          <w:marBottom w:val="0"/>
          <w:divBdr>
            <w:top w:val="none" w:sz="0" w:space="0" w:color="auto"/>
            <w:left w:val="none" w:sz="0" w:space="0" w:color="auto"/>
            <w:bottom w:val="none" w:sz="0" w:space="0" w:color="auto"/>
            <w:right w:val="none" w:sz="0" w:space="0" w:color="auto"/>
          </w:divBdr>
        </w:div>
        <w:div w:id="1327242298">
          <w:marLeft w:val="0"/>
          <w:marRight w:val="0"/>
          <w:marTop w:val="0"/>
          <w:marBottom w:val="0"/>
          <w:divBdr>
            <w:top w:val="none" w:sz="0" w:space="0" w:color="auto"/>
            <w:left w:val="none" w:sz="0" w:space="0" w:color="auto"/>
            <w:bottom w:val="none" w:sz="0" w:space="0" w:color="auto"/>
            <w:right w:val="none" w:sz="0" w:space="0" w:color="auto"/>
          </w:divBdr>
        </w:div>
        <w:div w:id="2092583312">
          <w:marLeft w:val="0"/>
          <w:marRight w:val="0"/>
          <w:marTop w:val="0"/>
          <w:marBottom w:val="0"/>
          <w:divBdr>
            <w:top w:val="none" w:sz="0" w:space="0" w:color="auto"/>
            <w:left w:val="none" w:sz="0" w:space="0" w:color="auto"/>
            <w:bottom w:val="none" w:sz="0" w:space="0" w:color="auto"/>
            <w:right w:val="none" w:sz="0" w:space="0" w:color="auto"/>
          </w:divBdr>
        </w:div>
        <w:div w:id="1057162345">
          <w:marLeft w:val="0"/>
          <w:marRight w:val="0"/>
          <w:marTop w:val="0"/>
          <w:marBottom w:val="0"/>
          <w:divBdr>
            <w:top w:val="none" w:sz="0" w:space="0" w:color="auto"/>
            <w:left w:val="none" w:sz="0" w:space="0" w:color="auto"/>
            <w:bottom w:val="none" w:sz="0" w:space="0" w:color="auto"/>
            <w:right w:val="none" w:sz="0" w:space="0" w:color="auto"/>
          </w:divBdr>
        </w:div>
        <w:div w:id="1218204777">
          <w:marLeft w:val="0"/>
          <w:marRight w:val="0"/>
          <w:marTop w:val="0"/>
          <w:marBottom w:val="0"/>
          <w:divBdr>
            <w:top w:val="none" w:sz="0" w:space="0" w:color="auto"/>
            <w:left w:val="none" w:sz="0" w:space="0" w:color="auto"/>
            <w:bottom w:val="none" w:sz="0" w:space="0" w:color="auto"/>
            <w:right w:val="none" w:sz="0" w:space="0" w:color="auto"/>
          </w:divBdr>
        </w:div>
        <w:div w:id="1550071873">
          <w:marLeft w:val="0"/>
          <w:marRight w:val="0"/>
          <w:marTop w:val="0"/>
          <w:marBottom w:val="0"/>
          <w:divBdr>
            <w:top w:val="none" w:sz="0" w:space="0" w:color="auto"/>
            <w:left w:val="none" w:sz="0" w:space="0" w:color="auto"/>
            <w:bottom w:val="none" w:sz="0" w:space="0" w:color="auto"/>
            <w:right w:val="none" w:sz="0" w:space="0" w:color="auto"/>
          </w:divBdr>
        </w:div>
        <w:div w:id="706611803">
          <w:marLeft w:val="0"/>
          <w:marRight w:val="0"/>
          <w:marTop w:val="0"/>
          <w:marBottom w:val="0"/>
          <w:divBdr>
            <w:top w:val="none" w:sz="0" w:space="0" w:color="auto"/>
            <w:left w:val="none" w:sz="0" w:space="0" w:color="auto"/>
            <w:bottom w:val="none" w:sz="0" w:space="0" w:color="auto"/>
            <w:right w:val="none" w:sz="0" w:space="0" w:color="auto"/>
          </w:divBdr>
        </w:div>
        <w:div w:id="1479302086">
          <w:marLeft w:val="0"/>
          <w:marRight w:val="0"/>
          <w:marTop w:val="0"/>
          <w:marBottom w:val="0"/>
          <w:divBdr>
            <w:top w:val="none" w:sz="0" w:space="0" w:color="auto"/>
            <w:left w:val="none" w:sz="0" w:space="0" w:color="auto"/>
            <w:bottom w:val="none" w:sz="0" w:space="0" w:color="auto"/>
            <w:right w:val="none" w:sz="0" w:space="0" w:color="auto"/>
          </w:divBdr>
        </w:div>
        <w:div w:id="1373311093">
          <w:marLeft w:val="0"/>
          <w:marRight w:val="0"/>
          <w:marTop w:val="0"/>
          <w:marBottom w:val="0"/>
          <w:divBdr>
            <w:top w:val="none" w:sz="0" w:space="0" w:color="auto"/>
            <w:left w:val="none" w:sz="0" w:space="0" w:color="auto"/>
            <w:bottom w:val="none" w:sz="0" w:space="0" w:color="auto"/>
            <w:right w:val="none" w:sz="0" w:space="0" w:color="auto"/>
          </w:divBdr>
        </w:div>
        <w:div w:id="1807576786">
          <w:marLeft w:val="0"/>
          <w:marRight w:val="0"/>
          <w:marTop w:val="0"/>
          <w:marBottom w:val="0"/>
          <w:divBdr>
            <w:top w:val="none" w:sz="0" w:space="0" w:color="auto"/>
            <w:left w:val="none" w:sz="0" w:space="0" w:color="auto"/>
            <w:bottom w:val="none" w:sz="0" w:space="0" w:color="auto"/>
            <w:right w:val="none" w:sz="0" w:space="0" w:color="auto"/>
          </w:divBdr>
        </w:div>
        <w:div w:id="507330149">
          <w:marLeft w:val="0"/>
          <w:marRight w:val="0"/>
          <w:marTop w:val="0"/>
          <w:marBottom w:val="0"/>
          <w:divBdr>
            <w:top w:val="none" w:sz="0" w:space="0" w:color="auto"/>
            <w:left w:val="none" w:sz="0" w:space="0" w:color="auto"/>
            <w:bottom w:val="none" w:sz="0" w:space="0" w:color="auto"/>
            <w:right w:val="none" w:sz="0" w:space="0" w:color="auto"/>
          </w:divBdr>
        </w:div>
        <w:div w:id="1075474887">
          <w:marLeft w:val="0"/>
          <w:marRight w:val="0"/>
          <w:marTop w:val="0"/>
          <w:marBottom w:val="0"/>
          <w:divBdr>
            <w:top w:val="none" w:sz="0" w:space="0" w:color="auto"/>
            <w:left w:val="none" w:sz="0" w:space="0" w:color="auto"/>
            <w:bottom w:val="none" w:sz="0" w:space="0" w:color="auto"/>
            <w:right w:val="none" w:sz="0" w:space="0" w:color="auto"/>
          </w:divBdr>
        </w:div>
        <w:div w:id="322247939">
          <w:marLeft w:val="0"/>
          <w:marRight w:val="0"/>
          <w:marTop w:val="0"/>
          <w:marBottom w:val="0"/>
          <w:divBdr>
            <w:top w:val="none" w:sz="0" w:space="0" w:color="auto"/>
            <w:left w:val="none" w:sz="0" w:space="0" w:color="auto"/>
            <w:bottom w:val="none" w:sz="0" w:space="0" w:color="auto"/>
            <w:right w:val="none" w:sz="0" w:space="0" w:color="auto"/>
          </w:divBdr>
        </w:div>
        <w:div w:id="485585905">
          <w:marLeft w:val="0"/>
          <w:marRight w:val="0"/>
          <w:marTop w:val="0"/>
          <w:marBottom w:val="0"/>
          <w:divBdr>
            <w:top w:val="none" w:sz="0" w:space="0" w:color="auto"/>
            <w:left w:val="none" w:sz="0" w:space="0" w:color="auto"/>
            <w:bottom w:val="none" w:sz="0" w:space="0" w:color="auto"/>
            <w:right w:val="none" w:sz="0" w:space="0" w:color="auto"/>
          </w:divBdr>
        </w:div>
        <w:div w:id="2105110979">
          <w:marLeft w:val="0"/>
          <w:marRight w:val="0"/>
          <w:marTop w:val="0"/>
          <w:marBottom w:val="0"/>
          <w:divBdr>
            <w:top w:val="none" w:sz="0" w:space="0" w:color="auto"/>
            <w:left w:val="none" w:sz="0" w:space="0" w:color="auto"/>
            <w:bottom w:val="none" w:sz="0" w:space="0" w:color="auto"/>
            <w:right w:val="none" w:sz="0" w:space="0" w:color="auto"/>
          </w:divBdr>
        </w:div>
        <w:div w:id="2106262176">
          <w:marLeft w:val="0"/>
          <w:marRight w:val="0"/>
          <w:marTop w:val="0"/>
          <w:marBottom w:val="0"/>
          <w:divBdr>
            <w:top w:val="none" w:sz="0" w:space="0" w:color="auto"/>
            <w:left w:val="none" w:sz="0" w:space="0" w:color="auto"/>
            <w:bottom w:val="none" w:sz="0" w:space="0" w:color="auto"/>
            <w:right w:val="none" w:sz="0" w:space="0" w:color="auto"/>
          </w:divBdr>
        </w:div>
        <w:div w:id="713386910">
          <w:marLeft w:val="0"/>
          <w:marRight w:val="0"/>
          <w:marTop w:val="0"/>
          <w:marBottom w:val="0"/>
          <w:divBdr>
            <w:top w:val="none" w:sz="0" w:space="0" w:color="auto"/>
            <w:left w:val="none" w:sz="0" w:space="0" w:color="auto"/>
            <w:bottom w:val="none" w:sz="0" w:space="0" w:color="auto"/>
            <w:right w:val="none" w:sz="0" w:space="0" w:color="auto"/>
          </w:divBdr>
        </w:div>
        <w:div w:id="920455642">
          <w:marLeft w:val="0"/>
          <w:marRight w:val="0"/>
          <w:marTop w:val="0"/>
          <w:marBottom w:val="0"/>
          <w:divBdr>
            <w:top w:val="none" w:sz="0" w:space="0" w:color="auto"/>
            <w:left w:val="none" w:sz="0" w:space="0" w:color="auto"/>
            <w:bottom w:val="none" w:sz="0" w:space="0" w:color="auto"/>
            <w:right w:val="none" w:sz="0" w:space="0" w:color="auto"/>
          </w:divBdr>
        </w:div>
        <w:div w:id="1974208860">
          <w:marLeft w:val="0"/>
          <w:marRight w:val="0"/>
          <w:marTop w:val="0"/>
          <w:marBottom w:val="0"/>
          <w:divBdr>
            <w:top w:val="none" w:sz="0" w:space="0" w:color="auto"/>
            <w:left w:val="none" w:sz="0" w:space="0" w:color="auto"/>
            <w:bottom w:val="none" w:sz="0" w:space="0" w:color="auto"/>
            <w:right w:val="none" w:sz="0" w:space="0" w:color="auto"/>
          </w:divBdr>
        </w:div>
        <w:div w:id="157380261">
          <w:marLeft w:val="0"/>
          <w:marRight w:val="0"/>
          <w:marTop w:val="0"/>
          <w:marBottom w:val="0"/>
          <w:divBdr>
            <w:top w:val="none" w:sz="0" w:space="0" w:color="auto"/>
            <w:left w:val="none" w:sz="0" w:space="0" w:color="auto"/>
            <w:bottom w:val="none" w:sz="0" w:space="0" w:color="auto"/>
            <w:right w:val="none" w:sz="0" w:space="0" w:color="auto"/>
          </w:divBdr>
        </w:div>
        <w:div w:id="1515150264">
          <w:marLeft w:val="0"/>
          <w:marRight w:val="0"/>
          <w:marTop w:val="0"/>
          <w:marBottom w:val="0"/>
          <w:divBdr>
            <w:top w:val="none" w:sz="0" w:space="0" w:color="auto"/>
            <w:left w:val="none" w:sz="0" w:space="0" w:color="auto"/>
            <w:bottom w:val="none" w:sz="0" w:space="0" w:color="auto"/>
            <w:right w:val="none" w:sz="0" w:space="0" w:color="auto"/>
          </w:divBdr>
        </w:div>
        <w:div w:id="1322391837">
          <w:marLeft w:val="0"/>
          <w:marRight w:val="0"/>
          <w:marTop w:val="0"/>
          <w:marBottom w:val="0"/>
          <w:divBdr>
            <w:top w:val="none" w:sz="0" w:space="0" w:color="auto"/>
            <w:left w:val="none" w:sz="0" w:space="0" w:color="auto"/>
            <w:bottom w:val="none" w:sz="0" w:space="0" w:color="auto"/>
            <w:right w:val="none" w:sz="0" w:space="0" w:color="auto"/>
          </w:divBdr>
        </w:div>
        <w:div w:id="141435736">
          <w:marLeft w:val="0"/>
          <w:marRight w:val="0"/>
          <w:marTop w:val="0"/>
          <w:marBottom w:val="0"/>
          <w:divBdr>
            <w:top w:val="none" w:sz="0" w:space="0" w:color="auto"/>
            <w:left w:val="none" w:sz="0" w:space="0" w:color="auto"/>
            <w:bottom w:val="none" w:sz="0" w:space="0" w:color="auto"/>
            <w:right w:val="none" w:sz="0" w:space="0" w:color="auto"/>
          </w:divBdr>
        </w:div>
        <w:div w:id="2112505729">
          <w:marLeft w:val="0"/>
          <w:marRight w:val="0"/>
          <w:marTop w:val="0"/>
          <w:marBottom w:val="0"/>
          <w:divBdr>
            <w:top w:val="none" w:sz="0" w:space="0" w:color="auto"/>
            <w:left w:val="none" w:sz="0" w:space="0" w:color="auto"/>
            <w:bottom w:val="none" w:sz="0" w:space="0" w:color="auto"/>
            <w:right w:val="none" w:sz="0" w:space="0" w:color="auto"/>
          </w:divBdr>
        </w:div>
        <w:div w:id="981541785">
          <w:marLeft w:val="0"/>
          <w:marRight w:val="0"/>
          <w:marTop w:val="0"/>
          <w:marBottom w:val="0"/>
          <w:divBdr>
            <w:top w:val="none" w:sz="0" w:space="0" w:color="auto"/>
            <w:left w:val="none" w:sz="0" w:space="0" w:color="auto"/>
            <w:bottom w:val="none" w:sz="0" w:space="0" w:color="auto"/>
            <w:right w:val="none" w:sz="0" w:space="0" w:color="auto"/>
          </w:divBdr>
        </w:div>
        <w:div w:id="795296335">
          <w:marLeft w:val="0"/>
          <w:marRight w:val="0"/>
          <w:marTop w:val="0"/>
          <w:marBottom w:val="0"/>
          <w:divBdr>
            <w:top w:val="none" w:sz="0" w:space="0" w:color="auto"/>
            <w:left w:val="none" w:sz="0" w:space="0" w:color="auto"/>
            <w:bottom w:val="none" w:sz="0" w:space="0" w:color="auto"/>
            <w:right w:val="none" w:sz="0" w:space="0" w:color="auto"/>
          </w:divBdr>
        </w:div>
        <w:div w:id="2107534785">
          <w:marLeft w:val="0"/>
          <w:marRight w:val="0"/>
          <w:marTop w:val="0"/>
          <w:marBottom w:val="0"/>
          <w:divBdr>
            <w:top w:val="none" w:sz="0" w:space="0" w:color="auto"/>
            <w:left w:val="none" w:sz="0" w:space="0" w:color="auto"/>
            <w:bottom w:val="none" w:sz="0" w:space="0" w:color="auto"/>
            <w:right w:val="none" w:sz="0" w:space="0" w:color="auto"/>
          </w:divBdr>
        </w:div>
        <w:div w:id="505562633">
          <w:marLeft w:val="0"/>
          <w:marRight w:val="0"/>
          <w:marTop w:val="0"/>
          <w:marBottom w:val="0"/>
          <w:divBdr>
            <w:top w:val="none" w:sz="0" w:space="0" w:color="auto"/>
            <w:left w:val="none" w:sz="0" w:space="0" w:color="auto"/>
            <w:bottom w:val="none" w:sz="0" w:space="0" w:color="auto"/>
            <w:right w:val="none" w:sz="0" w:space="0" w:color="auto"/>
          </w:divBdr>
        </w:div>
        <w:div w:id="1406683258">
          <w:marLeft w:val="0"/>
          <w:marRight w:val="0"/>
          <w:marTop w:val="0"/>
          <w:marBottom w:val="0"/>
          <w:divBdr>
            <w:top w:val="none" w:sz="0" w:space="0" w:color="auto"/>
            <w:left w:val="none" w:sz="0" w:space="0" w:color="auto"/>
            <w:bottom w:val="none" w:sz="0" w:space="0" w:color="auto"/>
            <w:right w:val="none" w:sz="0" w:space="0" w:color="auto"/>
          </w:divBdr>
        </w:div>
        <w:div w:id="177156715">
          <w:marLeft w:val="0"/>
          <w:marRight w:val="0"/>
          <w:marTop w:val="0"/>
          <w:marBottom w:val="0"/>
          <w:divBdr>
            <w:top w:val="none" w:sz="0" w:space="0" w:color="auto"/>
            <w:left w:val="none" w:sz="0" w:space="0" w:color="auto"/>
            <w:bottom w:val="none" w:sz="0" w:space="0" w:color="auto"/>
            <w:right w:val="none" w:sz="0" w:space="0" w:color="auto"/>
          </w:divBdr>
        </w:div>
        <w:div w:id="1089232997">
          <w:marLeft w:val="0"/>
          <w:marRight w:val="0"/>
          <w:marTop w:val="0"/>
          <w:marBottom w:val="0"/>
          <w:divBdr>
            <w:top w:val="none" w:sz="0" w:space="0" w:color="auto"/>
            <w:left w:val="none" w:sz="0" w:space="0" w:color="auto"/>
            <w:bottom w:val="none" w:sz="0" w:space="0" w:color="auto"/>
            <w:right w:val="none" w:sz="0" w:space="0" w:color="auto"/>
          </w:divBdr>
        </w:div>
        <w:div w:id="542837332">
          <w:marLeft w:val="0"/>
          <w:marRight w:val="0"/>
          <w:marTop w:val="0"/>
          <w:marBottom w:val="0"/>
          <w:divBdr>
            <w:top w:val="none" w:sz="0" w:space="0" w:color="auto"/>
            <w:left w:val="none" w:sz="0" w:space="0" w:color="auto"/>
            <w:bottom w:val="none" w:sz="0" w:space="0" w:color="auto"/>
            <w:right w:val="none" w:sz="0" w:space="0" w:color="auto"/>
          </w:divBdr>
        </w:div>
        <w:div w:id="1278172194">
          <w:marLeft w:val="0"/>
          <w:marRight w:val="0"/>
          <w:marTop w:val="0"/>
          <w:marBottom w:val="0"/>
          <w:divBdr>
            <w:top w:val="none" w:sz="0" w:space="0" w:color="auto"/>
            <w:left w:val="none" w:sz="0" w:space="0" w:color="auto"/>
            <w:bottom w:val="none" w:sz="0" w:space="0" w:color="auto"/>
            <w:right w:val="none" w:sz="0" w:space="0" w:color="auto"/>
          </w:divBdr>
        </w:div>
        <w:div w:id="654837276">
          <w:marLeft w:val="0"/>
          <w:marRight w:val="0"/>
          <w:marTop w:val="0"/>
          <w:marBottom w:val="0"/>
          <w:divBdr>
            <w:top w:val="none" w:sz="0" w:space="0" w:color="auto"/>
            <w:left w:val="none" w:sz="0" w:space="0" w:color="auto"/>
            <w:bottom w:val="none" w:sz="0" w:space="0" w:color="auto"/>
            <w:right w:val="none" w:sz="0" w:space="0" w:color="auto"/>
          </w:divBdr>
        </w:div>
        <w:div w:id="1763067310">
          <w:marLeft w:val="0"/>
          <w:marRight w:val="0"/>
          <w:marTop w:val="0"/>
          <w:marBottom w:val="0"/>
          <w:divBdr>
            <w:top w:val="none" w:sz="0" w:space="0" w:color="auto"/>
            <w:left w:val="none" w:sz="0" w:space="0" w:color="auto"/>
            <w:bottom w:val="none" w:sz="0" w:space="0" w:color="auto"/>
            <w:right w:val="none" w:sz="0" w:space="0" w:color="auto"/>
          </w:divBdr>
        </w:div>
        <w:div w:id="1023361116">
          <w:marLeft w:val="0"/>
          <w:marRight w:val="0"/>
          <w:marTop w:val="0"/>
          <w:marBottom w:val="0"/>
          <w:divBdr>
            <w:top w:val="none" w:sz="0" w:space="0" w:color="auto"/>
            <w:left w:val="none" w:sz="0" w:space="0" w:color="auto"/>
            <w:bottom w:val="none" w:sz="0" w:space="0" w:color="auto"/>
            <w:right w:val="none" w:sz="0" w:space="0" w:color="auto"/>
          </w:divBdr>
        </w:div>
        <w:div w:id="615255863">
          <w:marLeft w:val="0"/>
          <w:marRight w:val="0"/>
          <w:marTop w:val="0"/>
          <w:marBottom w:val="0"/>
          <w:divBdr>
            <w:top w:val="none" w:sz="0" w:space="0" w:color="auto"/>
            <w:left w:val="none" w:sz="0" w:space="0" w:color="auto"/>
            <w:bottom w:val="none" w:sz="0" w:space="0" w:color="auto"/>
            <w:right w:val="none" w:sz="0" w:space="0" w:color="auto"/>
          </w:divBdr>
        </w:div>
        <w:div w:id="1312061500">
          <w:marLeft w:val="0"/>
          <w:marRight w:val="0"/>
          <w:marTop w:val="0"/>
          <w:marBottom w:val="0"/>
          <w:divBdr>
            <w:top w:val="none" w:sz="0" w:space="0" w:color="auto"/>
            <w:left w:val="none" w:sz="0" w:space="0" w:color="auto"/>
            <w:bottom w:val="none" w:sz="0" w:space="0" w:color="auto"/>
            <w:right w:val="none" w:sz="0" w:space="0" w:color="auto"/>
          </w:divBdr>
        </w:div>
        <w:div w:id="1219633579">
          <w:marLeft w:val="0"/>
          <w:marRight w:val="0"/>
          <w:marTop w:val="0"/>
          <w:marBottom w:val="0"/>
          <w:divBdr>
            <w:top w:val="none" w:sz="0" w:space="0" w:color="auto"/>
            <w:left w:val="none" w:sz="0" w:space="0" w:color="auto"/>
            <w:bottom w:val="none" w:sz="0" w:space="0" w:color="auto"/>
            <w:right w:val="none" w:sz="0" w:space="0" w:color="auto"/>
          </w:divBdr>
        </w:div>
        <w:div w:id="485245922">
          <w:marLeft w:val="0"/>
          <w:marRight w:val="0"/>
          <w:marTop w:val="0"/>
          <w:marBottom w:val="0"/>
          <w:divBdr>
            <w:top w:val="none" w:sz="0" w:space="0" w:color="auto"/>
            <w:left w:val="none" w:sz="0" w:space="0" w:color="auto"/>
            <w:bottom w:val="none" w:sz="0" w:space="0" w:color="auto"/>
            <w:right w:val="none" w:sz="0" w:space="0" w:color="auto"/>
          </w:divBdr>
        </w:div>
        <w:div w:id="1590577242">
          <w:marLeft w:val="0"/>
          <w:marRight w:val="0"/>
          <w:marTop w:val="0"/>
          <w:marBottom w:val="0"/>
          <w:divBdr>
            <w:top w:val="none" w:sz="0" w:space="0" w:color="auto"/>
            <w:left w:val="none" w:sz="0" w:space="0" w:color="auto"/>
            <w:bottom w:val="none" w:sz="0" w:space="0" w:color="auto"/>
            <w:right w:val="none" w:sz="0" w:space="0" w:color="auto"/>
          </w:divBdr>
        </w:div>
      </w:divsChild>
    </w:div>
    <w:div w:id="1206717164">
      <w:bodyDiv w:val="1"/>
      <w:marLeft w:val="0"/>
      <w:marRight w:val="0"/>
      <w:marTop w:val="0"/>
      <w:marBottom w:val="0"/>
      <w:divBdr>
        <w:top w:val="none" w:sz="0" w:space="0" w:color="auto"/>
        <w:left w:val="none" w:sz="0" w:space="0" w:color="auto"/>
        <w:bottom w:val="none" w:sz="0" w:space="0" w:color="auto"/>
        <w:right w:val="none" w:sz="0" w:space="0" w:color="auto"/>
      </w:divBdr>
      <w:divsChild>
        <w:div w:id="178929447">
          <w:marLeft w:val="0"/>
          <w:marRight w:val="0"/>
          <w:marTop w:val="0"/>
          <w:marBottom w:val="0"/>
          <w:divBdr>
            <w:top w:val="none" w:sz="0" w:space="0" w:color="auto"/>
            <w:left w:val="none" w:sz="0" w:space="0" w:color="auto"/>
            <w:bottom w:val="none" w:sz="0" w:space="0" w:color="auto"/>
            <w:right w:val="none" w:sz="0" w:space="0" w:color="auto"/>
          </w:divBdr>
        </w:div>
        <w:div w:id="1478690931">
          <w:marLeft w:val="0"/>
          <w:marRight w:val="0"/>
          <w:marTop w:val="0"/>
          <w:marBottom w:val="0"/>
          <w:divBdr>
            <w:top w:val="none" w:sz="0" w:space="0" w:color="auto"/>
            <w:left w:val="none" w:sz="0" w:space="0" w:color="auto"/>
            <w:bottom w:val="none" w:sz="0" w:space="0" w:color="auto"/>
            <w:right w:val="none" w:sz="0" w:space="0" w:color="auto"/>
          </w:divBdr>
        </w:div>
        <w:div w:id="692997394">
          <w:marLeft w:val="0"/>
          <w:marRight w:val="0"/>
          <w:marTop w:val="0"/>
          <w:marBottom w:val="0"/>
          <w:divBdr>
            <w:top w:val="none" w:sz="0" w:space="0" w:color="auto"/>
            <w:left w:val="none" w:sz="0" w:space="0" w:color="auto"/>
            <w:bottom w:val="none" w:sz="0" w:space="0" w:color="auto"/>
            <w:right w:val="none" w:sz="0" w:space="0" w:color="auto"/>
          </w:divBdr>
        </w:div>
        <w:div w:id="1220701879">
          <w:marLeft w:val="0"/>
          <w:marRight w:val="0"/>
          <w:marTop w:val="0"/>
          <w:marBottom w:val="0"/>
          <w:divBdr>
            <w:top w:val="none" w:sz="0" w:space="0" w:color="auto"/>
            <w:left w:val="none" w:sz="0" w:space="0" w:color="auto"/>
            <w:bottom w:val="none" w:sz="0" w:space="0" w:color="auto"/>
            <w:right w:val="none" w:sz="0" w:space="0" w:color="auto"/>
          </w:divBdr>
        </w:div>
        <w:div w:id="474837759">
          <w:marLeft w:val="0"/>
          <w:marRight w:val="0"/>
          <w:marTop w:val="0"/>
          <w:marBottom w:val="0"/>
          <w:divBdr>
            <w:top w:val="none" w:sz="0" w:space="0" w:color="auto"/>
            <w:left w:val="none" w:sz="0" w:space="0" w:color="auto"/>
            <w:bottom w:val="none" w:sz="0" w:space="0" w:color="auto"/>
            <w:right w:val="none" w:sz="0" w:space="0" w:color="auto"/>
          </w:divBdr>
        </w:div>
        <w:div w:id="1271358039">
          <w:marLeft w:val="0"/>
          <w:marRight w:val="0"/>
          <w:marTop w:val="0"/>
          <w:marBottom w:val="0"/>
          <w:divBdr>
            <w:top w:val="none" w:sz="0" w:space="0" w:color="auto"/>
            <w:left w:val="none" w:sz="0" w:space="0" w:color="auto"/>
            <w:bottom w:val="none" w:sz="0" w:space="0" w:color="auto"/>
            <w:right w:val="none" w:sz="0" w:space="0" w:color="auto"/>
          </w:divBdr>
        </w:div>
        <w:div w:id="1008949084">
          <w:marLeft w:val="0"/>
          <w:marRight w:val="0"/>
          <w:marTop w:val="0"/>
          <w:marBottom w:val="0"/>
          <w:divBdr>
            <w:top w:val="none" w:sz="0" w:space="0" w:color="auto"/>
            <w:left w:val="none" w:sz="0" w:space="0" w:color="auto"/>
            <w:bottom w:val="none" w:sz="0" w:space="0" w:color="auto"/>
            <w:right w:val="none" w:sz="0" w:space="0" w:color="auto"/>
          </w:divBdr>
        </w:div>
        <w:div w:id="167214304">
          <w:marLeft w:val="0"/>
          <w:marRight w:val="0"/>
          <w:marTop w:val="0"/>
          <w:marBottom w:val="0"/>
          <w:divBdr>
            <w:top w:val="none" w:sz="0" w:space="0" w:color="auto"/>
            <w:left w:val="none" w:sz="0" w:space="0" w:color="auto"/>
            <w:bottom w:val="none" w:sz="0" w:space="0" w:color="auto"/>
            <w:right w:val="none" w:sz="0" w:space="0" w:color="auto"/>
          </w:divBdr>
        </w:div>
        <w:div w:id="1484271692">
          <w:marLeft w:val="0"/>
          <w:marRight w:val="0"/>
          <w:marTop w:val="0"/>
          <w:marBottom w:val="0"/>
          <w:divBdr>
            <w:top w:val="none" w:sz="0" w:space="0" w:color="auto"/>
            <w:left w:val="none" w:sz="0" w:space="0" w:color="auto"/>
            <w:bottom w:val="none" w:sz="0" w:space="0" w:color="auto"/>
            <w:right w:val="none" w:sz="0" w:space="0" w:color="auto"/>
          </w:divBdr>
        </w:div>
        <w:div w:id="1782412661">
          <w:marLeft w:val="0"/>
          <w:marRight w:val="0"/>
          <w:marTop w:val="0"/>
          <w:marBottom w:val="0"/>
          <w:divBdr>
            <w:top w:val="none" w:sz="0" w:space="0" w:color="auto"/>
            <w:left w:val="none" w:sz="0" w:space="0" w:color="auto"/>
            <w:bottom w:val="none" w:sz="0" w:space="0" w:color="auto"/>
            <w:right w:val="none" w:sz="0" w:space="0" w:color="auto"/>
          </w:divBdr>
        </w:div>
        <w:div w:id="1072699758">
          <w:marLeft w:val="0"/>
          <w:marRight w:val="0"/>
          <w:marTop w:val="0"/>
          <w:marBottom w:val="0"/>
          <w:divBdr>
            <w:top w:val="none" w:sz="0" w:space="0" w:color="auto"/>
            <w:left w:val="none" w:sz="0" w:space="0" w:color="auto"/>
            <w:bottom w:val="none" w:sz="0" w:space="0" w:color="auto"/>
            <w:right w:val="none" w:sz="0" w:space="0" w:color="auto"/>
          </w:divBdr>
        </w:div>
        <w:div w:id="823619337">
          <w:marLeft w:val="0"/>
          <w:marRight w:val="0"/>
          <w:marTop w:val="0"/>
          <w:marBottom w:val="0"/>
          <w:divBdr>
            <w:top w:val="none" w:sz="0" w:space="0" w:color="auto"/>
            <w:left w:val="none" w:sz="0" w:space="0" w:color="auto"/>
            <w:bottom w:val="none" w:sz="0" w:space="0" w:color="auto"/>
            <w:right w:val="none" w:sz="0" w:space="0" w:color="auto"/>
          </w:divBdr>
        </w:div>
      </w:divsChild>
    </w:div>
    <w:div w:id="1572038580">
      <w:bodyDiv w:val="1"/>
      <w:marLeft w:val="0"/>
      <w:marRight w:val="0"/>
      <w:marTop w:val="0"/>
      <w:marBottom w:val="0"/>
      <w:divBdr>
        <w:top w:val="none" w:sz="0" w:space="0" w:color="auto"/>
        <w:left w:val="none" w:sz="0" w:space="0" w:color="auto"/>
        <w:bottom w:val="none" w:sz="0" w:space="0" w:color="auto"/>
        <w:right w:val="none" w:sz="0" w:space="0" w:color="auto"/>
      </w:divBdr>
      <w:divsChild>
        <w:div w:id="1319842775">
          <w:marLeft w:val="0"/>
          <w:marRight w:val="0"/>
          <w:marTop w:val="0"/>
          <w:marBottom w:val="0"/>
          <w:divBdr>
            <w:top w:val="none" w:sz="0" w:space="0" w:color="auto"/>
            <w:left w:val="none" w:sz="0" w:space="0" w:color="auto"/>
            <w:bottom w:val="none" w:sz="0" w:space="0" w:color="auto"/>
            <w:right w:val="none" w:sz="0" w:space="0" w:color="auto"/>
          </w:divBdr>
        </w:div>
        <w:div w:id="1521821317">
          <w:marLeft w:val="0"/>
          <w:marRight w:val="0"/>
          <w:marTop w:val="0"/>
          <w:marBottom w:val="0"/>
          <w:divBdr>
            <w:top w:val="none" w:sz="0" w:space="0" w:color="auto"/>
            <w:left w:val="none" w:sz="0" w:space="0" w:color="auto"/>
            <w:bottom w:val="none" w:sz="0" w:space="0" w:color="auto"/>
            <w:right w:val="none" w:sz="0" w:space="0" w:color="auto"/>
          </w:divBdr>
        </w:div>
        <w:div w:id="1401978808">
          <w:marLeft w:val="0"/>
          <w:marRight w:val="0"/>
          <w:marTop w:val="0"/>
          <w:marBottom w:val="0"/>
          <w:divBdr>
            <w:top w:val="none" w:sz="0" w:space="0" w:color="auto"/>
            <w:left w:val="none" w:sz="0" w:space="0" w:color="auto"/>
            <w:bottom w:val="none" w:sz="0" w:space="0" w:color="auto"/>
            <w:right w:val="none" w:sz="0" w:space="0" w:color="auto"/>
          </w:divBdr>
        </w:div>
        <w:div w:id="1918055270">
          <w:marLeft w:val="0"/>
          <w:marRight w:val="0"/>
          <w:marTop w:val="0"/>
          <w:marBottom w:val="0"/>
          <w:divBdr>
            <w:top w:val="none" w:sz="0" w:space="0" w:color="auto"/>
            <w:left w:val="none" w:sz="0" w:space="0" w:color="auto"/>
            <w:bottom w:val="none" w:sz="0" w:space="0" w:color="auto"/>
            <w:right w:val="none" w:sz="0" w:space="0" w:color="auto"/>
          </w:divBdr>
        </w:div>
        <w:div w:id="1473212992">
          <w:marLeft w:val="0"/>
          <w:marRight w:val="0"/>
          <w:marTop w:val="0"/>
          <w:marBottom w:val="0"/>
          <w:divBdr>
            <w:top w:val="none" w:sz="0" w:space="0" w:color="auto"/>
            <w:left w:val="none" w:sz="0" w:space="0" w:color="auto"/>
            <w:bottom w:val="none" w:sz="0" w:space="0" w:color="auto"/>
            <w:right w:val="none" w:sz="0" w:space="0" w:color="auto"/>
          </w:divBdr>
        </w:div>
        <w:div w:id="671219950">
          <w:marLeft w:val="0"/>
          <w:marRight w:val="0"/>
          <w:marTop w:val="0"/>
          <w:marBottom w:val="0"/>
          <w:divBdr>
            <w:top w:val="none" w:sz="0" w:space="0" w:color="auto"/>
            <w:left w:val="none" w:sz="0" w:space="0" w:color="auto"/>
            <w:bottom w:val="none" w:sz="0" w:space="0" w:color="auto"/>
            <w:right w:val="none" w:sz="0" w:space="0" w:color="auto"/>
          </w:divBdr>
        </w:div>
        <w:div w:id="866018665">
          <w:marLeft w:val="0"/>
          <w:marRight w:val="0"/>
          <w:marTop w:val="0"/>
          <w:marBottom w:val="0"/>
          <w:divBdr>
            <w:top w:val="none" w:sz="0" w:space="0" w:color="auto"/>
            <w:left w:val="none" w:sz="0" w:space="0" w:color="auto"/>
            <w:bottom w:val="none" w:sz="0" w:space="0" w:color="auto"/>
            <w:right w:val="none" w:sz="0" w:space="0" w:color="auto"/>
          </w:divBdr>
        </w:div>
        <w:div w:id="159588465">
          <w:marLeft w:val="0"/>
          <w:marRight w:val="0"/>
          <w:marTop w:val="0"/>
          <w:marBottom w:val="0"/>
          <w:divBdr>
            <w:top w:val="none" w:sz="0" w:space="0" w:color="auto"/>
            <w:left w:val="none" w:sz="0" w:space="0" w:color="auto"/>
            <w:bottom w:val="none" w:sz="0" w:space="0" w:color="auto"/>
            <w:right w:val="none" w:sz="0" w:space="0" w:color="auto"/>
          </w:divBdr>
        </w:div>
        <w:div w:id="226305188">
          <w:marLeft w:val="0"/>
          <w:marRight w:val="0"/>
          <w:marTop w:val="0"/>
          <w:marBottom w:val="0"/>
          <w:divBdr>
            <w:top w:val="none" w:sz="0" w:space="0" w:color="auto"/>
            <w:left w:val="none" w:sz="0" w:space="0" w:color="auto"/>
            <w:bottom w:val="none" w:sz="0" w:space="0" w:color="auto"/>
            <w:right w:val="none" w:sz="0" w:space="0" w:color="auto"/>
          </w:divBdr>
        </w:div>
        <w:div w:id="1005598864">
          <w:marLeft w:val="0"/>
          <w:marRight w:val="0"/>
          <w:marTop w:val="0"/>
          <w:marBottom w:val="0"/>
          <w:divBdr>
            <w:top w:val="none" w:sz="0" w:space="0" w:color="auto"/>
            <w:left w:val="none" w:sz="0" w:space="0" w:color="auto"/>
            <w:bottom w:val="none" w:sz="0" w:space="0" w:color="auto"/>
            <w:right w:val="none" w:sz="0" w:space="0" w:color="auto"/>
          </w:divBdr>
        </w:div>
        <w:div w:id="2112506477">
          <w:marLeft w:val="0"/>
          <w:marRight w:val="0"/>
          <w:marTop w:val="0"/>
          <w:marBottom w:val="0"/>
          <w:divBdr>
            <w:top w:val="none" w:sz="0" w:space="0" w:color="auto"/>
            <w:left w:val="none" w:sz="0" w:space="0" w:color="auto"/>
            <w:bottom w:val="none" w:sz="0" w:space="0" w:color="auto"/>
            <w:right w:val="none" w:sz="0" w:space="0" w:color="auto"/>
          </w:divBdr>
        </w:div>
        <w:div w:id="1479569960">
          <w:marLeft w:val="0"/>
          <w:marRight w:val="0"/>
          <w:marTop w:val="0"/>
          <w:marBottom w:val="0"/>
          <w:divBdr>
            <w:top w:val="none" w:sz="0" w:space="0" w:color="auto"/>
            <w:left w:val="none" w:sz="0" w:space="0" w:color="auto"/>
            <w:bottom w:val="none" w:sz="0" w:space="0" w:color="auto"/>
            <w:right w:val="none" w:sz="0" w:space="0" w:color="auto"/>
          </w:divBdr>
        </w:div>
        <w:div w:id="444160275">
          <w:marLeft w:val="0"/>
          <w:marRight w:val="0"/>
          <w:marTop w:val="0"/>
          <w:marBottom w:val="0"/>
          <w:divBdr>
            <w:top w:val="none" w:sz="0" w:space="0" w:color="auto"/>
            <w:left w:val="none" w:sz="0" w:space="0" w:color="auto"/>
            <w:bottom w:val="none" w:sz="0" w:space="0" w:color="auto"/>
            <w:right w:val="none" w:sz="0" w:space="0" w:color="auto"/>
          </w:divBdr>
        </w:div>
        <w:div w:id="1634479706">
          <w:marLeft w:val="0"/>
          <w:marRight w:val="0"/>
          <w:marTop w:val="0"/>
          <w:marBottom w:val="0"/>
          <w:divBdr>
            <w:top w:val="none" w:sz="0" w:space="0" w:color="auto"/>
            <w:left w:val="none" w:sz="0" w:space="0" w:color="auto"/>
            <w:bottom w:val="none" w:sz="0" w:space="0" w:color="auto"/>
            <w:right w:val="none" w:sz="0" w:space="0" w:color="auto"/>
          </w:divBdr>
        </w:div>
        <w:div w:id="1044063206">
          <w:marLeft w:val="0"/>
          <w:marRight w:val="0"/>
          <w:marTop w:val="0"/>
          <w:marBottom w:val="0"/>
          <w:divBdr>
            <w:top w:val="none" w:sz="0" w:space="0" w:color="auto"/>
            <w:left w:val="none" w:sz="0" w:space="0" w:color="auto"/>
            <w:bottom w:val="none" w:sz="0" w:space="0" w:color="auto"/>
            <w:right w:val="none" w:sz="0" w:space="0" w:color="auto"/>
          </w:divBdr>
        </w:div>
        <w:div w:id="873231975">
          <w:marLeft w:val="0"/>
          <w:marRight w:val="0"/>
          <w:marTop w:val="0"/>
          <w:marBottom w:val="0"/>
          <w:divBdr>
            <w:top w:val="none" w:sz="0" w:space="0" w:color="auto"/>
            <w:left w:val="none" w:sz="0" w:space="0" w:color="auto"/>
            <w:bottom w:val="none" w:sz="0" w:space="0" w:color="auto"/>
            <w:right w:val="none" w:sz="0" w:space="0" w:color="auto"/>
          </w:divBdr>
        </w:div>
        <w:div w:id="1959682340">
          <w:marLeft w:val="0"/>
          <w:marRight w:val="0"/>
          <w:marTop w:val="0"/>
          <w:marBottom w:val="0"/>
          <w:divBdr>
            <w:top w:val="none" w:sz="0" w:space="0" w:color="auto"/>
            <w:left w:val="none" w:sz="0" w:space="0" w:color="auto"/>
            <w:bottom w:val="none" w:sz="0" w:space="0" w:color="auto"/>
            <w:right w:val="none" w:sz="0" w:space="0" w:color="auto"/>
          </w:divBdr>
        </w:div>
        <w:div w:id="1359812545">
          <w:marLeft w:val="0"/>
          <w:marRight w:val="0"/>
          <w:marTop w:val="0"/>
          <w:marBottom w:val="0"/>
          <w:divBdr>
            <w:top w:val="none" w:sz="0" w:space="0" w:color="auto"/>
            <w:left w:val="none" w:sz="0" w:space="0" w:color="auto"/>
            <w:bottom w:val="none" w:sz="0" w:space="0" w:color="auto"/>
            <w:right w:val="none" w:sz="0" w:space="0" w:color="auto"/>
          </w:divBdr>
        </w:div>
        <w:div w:id="1474953759">
          <w:marLeft w:val="0"/>
          <w:marRight w:val="0"/>
          <w:marTop w:val="0"/>
          <w:marBottom w:val="0"/>
          <w:divBdr>
            <w:top w:val="none" w:sz="0" w:space="0" w:color="auto"/>
            <w:left w:val="none" w:sz="0" w:space="0" w:color="auto"/>
            <w:bottom w:val="none" w:sz="0" w:space="0" w:color="auto"/>
            <w:right w:val="none" w:sz="0" w:space="0" w:color="auto"/>
          </w:divBdr>
        </w:div>
        <w:div w:id="1870100993">
          <w:marLeft w:val="0"/>
          <w:marRight w:val="0"/>
          <w:marTop w:val="0"/>
          <w:marBottom w:val="0"/>
          <w:divBdr>
            <w:top w:val="none" w:sz="0" w:space="0" w:color="auto"/>
            <w:left w:val="none" w:sz="0" w:space="0" w:color="auto"/>
            <w:bottom w:val="none" w:sz="0" w:space="0" w:color="auto"/>
            <w:right w:val="none" w:sz="0" w:space="0" w:color="auto"/>
          </w:divBdr>
        </w:div>
        <w:div w:id="801774842">
          <w:marLeft w:val="0"/>
          <w:marRight w:val="0"/>
          <w:marTop w:val="0"/>
          <w:marBottom w:val="0"/>
          <w:divBdr>
            <w:top w:val="none" w:sz="0" w:space="0" w:color="auto"/>
            <w:left w:val="none" w:sz="0" w:space="0" w:color="auto"/>
            <w:bottom w:val="none" w:sz="0" w:space="0" w:color="auto"/>
            <w:right w:val="none" w:sz="0" w:space="0" w:color="auto"/>
          </w:divBdr>
        </w:div>
        <w:div w:id="950553525">
          <w:marLeft w:val="0"/>
          <w:marRight w:val="0"/>
          <w:marTop w:val="0"/>
          <w:marBottom w:val="0"/>
          <w:divBdr>
            <w:top w:val="none" w:sz="0" w:space="0" w:color="auto"/>
            <w:left w:val="none" w:sz="0" w:space="0" w:color="auto"/>
            <w:bottom w:val="none" w:sz="0" w:space="0" w:color="auto"/>
            <w:right w:val="none" w:sz="0" w:space="0" w:color="auto"/>
          </w:divBdr>
        </w:div>
        <w:div w:id="1869023786">
          <w:marLeft w:val="0"/>
          <w:marRight w:val="0"/>
          <w:marTop w:val="0"/>
          <w:marBottom w:val="0"/>
          <w:divBdr>
            <w:top w:val="none" w:sz="0" w:space="0" w:color="auto"/>
            <w:left w:val="none" w:sz="0" w:space="0" w:color="auto"/>
            <w:bottom w:val="none" w:sz="0" w:space="0" w:color="auto"/>
            <w:right w:val="none" w:sz="0" w:space="0" w:color="auto"/>
          </w:divBdr>
        </w:div>
        <w:div w:id="1998875874">
          <w:marLeft w:val="0"/>
          <w:marRight w:val="0"/>
          <w:marTop w:val="0"/>
          <w:marBottom w:val="0"/>
          <w:divBdr>
            <w:top w:val="none" w:sz="0" w:space="0" w:color="auto"/>
            <w:left w:val="none" w:sz="0" w:space="0" w:color="auto"/>
            <w:bottom w:val="none" w:sz="0" w:space="0" w:color="auto"/>
            <w:right w:val="none" w:sz="0" w:space="0" w:color="auto"/>
          </w:divBdr>
        </w:div>
        <w:div w:id="1132285364">
          <w:marLeft w:val="0"/>
          <w:marRight w:val="0"/>
          <w:marTop w:val="0"/>
          <w:marBottom w:val="0"/>
          <w:divBdr>
            <w:top w:val="none" w:sz="0" w:space="0" w:color="auto"/>
            <w:left w:val="none" w:sz="0" w:space="0" w:color="auto"/>
            <w:bottom w:val="none" w:sz="0" w:space="0" w:color="auto"/>
            <w:right w:val="none" w:sz="0" w:space="0" w:color="auto"/>
          </w:divBdr>
        </w:div>
        <w:div w:id="70927959">
          <w:marLeft w:val="0"/>
          <w:marRight w:val="0"/>
          <w:marTop w:val="0"/>
          <w:marBottom w:val="0"/>
          <w:divBdr>
            <w:top w:val="none" w:sz="0" w:space="0" w:color="auto"/>
            <w:left w:val="none" w:sz="0" w:space="0" w:color="auto"/>
            <w:bottom w:val="none" w:sz="0" w:space="0" w:color="auto"/>
            <w:right w:val="none" w:sz="0" w:space="0" w:color="auto"/>
          </w:divBdr>
        </w:div>
        <w:div w:id="365107429">
          <w:marLeft w:val="0"/>
          <w:marRight w:val="0"/>
          <w:marTop w:val="0"/>
          <w:marBottom w:val="0"/>
          <w:divBdr>
            <w:top w:val="none" w:sz="0" w:space="0" w:color="auto"/>
            <w:left w:val="none" w:sz="0" w:space="0" w:color="auto"/>
            <w:bottom w:val="none" w:sz="0" w:space="0" w:color="auto"/>
            <w:right w:val="none" w:sz="0" w:space="0" w:color="auto"/>
          </w:divBdr>
        </w:div>
        <w:div w:id="416097189">
          <w:marLeft w:val="0"/>
          <w:marRight w:val="0"/>
          <w:marTop w:val="0"/>
          <w:marBottom w:val="0"/>
          <w:divBdr>
            <w:top w:val="none" w:sz="0" w:space="0" w:color="auto"/>
            <w:left w:val="none" w:sz="0" w:space="0" w:color="auto"/>
            <w:bottom w:val="none" w:sz="0" w:space="0" w:color="auto"/>
            <w:right w:val="none" w:sz="0" w:space="0" w:color="auto"/>
          </w:divBdr>
        </w:div>
        <w:div w:id="2086679037">
          <w:marLeft w:val="0"/>
          <w:marRight w:val="0"/>
          <w:marTop w:val="0"/>
          <w:marBottom w:val="0"/>
          <w:divBdr>
            <w:top w:val="none" w:sz="0" w:space="0" w:color="auto"/>
            <w:left w:val="none" w:sz="0" w:space="0" w:color="auto"/>
            <w:bottom w:val="none" w:sz="0" w:space="0" w:color="auto"/>
            <w:right w:val="none" w:sz="0" w:space="0" w:color="auto"/>
          </w:divBdr>
        </w:div>
        <w:div w:id="1191452186">
          <w:marLeft w:val="0"/>
          <w:marRight w:val="0"/>
          <w:marTop w:val="0"/>
          <w:marBottom w:val="0"/>
          <w:divBdr>
            <w:top w:val="none" w:sz="0" w:space="0" w:color="auto"/>
            <w:left w:val="none" w:sz="0" w:space="0" w:color="auto"/>
            <w:bottom w:val="none" w:sz="0" w:space="0" w:color="auto"/>
            <w:right w:val="none" w:sz="0" w:space="0" w:color="auto"/>
          </w:divBdr>
        </w:div>
        <w:div w:id="1381786889">
          <w:marLeft w:val="0"/>
          <w:marRight w:val="0"/>
          <w:marTop w:val="0"/>
          <w:marBottom w:val="0"/>
          <w:divBdr>
            <w:top w:val="none" w:sz="0" w:space="0" w:color="auto"/>
            <w:left w:val="none" w:sz="0" w:space="0" w:color="auto"/>
            <w:bottom w:val="none" w:sz="0" w:space="0" w:color="auto"/>
            <w:right w:val="none" w:sz="0" w:space="0" w:color="auto"/>
          </w:divBdr>
        </w:div>
        <w:div w:id="892497950">
          <w:marLeft w:val="0"/>
          <w:marRight w:val="0"/>
          <w:marTop w:val="0"/>
          <w:marBottom w:val="0"/>
          <w:divBdr>
            <w:top w:val="none" w:sz="0" w:space="0" w:color="auto"/>
            <w:left w:val="none" w:sz="0" w:space="0" w:color="auto"/>
            <w:bottom w:val="none" w:sz="0" w:space="0" w:color="auto"/>
            <w:right w:val="none" w:sz="0" w:space="0" w:color="auto"/>
          </w:divBdr>
        </w:div>
        <w:div w:id="1679842654">
          <w:marLeft w:val="0"/>
          <w:marRight w:val="0"/>
          <w:marTop w:val="0"/>
          <w:marBottom w:val="0"/>
          <w:divBdr>
            <w:top w:val="none" w:sz="0" w:space="0" w:color="auto"/>
            <w:left w:val="none" w:sz="0" w:space="0" w:color="auto"/>
            <w:bottom w:val="none" w:sz="0" w:space="0" w:color="auto"/>
            <w:right w:val="none" w:sz="0" w:space="0" w:color="auto"/>
          </w:divBdr>
        </w:div>
        <w:div w:id="165092299">
          <w:marLeft w:val="0"/>
          <w:marRight w:val="0"/>
          <w:marTop w:val="0"/>
          <w:marBottom w:val="0"/>
          <w:divBdr>
            <w:top w:val="none" w:sz="0" w:space="0" w:color="auto"/>
            <w:left w:val="none" w:sz="0" w:space="0" w:color="auto"/>
            <w:bottom w:val="none" w:sz="0" w:space="0" w:color="auto"/>
            <w:right w:val="none" w:sz="0" w:space="0" w:color="auto"/>
          </w:divBdr>
        </w:div>
        <w:div w:id="1400133298">
          <w:marLeft w:val="0"/>
          <w:marRight w:val="0"/>
          <w:marTop w:val="0"/>
          <w:marBottom w:val="0"/>
          <w:divBdr>
            <w:top w:val="none" w:sz="0" w:space="0" w:color="auto"/>
            <w:left w:val="none" w:sz="0" w:space="0" w:color="auto"/>
            <w:bottom w:val="none" w:sz="0" w:space="0" w:color="auto"/>
            <w:right w:val="none" w:sz="0" w:space="0" w:color="auto"/>
          </w:divBdr>
        </w:div>
        <w:div w:id="136338566">
          <w:marLeft w:val="0"/>
          <w:marRight w:val="0"/>
          <w:marTop w:val="0"/>
          <w:marBottom w:val="0"/>
          <w:divBdr>
            <w:top w:val="none" w:sz="0" w:space="0" w:color="auto"/>
            <w:left w:val="none" w:sz="0" w:space="0" w:color="auto"/>
            <w:bottom w:val="none" w:sz="0" w:space="0" w:color="auto"/>
            <w:right w:val="none" w:sz="0" w:space="0" w:color="auto"/>
          </w:divBdr>
        </w:div>
        <w:div w:id="417412227">
          <w:marLeft w:val="0"/>
          <w:marRight w:val="0"/>
          <w:marTop w:val="0"/>
          <w:marBottom w:val="0"/>
          <w:divBdr>
            <w:top w:val="none" w:sz="0" w:space="0" w:color="auto"/>
            <w:left w:val="none" w:sz="0" w:space="0" w:color="auto"/>
            <w:bottom w:val="none" w:sz="0" w:space="0" w:color="auto"/>
            <w:right w:val="none" w:sz="0" w:space="0" w:color="auto"/>
          </w:divBdr>
        </w:div>
        <w:div w:id="764686877">
          <w:marLeft w:val="0"/>
          <w:marRight w:val="0"/>
          <w:marTop w:val="0"/>
          <w:marBottom w:val="0"/>
          <w:divBdr>
            <w:top w:val="none" w:sz="0" w:space="0" w:color="auto"/>
            <w:left w:val="none" w:sz="0" w:space="0" w:color="auto"/>
            <w:bottom w:val="none" w:sz="0" w:space="0" w:color="auto"/>
            <w:right w:val="none" w:sz="0" w:space="0" w:color="auto"/>
          </w:divBdr>
        </w:div>
        <w:div w:id="340742080">
          <w:marLeft w:val="0"/>
          <w:marRight w:val="0"/>
          <w:marTop w:val="0"/>
          <w:marBottom w:val="0"/>
          <w:divBdr>
            <w:top w:val="none" w:sz="0" w:space="0" w:color="auto"/>
            <w:left w:val="none" w:sz="0" w:space="0" w:color="auto"/>
            <w:bottom w:val="none" w:sz="0" w:space="0" w:color="auto"/>
            <w:right w:val="none" w:sz="0" w:space="0" w:color="auto"/>
          </w:divBdr>
        </w:div>
        <w:div w:id="207961855">
          <w:marLeft w:val="0"/>
          <w:marRight w:val="0"/>
          <w:marTop w:val="0"/>
          <w:marBottom w:val="0"/>
          <w:divBdr>
            <w:top w:val="none" w:sz="0" w:space="0" w:color="auto"/>
            <w:left w:val="none" w:sz="0" w:space="0" w:color="auto"/>
            <w:bottom w:val="none" w:sz="0" w:space="0" w:color="auto"/>
            <w:right w:val="none" w:sz="0" w:space="0" w:color="auto"/>
          </w:divBdr>
        </w:div>
        <w:div w:id="1663464691">
          <w:marLeft w:val="0"/>
          <w:marRight w:val="0"/>
          <w:marTop w:val="0"/>
          <w:marBottom w:val="0"/>
          <w:divBdr>
            <w:top w:val="none" w:sz="0" w:space="0" w:color="auto"/>
            <w:left w:val="none" w:sz="0" w:space="0" w:color="auto"/>
            <w:bottom w:val="none" w:sz="0" w:space="0" w:color="auto"/>
            <w:right w:val="none" w:sz="0" w:space="0" w:color="auto"/>
          </w:divBdr>
        </w:div>
        <w:div w:id="666833046">
          <w:marLeft w:val="0"/>
          <w:marRight w:val="0"/>
          <w:marTop w:val="0"/>
          <w:marBottom w:val="0"/>
          <w:divBdr>
            <w:top w:val="none" w:sz="0" w:space="0" w:color="auto"/>
            <w:left w:val="none" w:sz="0" w:space="0" w:color="auto"/>
            <w:bottom w:val="none" w:sz="0" w:space="0" w:color="auto"/>
            <w:right w:val="none" w:sz="0" w:space="0" w:color="auto"/>
          </w:divBdr>
        </w:div>
        <w:div w:id="1751585120">
          <w:marLeft w:val="0"/>
          <w:marRight w:val="0"/>
          <w:marTop w:val="0"/>
          <w:marBottom w:val="0"/>
          <w:divBdr>
            <w:top w:val="none" w:sz="0" w:space="0" w:color="auto"/>
            <w:left w:val="none" w:sz="0" w:space="0" w:color="auto"/>
            <w:bottom w:val="none" w:sz="0" w:space="0" w:color="auto"/>
            <w:right w:val="none" w:sz="0" w:space="0" w:color="auto"/>
          </w:divBdr>
        </w:div>
        <w:div w:id="384985535">
          <w:marLeft w:val="0"/>
          <w:marRight w:val="0"/>
          <w:marTop w:val="0"/>
          <w:marBottom w:val="0"/>
          <w:divBdr>
            <w:top w:val="none" w:sz="0" w:space="0" w:color="auto"/>
            <w:left w:val="none" w:sz="0" w:space="0" w:color="auto"/>
            <w:bottom w:val="none" w:sz="0" w:space="0" w:color="auto"/>
            <w:right w:val="none" w:sz="0" w:space="0" w:color="auto"/>
          </w:divBdr>
        </w:div>
        <w:div w:id="1844932970">
          <w:marLeft w:val="0"/>
          <w:marRight w:val="0"/>
          <w:marTop w:val="0"/>
          <w:marBottom w:val="0"/>
          <w:divBdr>
            <w:top w:val="none" w:sz="0" w:space="0" w:color="auto"/>
            <w:left w:val="none" w:sz="0" w:space="0" w:color="auto"/>
            <w:bottom w:val="none" w:sz="0" w:space="0" w:color="auto"/>
            <w:right w:val="none" w:sz="0" w:space="0" w:color="auto"/>
          </w:divBdr>
        </w:div>
        <w:div w:id="607201387">
          <w:marLeft w:val="0"/>
          <w:marRight w:val="0"/>
          <w:marTop w:val="0"/>
          <w:marBottom w:val="0"/>
          <w:divBdr>
            <w:top w:val="none" w:sz="0" w:space="0" w:color="auto"/>
            <w:left w:val="none" w:sz="0" w:space="0" w:color="auto"/>
            <w:bottom w:val="none" w:sz="0" w:space="0" w:color="auto"/>
            <w:right w:val="none" w:sz="0" w:space="0" w:color="auto"/>
          </w:divBdr>
        </w:div>
        <w:div w:id="332537735">
          <w:marLeft w:val="0"/>
          <w:marRight w:val="0"/>
          <w:marTop w:val="0"/>
          <w:marBottom w:val="0"/>
          <w:divBdr>
            <w:top w:val="none" w:sz="0" w:space="0" w:color="auto"/>
            <w:left w:val="none" w:sz="0" w:space="0" w:color="auto"/>
            <w:bottom w:val="none" w:sz="0" w:space="0" w:color="auto"/>
            <w:right w:val="none" w:sz="0" w:space="0" w:color="auto"/>
          </w:divBdr>
        </w:div>
        <w:div w:id="231736622">
          <w:marLeft w:val="0"/>
          <w:marRight w:val="0"/>
          <w:marTop w:val="0"/>
          <w:marBottom w:val="0"/>
          <w:divBdr>
            <w:top w:val="none" w:sz="0" w:space="0" w:color="auto"/>
            <w:left w:val="none" w:sz="0" w:space="0" w:color="auto"/>
            <w:bottom w:val="none" w:sz="0" w:space="0" w:color="auto"/>
            <w:right w:val="none" w:sz="0" w:space="0" w:color="auto"/>
          </w:divBdr>
        </w:div>
        <w:div w:id="815607671">
          <w:marLeft w:val="0"/>
          <w:marRight w:val="0"/>
          <w:marTop w:val="0"/>
          <w:marBottom w:val="0"/>
          <w:divBdr>
            <w:top w:val="none" w:sz="0" w:space="0" w:color="auto"/>
            <w:left w:val="none" w:sz="0" w:space="0" w:color="auto"/>
            <w:bottom w:val="none" w:sz="0" w:space="0" w:color="auto"/>
            <w:right w:val="none" w:sz="0" w:space="0" w:color="auto"/>
          </w:divBdr>
        </w:div>
        <w:div w:id="124273699">
          <w:marLeft w:val="0"/>
          <w:marRight w:val="0"/>
          <w:marTop w:val="0"/>
          <w:marBottom w:val="0"/>
          <w:divBdr>
            <w:top w:val="none" w:sz="0" w:space="0" w:color="auto"/>
            <w:left w:val="none" w:sz="0" w:space="0" w:color="auto"/>
            <w:bottom w:val="none" w:sz="0" w:space="0" w:color="auto"/>
            <w:right w:val="none" w:sz="0" w:space="0" w:color="auto"/>
          </w:divBdr>
        </w:div>
        <w:div w:id="368143844">
          <w:marLeft w:val="0"/>
          <w:marRight w:val="0"/>
          <w:marTop w:val="0"/>
          <w:marBottom w:val="0"/>
          <w:divBdr>
            <w:top w:val="none" w:sz="0" w:space="0" w:color="auto"/>
            <w:left w:val="none" w:sz="0" w:space="0" w:color="auto"/>
            <w:bottom w:val="none" w:sz="0" w:space="0" w:color="auto"/>
            <w:right w:val="none" w:sz="0" w:space="0" w:color="auto"/>
          </w:divBdr>
        </w:div>
        <w:div w:id="1956519654">
          <w:marLeft w:val="0"/>
          <w:marRight w:val="0"/>
          <w:marTop w:val="0"/>
          <w:marBottom w:val="0"/>
          <w:divBdr>
            <w:top w:val="none" w:sz="0" w:space="0" w:color="auto"/>
            <w:left w:val="none" w:sz="0" w:space="0" w:color="auto"/>
            <w:bottom w:val="none" w:sz="0" w:space="0" w:color="auto"/>
            <w:right w:val="none" w:sz="0" w:space="0" w:color="auto"/>
          </w:divBdr>
        </w:div>
        <w:div w:id="1575973278">
          <w:marLeft w:val="0"/>
          <w:marRight w:val="0"/>
          <w:marTop w:val="0"/>
          <w:marBottom w:val="0"/>
          <w:divBdr>
            <w:top w:val="none" w:sz="0" w:space="0" w:color="auto"/>
            <w:left w:val="none" w:sz="0" w:space="0" w:color="auto"/>
            <w:bottom w:val="none" w:sz="0" w:space="0" w:color="auto"/>
            <w:right w:val="none" w:sz="0" w:space="0" w:color="auto"/>
          </w:divBdr>
        </w:div>
        <w:div w:id="1739866174">
          <w:marLeft w:val="0"/>
          <w:marRight w:val="0"/>
          <w:marTop w:val="0"/>
          <w:marBottom w:val="0"/>
          <w:divBdr>
            <w:top w:val="none" w:sz="0" w:space="0" w:color="auto"/>
            <w:left w:val="none" w:sz="0" w:space="0" w:color="auto"/>
            <w:bottom w:val="none" w:sz="0" w:space="0" w:color="auto"/>
            <w:right w:val="none" w:sz="0" w:space="0" w:color="auto"/>
          </w:divBdr>
        </w:div>
        <w:div w:id="869494316">
          <w:marLeft w:val="0"/>
          <w:marRight w:val="0"/>
          <w:marTop w:val="0"/>
          <w:marBottom w:val="0"/>
          <w:divBdr>
            <w:top w:val="none" w:sz="0" w:space="0" w:color="auto"/>
            <w:left w:val="none" w:sz="0" w:space="0" w:color="auto"/>
            <w:bottom w:val="none" w:sz="0" w:space="0" w:color="auto"/>
            <w:right w:val="none" w:sz="0" w:space="0" w:color="auto"/>
          </w:divBdr>
        </w:div>
        <w:div w:id="1017461181">
          <w:marLeft w:val="0"/>
          <w:marRight w:val="0"/>
          <w:marTop w:val="0"/>
          <w:marBottom w:val="0"/>
          <w:divBdr>
            <w:top w:val="none" w:sz="0" w:space="0" w:color="auto"/>
            <w:left w:val="none" w:sz="0" w:space="0" w:color="auto"/>
            <w:bottom w:val="none" w:sz="0" w:space="0" w:color="auto"/>
            <w:right w:val="none" w:sz="0" w:space="0" w:color="auto"/>
          </w:divBdr>
        </w:div>
        <w:div w:id="665061394">
          <w:marLeft w:val="0"/>
          <w:marRight w:val="0"/>
          <w:marTop w:val="0"/>
          <w:marBottom w:val="0"/>
          <w:divBdr>
            <w:top w:val="none" w:sz="0" w:space="0" w:color="auto"/>
            <w:left w:val="none" w:sz="0" w:space="0" w:color="auto"/>
            <w:bottom w:val="none" w:sz="0" w:space="0" w:color="auto"/>
            <w:right w:val="none" w:sz="0" w:space="0" w:color="auto"/>
          </w:divBdr>
        </w:div>
        <w:div w:id="861941576">
          <w:marLeft w:val="0"/>
          <w:marRight w:val="0"/>
          <w:marTop w:val="0"/>
          <w:marBottom w:val="0"/>
          <w:divBdr>
            <w:top w:val="none" w:sz="0" w:space="0" w:color="auto"/>
            <w:left w:val="none" w:sz="0" w:space="0" w:color="auto"/>
            <w:bottom w:val="none" w:sz="0" w:space="0" w:color="auto"/>
            <w:right w:val="none" w:sz="0" w:space="0" w:color="auto"/>
          </w:divBdr>
        </w:div>
        <w:div w:id="1837500189">
          <w:marLeft w:val="0"/>
          <w:marRight w:val="0"/>
          <w:marTop w:val="0"/>
          <w:marBottom w:val="0"/>
          <w:divBdr>
            <w:top w:val="none" w:sz="0" w:space="0" w:color="auto"/>
            <w:left w:val="none" w:sz="0" w:space="0" w:color="auto"/>
            <w:bottom w:val="none" w:sz="0" w:space="0" w:color="auto"/>
            <w:right w:val="none" w:sz="0" w:space="0" w:color="auto"/>
          </w:divBdr>
        </w:div>
        <w:div w:id="1820226454">
          <w:marLeft w:val="0"/>
          <w:marRight w:val="0"/>
          <w:marTop w:val="0"/>
          <w:marBottom w:val="0"/>
          <w:divBdr>
            <w:top w:val="none" w:sz="0" w:space="0" w:color="auto"/>
            <w:left w:val="none" w:sz="0" w:space="0" w:color="auto"/>
            <w:bottom w:val="none" w:sz="0" w:space="0" w:color="auto"/>
            <w:right w:val="none" w:sz="0" w:space="0" w:color="auto"/>
          </w:divBdr>
        </w:div>
        <w:div w:id="1893299054">
          <w:marLeft w:val="0"/>
          <w:marRight w:val="0"/>
          <w:marTop w:val="0"/>
          <w:marBottom w:val="0"/>
          <w:divBdr>
            <w:top w:val="none" w:sz="0" w:space="0" w:color="auto"/>
            <w:left w:val="none" w:sz="0" w:space="0" w:color="auto"/>
            <w:bottom w:val="none" w:sz="0" w:space="0" w:color="auto"/>
            <w:right w:val="none" w:sz="0" w:space="0" w:color="auto"/>
          </w:divBdr>
        </w:div>
        <w:div w:id="2085686116">
          <w:marLeft w:val="0"/>
          <w:marRight w:val="0"/>
          <w:marTop w:val="0"/>
          <w:marBottom w:val="0"/>
          <w:divBdr>
            <w:top w:val="none" w:sz="0" w:space="0" w:color="auto"/>
            <w:left w:val="none" w:sz="0" w:space="0" w:color="auto"/>
            <w:bottom w:val="none" w:sz="0" w:space="0" w:color="auto"/>
            <w:right w:val="none" w:sz="0" w:space="0" w:color="auto"/>
          </w:divBdr>
        </w:div>
        <w:div w:id="324623999">
          <w:marLeft w:val="0"/>
          <w:marRight w:val="0"/>
          <w:marTop w:val="0"/>
          <w:marBottom w:val="0"/>
          <w:divBdr>
            <w:top w:val="none" w:sz="0" w:space="0" w:color="auto"/>
            <w:left w:val="none" w:sz="0" w:space="0" w:color="auto"/>
            <w:bottom w:val="none" w:sz="0" w:space="0" w:color="auto"/>
            <w:right w:val="none" w:sz="0" w:space="0" w:color="auto"/>
          </w:divBdr>
        </w:div>
        <w:div w:id="1363093167">
          <w:marLeft w:val="0"/>
          <w:marRight w:val="0"/>
          <w:marTop w:val="0"/>
          <w:marBottom w:val="0"/>
          <w:divBdr>
            <w:top w:val="none" w:sz="0" w:space="0" w:color="auto"/>
            <w:left w:val="none" w:sz="0" w:space="0" w:color="auto"/>
            <w:bottom w:val="none" w:sz="0" w:space="0" w:color="auto"/>
            <w:right w:val="none" w:sz="0" w:space="0" w:color="auto"/>
          </w:divBdr>
        </w:div>
        <w:div w:id="630021188">
          <w:marLeft w:val="0"/>
          <w:marRight w:val="0"/>
          <w:marTop w:val="0"/>
          <w:marBottom w:val="0"/>
          <w:divBdr>
            <w:top w:val="none" w:sz="0" w:space="0" w:color="auto"/>
            <w:left w:val="none" w:sz="0" w:space="0" w:color="auto"/>
            <w:bottom w:val="none" w:sz="0" w:space="0" w:color="auto"/>
            <w:right w:val="none" w:sz="0" w:space="0" w:color="auto"/>
          </w:divBdr>
        </w:div>
        <w:div w:id="760416749">
          <w:marLeft w:val="0"/>
          <w:marRight w:val="0"/>
          <w:marTop w:val="0"/>
          <w:marBottom w:val="0"/>
          <w:divBdr>
            <w:top w:val="none" w:sz="0" w:space="0" w:color="auto"/>
            <w:left w:val="none" w:sz="0" w:space="0" w:color="auto"/>
            <w:bottom w:val="none" w:sz="0" w:space="0" w:color="auto"/>
            <w:right w:val="none" w:sz="0" w:space="0" w:color="auto"/>
          </w:divBdr>
        </w:div>
        <w:div w:id="1727290667">
          <w:marLeft w:val="0"/>
          <w:marRight w:val="0"/>
          <w:marTop w:val="0"/>
          <w:marBottom w:val="0"/>
          <w:divBdr>
            <w:top w:val="none" w:sz="0" w:space="0" w:color="auto"/>
            <w:left w:val="none" w:sz="0" w:space="0" w:color="auto"/>
            <w:bottom w:val="none" w:sz="0" w:space="0" w:color="auto"/>
            <w:right w:val="none" w:sz="0" w:space="0" w:color="auto"/>
          </w:divBdr>
        </w:div>
        <w:div w:id="1599555292">
          <w:marLeft w:val="0"/>
          <w:marRight w:val="0"/>
          <w:marTop w:val="0"/>
          <w:marBottom w:val="0"/>
          <w:divBdr>
            <w:top w:val="none" w:sz="0" w:space="0" w:color="auto"/>
            <w:left w:val="none" w:sz="0" w:space="0" w:color="auto"/>
            <w:bottom w:val="none" w:sz="0" w:space="0" w:color="auto"/>
            <w:right w:val="none" w:sz="0" w:space="0" w:color="auto"/>
          </w:divBdr>
        </w:div>
        <w:div w:id="1919561764">
          <w:marLeft w:val="0"/>
          <w:marRight w:val="0"/>
          <w:marTop w:val="0"/>
          <w:marBottom w:val="0"/>
          <w:divBdr>
            <w:top w:val="none" w:sz="0" w:space="0" w:color="auto"/>
            <w:left w:val="none" w:sz="0" w:space="0" w:color="auto"/>
            <w:bottom w:val="none" w:sz="0" w:space="0" w:color="auto"/>
            <w:right w:val="none" w:sz="0" w:space="0" w:color="auto"/>
          </w:divBdr>
        </w:div>
        <w:div w:id="1966037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Departmental%20Templates\IHPA\Internal%20report.DOTX" TargetMode="External"/></Relationships>
</file>

<file path=word/theme/theme1.xml><?xml version="1.0" encoding="utf-8"?>
<a:theme xmlns:a="http://schemas.openxmlformats.org/drawingml/2006/main" name="Office Theme">
  <a:themeElements>
    <a:clrScheme name="IHPA black palette">
      <a:dk1>
        <a:sysClr val="windowText" lastClr="000000"/>
      </a:dk1>
      <a:lt1>
        <a:sysClr val="window" lastClr="FFFFFF"/>
      </a:lt1>
      <a:dk2>
        <a:srgbClr val="000000"/>
      </a:dk2>
      <a:lt2>
        <a:srgbClr val="000000"/>
      </a:lt2>
      <a:accent1>
        <a:srgbClr val="000000"/>
      </a:accent1>
      <a:accent2>
        <a:srgbClr val="58595B"/>
      </a:accent2>
      <a:accent3>
        <a:srgbClr val="808285"/>
      </a:accent3>
      <a:accent4>
        <a:srgbClr val="A7A9AC"/>
      </a:accent4>
      <a:accent5>
        <a:srgbClr val="000000"/>
      </a:accent5>
      <a:accent6>
        <a:srgbClr val="00000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1E315-637E-400C-BA56-133C0513D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report.DOTX</Template>
  <TotalTime>8</TotalTime>
  <Pages>3</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SYMONDS, Jessica</dc:creator>
  <cp:lastModifiedBy>SYMONDS, Jessica</cp:lastModifiedBy>
  <cp:revision>1</cp:revision>
  <cp:lastPrinted>2018-04-04T00:40:00Z</cp:lastPrinted>
  <dcterms:created xsi:type="dcterms:W3CDTF">2018-04-04T00:32:00Z</dcterms:created>
  <dcterms:modified xsi:type="dcterms:W3CDTF">2018-04-04T00:40:00Z</dcterms:modified>
</cp:coreProperties>
</file>